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  <w:bookmarkStart w:id="0" w:name="_GoBack"/>
      <w:bookmarkEnd w:id="0"/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  <w:r>
        <w:rPr>
          <w:rFonts w:ascii="微软雅黑" w:eastAsia="微软雅黑" w:hAnsi="微软雅黑" w:cs="微软雅黑"/>
          <w:b/>
          <w:bCs/>
          <w:color w:val="2D54A0"/>
          <w:spacing w:val="9"/>
          <w:sz w:val="59"/>
          <w:szCs w:val="59"/>
        </w:rPr>
        <w:t>2024年储能机行业趋势报告</w:t>
      </w: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 w:hint="default"/>
          <w:b/>
          <w:bCs/>
          <w:color w:val="2D54A0"/>
          <w:spacing w:val="8"/>
          <w:sz w:val="44"/>
          <w:szCs w:val="44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b/>
          <w:bCs/>
          <w:color w:val="2D54A0"/>
          <w:spacing w:val="8"/>
          <w:sz w:val="44"/>
          <w:szCs w:val="44"/>
          <w:lang w:val="en-US" w:eastAsia="zh-CN"/>
        </w:rPr>
        <w:t>《2024年最新评估分析》</w:t>
      </w:r>
    </w:p>
    <w:p>
      <w:pPr>
        <w:spacing w:line="360" w:lineRule="auto"/>
        <w:jc w:val="center"/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</w:rPr>
      </w:pPr>
      <w:r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0861" w:history="1">
        <w:r>
          <w:rPr>
            <w:rFonts w:ascii="微软雅黑" w:eastAsia="微软雅黑" w:hAnsi="微软雅黑" w:cs="微软雅黑" w:hint="eastAsia"/>
            <w:color w:val="001CAC" w:themeColor="hyperlink" w:themeShade="BF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_Toc20861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464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一、项目技术流程</w:t>
        </w:r>
        <w:r>
          <w:tab/>
        </w:r>
        <w:r>
          <w:fldChar w:fldCharType="begin"/>
        </w:r>
        <w:r>
          <w:instrText xml:space="preserve"> PAGEREF _Toc6464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7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(一)、技术方案选择</w:t>
        </w:r>
        <w:r>
          <w:tab/>
        </w:r>
        <w:r>
          <w:fldChar w:fldCharType="begin"/>
        </w:r>
        <w:r>
          <w:instrText xml:space="preserve"> PAGEREF _Toc15173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3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(二)、设备选型方案</w:t>
        </w:r>
        <w:r>
          <w:tab/>
        </w:r>
        <w:r>
          <w:fldChar w:fldCharType="begin"/>
        </w:r>
        <w:r>
          <w:instrText xml:space="preserve"> PAGEREF _Toc3836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8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(三)、技术流程与工艺设计</w:t>
        </w:r>
        <w:r>
          <w:tab/>
        </w:r>
        <w:r>
          <w:fldChar w:fldCharType="begin"/>
        </w:r>
        <w:r>
          <w:instrText xml:space="preserve"> PAGEREF _Toc13683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97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二、环境与社会责任</w:t>
        </w:r>
        <w:r>
          <w:tab/>
        </w:r>
        <w:r>
          <w:fldChar w:fldCharType="begin"/>
        </w:r>
        <w:r>
          <w:instrText xml:space="preserve"> PAGEREF _Toc12397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5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(一)、环境影响评估</w:t>
        </w:r>
        <w:r>
          <w:tab/>
        </w:r>
        <w:r>
          <w:fldChar w:fldCharType="begin"/>
        </w:r>
        <w:r>
          <w:instrText xml:space="preserve"> PAGEREF _Toc15058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2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(二)、社会责任与可持续发展</w:t>
        </w:r>
        <w:r>
          <w:tab/>
        </w:r>
        <w:r>
          <w:fldChar w:fldCharType="begin"/>
        </w:r>
        <w:r>
          <w:instrText xml:space="preserve"> PAGEREF _Toc5720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478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三、安全与劳动保护</w:t>
        </w:r>
        <w:r>
          <w:tab/>
        </w:r>
        <w:r>
          <w:fldChar w:fldCharType="begin"/>
        </w:r>
        <w:r>
          <w:instrText xml:space="preserve"> PAGEREF _Toc3478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1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(一)、设计依据与法规合规</w:t>
        </w:r>
        <w:r>
          <w:tab/>
        </w:r>
        <w:r>
          <w:fldChar w:fldCharType="begin"/>
        </w:r>
        <w:r>
          <w:instrText xml:space="preserve"> PAGEREF _Toc23712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2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(二)、劳动安全预期效果评价</w:t>
        </w:r>
        <w:r>
          <w:tab/>
        </w:r>
        <w:r>
          <w:fldChar w:fldCharType="begin"/>
        </w:r>
        <w:r>
          <w:instrText xml:space="preserve"> PAGEREF _Toc6822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0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(三)、主要防范措施</w:t>
        </w:r>
        <w:r>
          <w:tab/>
        </w:r>
        <w:r>
          <w:fldChar w:fldCharType="begin"/>
        </w:r>
        <w:r>
          <w:instrText xml:space="preserve"> PAGEREF _Toc17108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57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四、储能机行业制度建设与执行</w:t>
        </w:r>
        <w:r>
          <w:tab/>
        </w:r>
        <w:r>
          <w:fldChar w:fldCharType="begin"/>
        </w:r>
        <w:r>
          <w:instrText xml:space="preserve"> PAGEREF _Toc14457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3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(一)、公司制度体系规划</w:t>
        </w:r>
        <w:r>
          <w:tab/>
        </w:r>
        <w:r>
          <w:fldChar w:fldCharType="begin"/>
        </w:r>
        <w:r>
          <w:instrText xml:space="preserve"> PAGEREF _Toc3630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1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(二)、员工手册编制与更新</w:t>
        </w:r>
        <w:r>
          <w:tab/>
        </w:r>
        <w:r>
          <w:fldChar w:fldCharType="begin"/>
        </w:r>
        <w:r>
          <w:instrText xml:space="preserve"> PAGEREF _Toc9619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3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(三)、制度宣导与培训</w:t>
        </w:r>
        <w:r>
          <w:tab/>
        </w:r>
        <w:r>
          <w:fldChar w:fldCharType="begin"/>
        </w:r>
        <w:r>
          <w:instrText xml:space="preserve"> PAGEREF _Toc8330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(四)、主要防范措施</w:t>
        </w:r>
        <w:r>
          <w:tab/>
        </w:r>
        <w:r>
          <w:fldChar w:fldCharType="begin"/>
        </w:r>
        <w:r>
          <w:instrText xml:space="preserve"> PAGEREF _Toc3102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5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(五)、制度优化与更新</w:t>
        </w:r>
        <w:r>
          <w:tab/>
        </w:r>
        <w:r>
          <w:fldChar w:fldCharType="begin"/>
        </w:r>
        <w:r>
          <w:instrText xml:space="preserve"> PAGEREF _Toc5155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70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五、储能机行业项目管理与实施</w:t>
        </w:r>
        <w:r>
          <w:tab/>
        </w:r>
        <w:r>
          <w:fldChar w:fldCharType="begin"/>
        </w:r>
        <w:r>
          <w:instrText xml:space="preserve"> PAGEREF _Toc15170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5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(一)、项目进度安排</w:t>
        </w:r>
        <w:r>
          <w:tab/>
        </w:r>
        <w:r>
          <w:fldChar w:fldCharType="begin"/>
        </w:r>
        <w:r>
          <w:instrText xml:space="preserve"> PAGEREF _Toc27152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(二)、项目实施保障措施</w:t>
        </w:r>
        <w:r>
          <w:tab/>
        </w:r>
        <w:r>
          <w:fldChar w:fldCharType="begin"/>
        </w:r>
        <w:r>
          <w:instrText xml:space="preserve"> PAGEREF _Toc3096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(三)、项目风险分析与对策</w:t>
        </w:r>
        <w:r>
          <w:tab/>
        </w:r>
        <w:r>
          <w:fldChar w:fldCharType="begin"/>
        </w:r>
        <w:r>
          <w:instrText xml:space="preserve"> PAGEREF _Toc2522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91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六、储能机行业人才招聘与发展</w:t>
        </w:r>
        <w:r>
          <w:tab/>
        </w:r>
        <w:r>
          <w:fldChar w:fldCharType="begin"/>
        </w:r>
        <w:r>
          <w:instrText xml:space="preserve"> PAGEREF _Toc22391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(一)、人才需求分析</w:t>
        </w:r>
        <w:r>
          <w:tab/>
        </w:r>
        <w:r>
          <w:fldChar w:fldCharType="begin"/>
        </w:r>
        <w:r>
          <w:instrText xml:space="preserve"> PAGEREF _Toc679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8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(二)、招聘计划与流程</w:t>
        </w:r>
        <w:r>
          <w:tab/>
        </w:r>
        <w:r>
          <w:fldChar w:fldCharType="begin"/>
        </w:r>
        <w:r>
          <w:instrText xml:space="preserve"> PAGEREF _Toc19181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9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(三)、员工培训与发展</w:t>
        </w:r>
        <w:r>
          <w:tab/>
        </w:r>
        <w:r>
          <w:fldChar w:fldCharType="begin"/>
        </w:r>
        <w:r>
          <w:instrText xml:space="preserve"> PAGEREF _Toc17098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3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(四)、绩效考核与激励</w:t>
        </w:r>
        <w:r>
          <w:tab/>
        </w:r>
        <w:r>
          <w:fldChar w:fldCharType="begin"/>
        </w:r>
        <w:r>
          <w:instrText xml:space="preserve"> PAGEREF _Toc7830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5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(五)、人才流动与留存</w:t>
        </w:r>
        <w:r>
          <w:tab/>
        </w:r>
        <w:r>
          <w:fldChar w:fldCharType="begin"/>
        </w:r>
        <w:r>
          <w:instrText xml:space="preserve"> PAGEREF _Toc24757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22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七、项目实施与进度安排</w:t>
        </w:r>
        <w:r>
          <w:tab/>
        </w:r>
        <w:r>
          <w:fldChar w:fldCharType="begin"/>
        </w:r>
        <w:r>
          <w:instrText xml:space="preserve"> PAGEREF _Toc31422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0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(一)、项目计划与时间节点</w:t>
        </w:r>
        <w:r>
          <w:tab/>
        </w:r>
        <w:r>
          <w:fldChar w:fldCharType="begin"/>
        </w:r>
        <w:r>
          <w:instrText xml:space="preserve"> PAGEREF _Toc10403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6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(二)、项目进度安排</w:t>
        </w:r>
        <w:r>
          <w:tab/>
        </w:r>
        <w:r>
          <w:fldChar w:fldCharType="begin"/>
        </w:r>
        <w:r>
          <w:instrText xml:space="preserve"> PAGEREF _Toc4967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6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(三)、风险管理与对策</w:t>
        </w:r>
        <w:r>
          <w:tab/>
        </w:r>
        <w:r>
          <w:fldChar w:fldCharType="begin"/>
        </w:r>
        <w:r>
          <w:instrText xml:space="preserve"> PAGEREF _Toc31862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8970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八、储能机行业选址方案分析</w:t>
        </w:r>
        <w:r>
          <w:tab/>
        </w:r>
        <w:r>
          <w:fldChar w:fldCharType="begin"/>
        </w:r>
        <w:r>
          <w:instrText xml:space="preserve"> PAGEREF _Toc28970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8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(一)、储能机行业选址影响因素</w:t>
        </w:r>
        <w:r>
          <w:tab/>
        </w:r>
        <w:r>
          <w:fldChar w:fldCharType="begin"/>
        </w:r>
        <w:r>
          <w:instrText xml:space="preserve"> PAGEREF _Toc16282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6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(二)、储能机行业选址原则</w:t>
        </w:r>
        <w:r>
          <w:tab/>
        </w:r>
        <w:r>
          <w:fldChar w:fldCharType="begin"/>
        </w:r>
        <w:r>
          <w:instrText xml:space="preserve"> PAGEREF _Toc23062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7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(三)、消费习惯对储能机行业选址的影响</w:t>
        </w:r>
        <w:r>
          <w:tab/>
        </w:r>
        <w:r>
          <w:fldChar w:fldCharType="begin"/>
        </w:r>
        <w:r>
          <w:instrText xml:space="preserve"> PAGEREF _Toc5870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1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(四)、消费能力对储能机行业选址的影响</w:t>
        </w:r>
        <w:r>
          <w:tab/>
        </w:r>
        <w:r>
          <w:fldChar w:fldCharType="begin"/>
        </w:r>
        <w:r>
          <w:instrText xml:space="preserve"> PAGEREF _Toc8815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6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(五)、经营成本对储能机行业选址的影响</w:t>
        </w:r>
        <w:r>
          <w:tab/>
        </w:r>
        <w:r>
          <w:fldChar w:fldCharType="begin"/>
        </w:r>
        <w:r>
          <w:instrText xml:space="preserve"> PAGEREF _Toc17664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9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(六)、交通条件对储能机行业选址的影响</w:t>
        </w:r>
        <w:r>
          <w:tab/>
        </w:r>
        <w:r>
          <w:fldChar w:fldCharType="begin"/>
        </w:r>
        <w:r>
          <w:instrText xml:space="preserve"> PAGEREF _Toc11390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38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九、储能机行业公司治理与社会责任</w:t>
        </w:r>
        <w:r>
          <w:tab/>
        </w:r>
        <w:r>
          <w:fldChar w:fldCharType="begin"/>
        </w:r>
        <w:r>
          <w:instrText xml:space="preserve"> PAGEREF _Toc27938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8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(一)、公司治理结构</w:t>
        </w:r>
        <w:r>
          <w:tab/>
        </w:r>
        <w:r>
          <w:fldChar w:fldCharType="begin"/>
        </w:r>
        <w:r>
          <w:instrText xml:space="preserve"> PAGEREF _Toc22482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9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(二)、董事会运作与决策</w:t>
        </w:r>
        <w:r>
          <w:tab/>
        </w:r>
        <w:r>
          <w:fldChar w:fldCharType="begin"/>
        </w:r>
        <w:r>
          <w:instrText xml:space="preserve"> PAGEREF _Toc7194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1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(三)、内部控制与审计</w:t>
        </w:r>
        <w:r>
          <w:tab/>
        </w:r>
        <w:r>
          <w:fldChar w:fldCharType="begin"/>
        </w:r>
        <w:r>
          <w:instrText xml:space="preserve"> PAGEREF _Toc25510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4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(四)、法律法规合规体系</w:t>
        </w:r>
        <w:r>
          <w:tab/>
        </w:r>
        <w:r>
          <w:fldChar w:fldCharType="begin"/>
        </w:r>
        <w:r>
          <w:instrText xml:space="preserve"> PAGEREF _Toc11143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3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(五)、企业社会责任与道德经营</w:t>
        </w:r>
        <w:r>
          <w:tab/>
        </w:r>
        <w:r>
          <w:fldChar w:fldCharType="begin"/>
        </w:r>
        <w:r>
          <w:instrText xml:space="preserve"> PAGEREF _Toc9538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45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十、质量管理与持续改进</w:t>
        </w:r>
        <w:r>
          <w:tab/>
        </w:r>
        <w:r>
          <w:fldChar w:fldCharType="begin"/>
        </w:r>
        <w:r>
          <w:instrText xml:space="preserve"> PAGEREF _Toc32045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8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_Toc14988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5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(二)、生产过程控制与优化</w:t>
        </w:r>
        <w:r>
          <w:tab/>
        </w:r>
        <w:r>
          <w:fldChar w:fldCharType="begin"/>
        </w:r>
        <w:r>
          <w:instrText xml:space="preserve"> PAGEREF _Toc13755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4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(三)、产品质量检验与测试</w:t>
        </w:r>
        <w:r>
          <w:tab/>
        </w:r>
        <w:r>
          <w:fldChar w:fldCharType="begin"/>
        </w:r>
        <w:r>
          <w:instrText xml:space="preserve"> PAGEREF _Toc25144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7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(四)、用户反馈与质量改进</w:t>
        </w:r>
        <w:r>
          <w:tab/>
        </w:r>
        <w:r>
          <w:fldChar w:fldCharType="begin"/>
        </w:r>
        <w:r>
          <w:instrText xml:space="preserve"> PAGEREF _Toc6872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10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十一、储能机行业运营管理及商业模式分析</w:t>
        </w:r>
        <w:r>
          <w:tab/>
        </w:r>
        <w:r>
          <w:fldChar w:fldCharType="begin"/>
        </w:r>
        <w:r>
          <w:instrText xml:space="preserve"> PAGEREF _Toc11810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4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(一)、储能机行业数字化发展方案</w:t>
        </w:r>
        <w:r>
          <w:tab/>
        </w:r>
        <w:r>
          <w:fldChar w:fldCharType="begin"/>
        </w:r>
        <w:r>
          <w:instrText xml:space="preserve"> PAGEREF _Toc5747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2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(二)、储能机行业新型运营方式</w:t>
        </w:r>
        <w:r>
          <w:tab/>
        </w:r>
        <w:r>
          <w:fldChar w:fldCharType="begin"/>
        </w:r>
        <w:r>
          <w:instrText xml:space="preserve"> PAGEREF _Toc10721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1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(三)、储能机行业风险管理</w:t>
        </w:r>
        <w:r>
          <w:tab/>
        </w:r>
        <w:r>
          <w:fldChar w:fldCharType="begin"/>
        </w:r>
        <w:r>
          <w:instrText xml:space="preserve"> PAGEREF _Toc12710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831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十二、项目管理与团队协作</w:t>
        </w:r>
        <w:r>
          <w:tab/>
        </w:r>
        <w:r>
          <w:fldChar w:fldCharType="begin"/>
        </w:r>
        <w:r>
          <w:instrText xml:space="preserve"> PAGEREF _Toc7831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8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(一)、项目管理方法论</w:t>
        </w:r>
        <w:r>
          <w:tab/>
        </w:r>
        <w:r>
          <w:fldChar w:fldCharType="begin"/>
        </w:r>
        <w:r>
          <w:instrText xml:space="preserve"> PAGEREF _Toc11189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5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(二)、团队组建与角色分工</w:t>
        </w:r>
        <w:r>
          <w:tab/>
        </w:r>
        <w:r>
          <w:fldChar w:fldCharType="begin"/>
        </w:r>
        <w:r>
          <w:instrText xml:space="preserve"> PAGEREF _Toc9855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9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(三)、团队沟通与协作机制</w:t>
        </w:r>
        <w:r>
          <w:tab/>
        </w:r>
        <w:r>
          <w:fldChar w:fldCharType="begin"/>
        </w:r>
        <w:r>
          <w:instrText xml:space="preserve"> PAGEREF _Toc13796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9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(四)、项目风险管理与应对</w:t>
        </w:r>
        <w:r>
          <w:tab/>
        </w:r>
        <w:r>
          <w:fldChar w:fldCharType="begin"/>
        </w:r>
        <w:r>
          <w:instrText xml:space="preserve"> PAGEREF _Toc5591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r>
        <w:fldChar w:fldCharType="end"/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https://d.book118.com/048105055053006027</w:t>
        </w:r>
      </w:hyperlink>
    </w:p>
    <w:p/>
    <w:sectPr>
      <w:headerReference w:type="default" r:id="rId9"/>
      <w:footerReference w:type="default" r:id="rId10"/>
      <w:type w:val="nextPage"/>
      <w:pgSz w:w="11906" w:h="16838"/>
      <w:pgMar w:top="1440" w:right="1800" w:bottom="1440" w:left="1800" w:header="851" w:footer="992" w:gutter="0"/>
      <w:pgNumType w:start="3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2775B3"/>
    <w:rsid w:val="02623C3C"/>
    <w:rsid w:val="03734037"/>
    <w:rsid w:val="08DF62CB"/>
    <w:rsid w:val="13614867"/>
    <w:rsid w:val="3DAC44EE"/>
    <w:rsid w:val="453746B4"/>
    <w:rsid w:val="482775B3"/>
    <w:rsid w:val="49C53810"/>
    <w:rsid w:val="4E155AC7"/>
    <w:rsid w:val="50930768"/>
    <w:rsid w:val="62A91464"/>
    <w:rsid w:val="692E1C42"/>
  </w:rsids>
  <w:docVars>
    <w:docVar w:name="commondata" w:val="eyJoZGlkIjoiYjEzZTI3MzIxYzUxM2E3Y2YyMDVhZDRkMWU5YjExZ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 w:qFormat="1"/>
    <w:lsdException w:name="toc 2" w:semiHidden="0" w:uiPriority="0" w:unhideWhenUsed="0" w:qFormat="1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 w:qFormat="1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autoRedefine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autoRedefine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  <w:autoRedefine/>
    <w:qFormat/>
  </w:style>
  <w:style w:type="paragraph" w:styleId="TOC2">
    <w:name w:val="toc 2"/>
    <w:basedOn w:val="Normal"/>
    <w:next w:val="Normal"/>
    <w:autoRedefine/>
    <w:qFormat/>
    <w:pPr>
      <w:ind w:left="420" w:leftChars="200"/>
    </w:pPr>
  </w:style>
  <w:style w:type="character" w:styleId="PageNumber">
    <w:name w:val="page number"/>
    <w:basedOn w:val="DefaultParagraphFont"/>
    <w:autoRedefine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yperlink" Target="https://d.book118.com/048105055053006027" TargetMode="Externa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小海豹</cp:lastModifiedBy>
  <cp:revision>1</cp:revision>
  <dcterms:created xsi:type="dcterms:W3CDTF">2023-12-10T12:06:00Z</dcterms:created>
  <dcterms:modified xsi:type="dcterms:W3CDTF">2024-01-17T05:48:01Z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1E39AA5D4B7F4B19B7D16FD992F8235D_13</vt:lpwstr>
  </property>
  <property fmtid="{D5CDD505-2E9C-101B-9397-08002B2CF9AE}" pid="3" name="KSOProductBuildVer">
    <vt:lpwstr>2052-12.1.0.16120</vt:lpwstr>
  </property>
</Properties>
</file>