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  <w:bookmarkStart w:id="0" w:name="_GoBack"/>
      <w:bookmarkEnd w:id="0"/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spacing w:before="254" w:line="360" w:lineRule="auto"/>
        <w:ind w:left="273"/>
        <w:jc w:val="center"/>
        <w:outlineLvl w:val="0"/>
        <w:rPr>
          <w:rFonts w:ascii="微软雅黑" w:eastAsia="微软雅黑" w:hAnsi="微软雅黑" w:cs="微软雅黑"/>
          <w:b/>
          <w:bCs/>
          <w:color w:val="2D54A0"/>
          <w:spacing w:val="8"/>
          <w:sz w:val="59"/>
          <w:szCs w:val="59"/>
        </w:rPr>
      </w:pPr>
      <w:r>
        <w:rPr>
          <w:rFonts w:ascii="微软雅黑" w:eastAsia="微软雅黑" w:hAnsi="微软雅黑" w:cs="微软雅黑"/>
          <w:b/>
          <w:bCs/>
          <w:color w:val="2D54A0"/>
          <w:spacing w:val="9"/>
          <w:sz w:val="59"/>
          <w:szCs w:val="59"/>
        </w:rPr>
        <w:t>2024年棉麻混纺行业趋势报</w:t>
      </w:r>
      <w:r>
        <w:rPr>
          <w:rFonts w:ascii="微软雅黑" w:eastAsia="微软雅黑" w:hAnsi="微软雅黑" w:cs="微软雅黑"/>
          <w:b/>
          <w:bCs/>
          <w:color w:val="2D54A0"/>
          <w:spacing w:val="8"/>
          <w:sz w:val="59"/>
          <w:szCs w:val="59"/>
        </w:rPr>
        <w:t>告</w:t>
      </w:r>
    </w:p>
    <w:p>
      <w:pPr>
        <w:spacing w:before="254" w:line="360" w:lineRule="auto"/>
        <w:ind w:left="273"/>
        <w:jc w:val="center"/>
        <w:outlineLvl w:val="0"/>
        <w:rPr>
          <w:rFonts w:ascii="微软雅黑" w:eastAsia="微软雅黑" w:hAnsi="微软雅黑" w:cs="微软雅黑"/>
          <w:b/>
          <w:bCs/>
          <w:color w:val="2D54A0"/>
          <w:spacing w:val="8"/>
          <w:sz w:val="59"/>
          <w:szCs w:val="59"/>
        </w:rPr>
      </w:pPr>
    </w:p>
    <w:p>
      <w:pPr>
        <w:spacing w:before="254" w:line="360" w:lineRule="auto"/>
        <w:ind w:left="273"/>
        <w:jc w:val="center"/>
        <w:outlineLvl w:val="0"/>
        <w:rPr>
          <w:rFonts w:ascii="微软雅黑" w:eastAsia="微软雅黑" w:hAnsi="微软雅黑" w:cs="微软雅黑"/>
          <w:b/>
          <w:bCs/>
          <w:color w:val="2D54A0"/>
          <w:spacing w:val="8"/>
          <w:sz w:val="59"/>
          <w:szCs w:val="59"/>
        </w:rPr>
      </w:pPr>
    </w:p>
    <w:p>
      <w:pPr>
        <w:spacing w:before="254" w:line="360" w:lineRule="auto"/>
        <w:ind w:left="273"/>
        <w:jc w:val="center"/>
        <w:outlineLvl w:val="0"/>
        <w:rPr>
          <w:rFonts w:ascii="微软雅黑" w:eastAsia="微软雅黑" w:hAnsi="微软雅黑" w:cs="微软雅黑"/>
          <w:b/>
          <w:bCs/>
          <w:color w:val="2D54A0"/>
          <w:spacing w:val="8"/>
          <w:sz w:val="59"/>
          <w:szCs w:val="59"/>
        </w:rPr>
      </w:pPr>
    </w:p>
    <w:p>
      <w:pPr>
        <w:spacing w:before="254" w:line="360" w:lineRule="auto"/>
        <w:ind w:left="273"/>
        <w:jc w:val="center"/>
        <w:outlineLvl w:val="0"/>
        <w:rPr>
          <w:rFonts w:ascii="微软雅黑" w:eastAsia="微软雅黑" w:hAnsi="微软雅黑" w:cs="微软雅黑"/>
          <w:b/>
          <w:bCs/>
          <w:color w:val="2D54A0"/>
          <w:spacing w:val="8"/>
          <w:sz w:val="59"/>
          <w:szCs w:val="59"/>
        </w:rPr>
      </w:pPr>
    </w:p>
    <w:p>
      <w:pPr>
        <w:spacing w:before="254" w:line="360" w:lineRule="auto"/>
        <w:ind w:left="273"/>
        <w:jc w:val="center"/>
        <w:outlineLvl w:val="0"/>
        <w:rPr>
          <w:rFonts w:ascii="微软雅黑" w:eastAsia="微软雅黑" w:hAnsi="微软雅黑" w:cs="微软雅黑" w:hint="default"/>
          <w:b/>
          <w:bCs/>
          <w:color w:val="2D54A0"/>
          <w:spacing w:val="8"/>
          <w:sz w:val="44"/>
          <w:szCs w:val="44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微软雅黑" w:eastAsia="微软雅黑" w:hAnsi="微软雅黑" w:cs="微软雅黑" w:hint="eastAsia"/>
          <w:b/>
          <w:bCs/>
          <w:color w:val="2D54A0"/>
          <w:spacing w:val="8"/>
          <w:sz w:val="44"/>
          <w:szCs w:val="44"/>
          <w:lang w:val="en-US" w:eastAsia="zh-CN"/>
        </w:rPr>
        <w:t>《2024年最新评估分析》</w:t>
      </w:r>
    </w:p>
    <w:p>
      <w:pPr>
        <w:spacing w:line="360" w:lineRule="auto"/>
        <w:jc w:val="center"/>
        <w:rPr>
          <w:rFonts w:ascii="微软雅黑" w:eastAsia="微软雅黑" w:hAnsi="微软雅黑" w:cs="微软雅黑" w:hint="eastAsia"/>
          <w:b/>
          <w:bCs w:val="0"/>
          <w:color w:val="2E54A1" w:themeColor="accent1" w:themeShade="BF"/>
          <w:sz w:val="40"/>
        </w:rPr>
      </w:pPr>
      <w:r>
        <w:rPr>
          <w:rFonts w:ascii="微软雅黑" w:eastAsia="微软雅黑" w:hAnsi="微软雅黑" w:cs="微软雅黑" w:hint="eastAsia"/>
          <w:b/>
          <w:bCs w:val="0"/>
          <w:color w:val="2E54A1" w:themeColor="accent1" w:themeShade="BF"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4046" w:history="1">
        <w:r>
          <w:rPr>
            <w:rFonts w:ascii="微软雅黑" w:eastAsia="微软雅黑" w:hAnsi="微软雅黑" w:cs="微软雅黑" w:hint="eastAsia"/>
            <w:color w:val="001CAC" w:themeColor="hyperlink" w:themeShade="BF"/>
            <w:lang w:eastAsia="zh-CN"/>
          </w:rPr>
          <w:t>前言</w:t>
        </w:r>
        <w:r>
          <w:tab/>
        </w:r>
        <w:r>
          <w:fldChar w:fldCharType="begin"/>
        </w:r>
        <w:r>
          <w:instrText xml:space="preserve"> PAGEREF _Toc4046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273" w:history="1">
        <w:r>
          <w:rPr>
            <w:rFonts w:ascii="微软雅黑" w:eastAsia="微软雅黑" w:hAnsi="微软雅黑" w:cs="微软雅黑" w:hint="eastAsia"/>
            <w:color w:val="001CAC" w:themeColor="hyperlink" w:themeShade="BF"/>
            <w:szCs w:val="32"/>
            <w:lang w:eastAsia="zh-CN"/>
          </w:rPr>
          <w:t>一、项目管理与团队协作</w:t>
        </w:r>
        <w:r>
          <w:tab/>
        </w:r>
        <w:r>
          <w:fldChar w:fldCharType="begin"/>
        </w:r>
        <w:r>
          <w:instrText xml:space="preserve"> PAGEREF _Toc11273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219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(一)、项目管理方法论</w:t>
        </w:r>
        <w:r>
          <w:tab/>
        </w:r>
        <w:r>
          <w:fldChar w:fldCharType="begin"/>
        </w:r>
        <w:r>
          <w:instrText xml:space="preserve"> PAGEREF _Toc17219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049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(二)、团队组建与角色分工</w:t>
        </w:r>
        <w:r>
          <w:tab/>
        </w:r>
        <w:r>
          <w:fldChar w:fldCharType="begin"/>
        </w:r>
        <w:r>
          <w:instrText xml:space="preserve"> PAGEREF _Toc31049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056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(三)、团队沟通与协作机制</w:t>
        </w:r>
        <w:r>
          <w:tab/>
        </w:r>
        <w:r>
          <w:fldChar w:fldCharType="begin"/>
        </w:r>
        <w:r>
          <w:instrText xml:space="preserve"> PAGEREF _Toc26056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164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(四)、项目风险管理与应对</w:t>
        </w:r>
        <w:r>
          <w:tab/>
        </w:r>
        <w:r>
          <w:fldChar w:fldCharType="begin"/>
        </w:r>
        <w:r>
          <w:instrText xml:space="preserve"> PAGEREF _Toc12164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268" w:history="1">
        <w:r>
          <w:rPr>
            <w:rFonts w:ascii="微软雅黑" w:eastAsia="微软雅黑" w:hAnsi="微软雅黑" w:cs="微软雅黑" w:hint="eastAsia"/>
            <w:color w:val="001CAC" w:themeColor="hyperlink" w:themeShade="BF"/>
            <w:szCs w:val="32"/>
            <w:lang w:eastAsia="zh-CN"/>
          </w:rPr>
          <w:t>二、可持续发展与绿色经营</w:t>
        </w:r>
        <w:r>
          <w:tab/>
        </w:r>
        <w:r>
          <w:fldChar w:fldCharType="begin"/>
        </w:r>
        <w:r>
          <w:instrText xml:space="preserve"> PAGEREF _Toc13268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327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(一)、可持续发展战略与目标</w:t>
        </w:r>
        <w:r>
          <w:tab/>
        </w:r>
        <w:r>
          <w:fldChar w:fldCharType="begin"/>
        </w:r>
        <w:r>
          <w:instrText xml:space="preserve"> PAGEREF _Toc5327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494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(二)、环保政策与实践</w:t>
        </w:r>
        <w:r>
          <w:tab/>
        </w:r>
        <w:r>
          <w:fldChar w:fldCharType="begin"/>
        </w:r>
        <w:r>
          <w:instrText xml:space="preserve"> PAGEREF _Toc12494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902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(三)、资源利用与循环经济</w:t>
        </w:r>
        <w:r>
          <w:tab/>
        </w:r>
        <w:r>
          <w:fldChar w:fldCharType="begin"/>
        </w:r>
        <w:r>
          <w:instrText xml:space="preserve"> PAGEREF _Toc17902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500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(四)、碳中和与生态足迹</w:t>
        </w:r>
        <w:r>
          <w:tab/>
        </w:r>
        <w:r>
          <w:fldChar w:fldCharType="begin"/>
        </w:r>
        <w:r>
          <w:instrText xml:space="preserve"> PAGEREF _Toc6500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342" w:history="1">
        <w:r>
          <w:rPr>
            <w:rFonts w:ascii="微软雅黑" w:eastAsia="微软雅黑" w:hAnsi="微软雅黑" w:cs="微软雅黑" w:hint="eastAsia"/>
            <w:color w:val="001CAC" w:themeColor="hyperlink" w:themeShade="BF"/>
            <w:szCs w:val="32"/>
            <w:lang w:eastAsia="zh-CN"/>
          </w:rPr>
          <w:t>三、市场营销与推广策略</w:t>
        </w:r>
        <w:r>
          <w:tab/>
        </w:r>
        <w:r>
          <w:fldChar w:fldCharType="begin"/>
        </w:r>
        <w:r>
          <w:instrText xml:space="preserve"> PAGEREF _Toc15342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676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(一)、目标市场分析</w:t>
        </w:r>
        <w:r>
          <w:tab/>
        </w:r>
        <w:r>
          <w:fldChar w:fldCharType="begin"/>
        </w:r>
        <w:r>
          <w:instrText xml:space="preserve"> PAGEREF _Toc15676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640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(二)、市场定位与竞争分析</w:t>
        </w:r>
        <w:r>
          <w:tab/>
        </w:r>
        <w:r>
          <w:fldChar w:fldCharType="begin"/>
        </w:r>
        <w:r>
          <w:instrText xml:space="preserve"> PAGEREF _Toc32640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050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(三)、推广与宣传策略</w:t>
        </w:r>
        <w:r>
          <w:tab/>
        </w:r>
        <w:r>
          <w:fldChar w:fldCharType="begin"/>
        </w:r>
        <w:r>
          <w:instrText xml:space="preserve"> PAGEREF _Toc9050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0" w:history="1">
        <w:r>
          <w:rPr>
            <w:rFonts w:ascii="微软雅黑" w:eastAsia="微软雅黑" w:hAnsi="微软雅黑" w:cs="微软雅黑" w:hint="eastAsia"/>
            <w:color w:val="001CAC" w:themeColor="hyperlink" w:themeShade="BF"/>
            <w:szCs w:val="32"/>
            <w:lang w:eastAsia="zh-CN"/>
          </w:rPr>
          <w:t>四、棉麻混纺行业背景及市场分析</w:t>
        </w:r>
        <w:r>
          <w:tab/>
        </w:r>
        <w:r>
          <w:fldChar w:fldCharType="begin"/>
        </w:r>
        <w:r>
          <w:instrText xml:space="preserve"> PAGEREF _Toc70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022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(一)、棉麻混纺行业创新驱动</w:t>
        </w:r>
        <w:r>
          <w:tab/>
        </w:r>
        <w:r>
          <w:fldChar w:fldCharType="begin"/>
        </w:r>
        <w:r>
          <w:instrText xml:space="preserve"> PAGEREF _Toc14022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576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(二)、棉麻混纺行业发展现状</w:t>
        </w:r>
        <w:r>
          <w:tab/>
        </w:r>
        <w:r>
          <w:fldChar w:fldCharType="begin"/>
        </w:r>
        <w:r>
          <w:instrText xml:space="preserve"> PAGEREF _Toc30576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892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(三)、棉麻混纺行业高质量发展</w:t>
        </w:r>
        <w:r>
          <w:tab/>
        </w:r>
        <w:r>
          <w:fldChar w:fldCharType="begin"/>
        </w:r>
        <w:r>
          <w:instrText xml:space="preserve"> PAGEREF _Toc25892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428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(四)、棉麻混纺行业产业链分析</w:t>
        </w:r>
        <w:r>
          <w:tab/>
        </w:r>
        <w:r>
          <w:fldChar w:fldCharType="begin"/>
        </w:r>
        <w:r>
          <w:instrText xml:space="preserve"> PAGEREF _Toc14428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088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(五)、棉麻混纺行业发展方向</w:t>
        </w:r>
        <w:r>
          <w:tab/>
        </w:r>
        <w:r>
          <w:fldChar w:fldCharType="begin"/>
        </w:r>
        <w:r>
          <w:instrText xml:space="preserve"> PAGEREF _Toc10088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005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(六)、棉麻混纺行业前景</w:t>
        </w:r>
        <w:r>
          <w:tab/>
        </w:r>
        <w:r>
          <w:fldChar w:fldCharType="begin"/>
        </w:r>
        <w:r>
          <w:instrText xml:space="preserve"> PAGEREF _Toc10005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851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(七)、棉麻混纺行业发展趋势</w:t>
        </w:r>
        <w:r>
          <w:tab/>
        </w:r>
        <w:r>
          <w:fldChar w:fldCharType="begin"/>
        </w:r>
        <w:r>
          <w:instrText xml:space="preserve"> PAGEREF _Toc27851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43" w:history="1">
        <w:r>
          <w:rPr>
            <w:rFonts w:ascii="微软雅黑" w:eastAsia="微软雅黑" w:hAnsi="微软雅黑" w:cs="微软雅黑" w:hint="eastAsia"/>
            <w:color w:val="001CAC" w:themeColor="hyperlink" w:themeShade="BF"/>
            <w:szCs w:val="32"/>
            <w:lang w:eastAsia="zh-CN"/>
          </w:rPr>
          <w:t>五、棉麻混纺行业制度建设与执行</w:t>
        </w:r>
        <w:r>
          <w:tab/>
        </w:r>
        <w:r>
          <w:fldChar w:fldCharType="begin"/>
        </w:r>
        <w:r>
          <w:instrText xml:space="preserve"> PAGEREF _Toc3043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248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(一)、公司制度体系规划</w:t>
        </w:r>
        <w:r>
          <w:tab/>
        </w:r>
        <w:r>
          <w:fldChar w:fldCharType="begin"/>
        </w:r>
        <w:r>
          <w:instrText xml:space="preserve"> PAGEREF _Toc25248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772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(二)、员工手册编制与更新</w:t>
        </w:r>
        <w:r>
          <w:tab/>
        </w:r>
        <w:r>
          <w:fldChar w:fldCharType="begin"/>
        </w:r>
        <w:r>
          <w:instrText xml:space="preserve"> PAGEREF _Toc29772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187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(三)、制度宣导与培训</w:t>
        </w:r>
        <w:r>
          <w:tab/>
        </w:r>
        <w:r>
          <w:fldChar w:fldCharType="begin"/>
        </w:r>
        <w:r>
          <w:instrText xml:space="preserve"> PAGEREF _Toc10187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434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(四)、主要防范措施</w:t>
        </w:r>
        <w:r>
          <w:tab/>
        </w:r>
        <w:r>
          <w:fldChar w:fldCharType="begin"/>
        </w:r>
        <w:r>
          <w:instrText xml:space="preserve"> PAGEREF _Toc5434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508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(五)、制度优化与更新</w:t>
        </w:r>
        <w:r>
          <w:tab/>
        </w:r>
        <w:r>
          <w:fldChar w:fldCharType="begin"/>
        </w:r>
        <w:r>
          <w:instrText xml:space="preserve"> PAGEREF _Toc12508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538" w:history="1">
        <w:r>
          <w:rPr>
            <w:rFonts w:ascii="微软雅黑" w:eastAsia="微软雅黑" w:hAnsi="微软雅黑" w:cs="微软雅黑" w:hint="eastAsia"/>
            <w:color w:val="001CAC" w:themeColor="hyperlink" w:themeShade="BF"/>
            <w:szCs w:val="32"/>
            <w:lang w:eastAsia="zh-CN"/>
          </w:rPr>
          <w:t>六、资金筹措与投资分析</w:t>
        </w:r>
        <w:r>
          <w:tab/>
        </w:r>
        <w:r>
          <w:fldChar w:fldCharType="begin"/>
        </w:r>
        <w:r>
          <w:instrText xml:space="preserve"> PAGEREF _Toc32538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93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(一)、资金需求与筹措计划</w:t>
        </w:r>
        <w:r>
          <w:tab/>
        </w:r>
        <w:r>
          <w:fldChar w:fldCharType="begin"/>
        </w:r>
        <w:r>
          <w:instrText xml:space="preserve"> PAGEREF _Toc2593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413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(二)、投资分析与回报预期</w:t>
        </w:r>
        <w:r>
          <w:tab/>
        </w:r>
        <w:r>
          <w:fldChar w:fldCharType="begin"/>
        </w:r>
        <w:r>
          <w:instrText xml:space="preserve"> PAGEREF _Toc15413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20270" w:history="1">
        <w:r>
          <w:rPr>
            <w:rFonts w:ascii="微软雅黑" w:eastAsia="微软雅黑" w:hAnsi="微软雅黑" w:cs="微软雅黑" w:hint="eastAsia"/>
            <w:color w:val="001CAC" w:themeColor="hyperlink" w:themeShade="BF"/>
            <w:szCs w:val="32"/>
            <w:lang w:eastAsia="zh-CN"/>
          </w:rPr>
          <w:t>七、安全与劳动保护</w:t>
        </w:r>
        <w:r>
          <w:tab/>
        </w:r>
        <w:r>
          <w:fldChar w:fldCharType="begin"/>
        </w:r>
        <w:r>
          <w:instrText xml:space="preserve"> PAGEREF _Toc20270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331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(一)、设计依据与法规合规</w:t>
        </w:r>
        <w:r>
          <w:tab/>
        </w:r>
        <w:r>
          <w:fldChar w:fldCharType="begin"/>
        </w:r>
        <w:r>
          <w:instrText xml:space="preserve"> PAGEREF _Toc29331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173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(二)、劳动安全预期效果评价</w:t>
        </w:r>
        <w:r>
          <w:tab/>
        </w:r>
        <w:r>
          <w:fldChar w:fldCharType="begin"/>
        </w:r>
        <w:r>
          <w:instrText xml:space="preserve"> PAGEREF _Toc11173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808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(三)、主要防范措施</w:t>
        </w:r>
        <w:r>
          <w:tab/>
        </w:r>
        <w:r>
          <w:fldChar w:fldCharType="begin"/>
        </w:r>
        <w:r>
          <w:instrText xml:space="preserve"> PAGEREF _Toc11808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959" w:history="1">
        <w:r>
          <w:rPr>
            <w:rFonts w:ascii="微软雅黑" w:eastAsia="微软雅黑" w:hAnsi="微软雅黑" w:cs="微软雅黑" w:hint="eastAsia"/>
            <w:color w:val="001CAC" w:themeColor="hyperlink" w:themeShade="BF"/>
            <w:szCs w:val="32"/>
            <w:lang w:eastAsia="zh-CN"/>
          </w:rPr>
          <w:t>八、棉麻混纺行业质量管理方案</w:t>
        </w:r>
        <w:r>
          <w:tab/>
        </w:r>
        <w:r>
          <w:fldChar w:fldCharType="begin"/>
        </w:r>
        <w:r>
          <w:instrText xml:space="preserve"> PAGEREF _Toc5959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802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(一)、棉麻混纺行业质量管理要求</w:t>
        </w:r>
        <w:r>
          <w:tab/>
        </w:r>
        <w:r>
          <w:fldChar w:fldCharType="begin"/>
        </w:r>
        <w:r>
          <w:instrText xml:space="preserve"> PAGEREF _Toc23802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378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(二)、棉麻混纺行业服务质量管理方案</w:t>
        </w:r>
        <w:r>
          <w:tab/>
        </w:r>
        <w:r>
          <w:fldChar w:fldCharType="begin"/>
        </w:r>
        <w:r>
          <w:instrText xml:space="preserve"> PAGEREF _Toc20378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889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(三)、棉麻混纺行业质量成本管理方案</w:t>
        </w:r>
        <w:r>
          <w:tab/>
        </w:r>
        <w:r>
          <w:fldChar w:fldCharType="begin"/>
        </w:r>
        <w:r>
          <w:instrText xml:space="preserve"> PAGEREF _Toc5889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507" w:history="1">
        <w:r>
          <w:rPr>
            <w:rFonts w:ascii="微软雅黑" w:eastAsia="微软雅黑" w:hAnsi="微软雅黑" w:cs="微软雅黑" w:hint="eastAsia"/>
            <w:color w:val="001CAC" w:themeColor="hyperlink" w:themeShade="BF"/>
            <w:szCs w:val="32"/>
            <w:lang w:eastAsia="zh-CN"/>
          </w:rPr>
          <w:t>九、质量管理与持续改进</w:t>
        </w:r>
        <w:r>
          <w:tab/>
        </w:r>
        <w:r>
          <w:fldChar w:fldCharType="begin"/>
        </w:r>
        <w:r>
          <w:instrText xml:space="preserve"> PAGEREF _Toc25507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289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(一)、质量管理体系建设</w:t>
        </w:r>
        <w:r>
          <w:tab/>
        </w:r>
        <w:r>
          <w:fldChar w:fldCharType="begin"/>
        </w:r>
        <w:r>
          <w:instrText xml:space="preserve"> PAGEREF _Toc21289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92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(二)、生产过程控制与优化</w:t>
        </w:r>
        <w:r>
          <w:tab/>
        </w:r>
        <w:r>
          <w:fldChar w:fldCharType="begin"/>
        </w:r>
        <w:r>
          <w:instrText xml:space="preserve"> PAGEREF _Toc2692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(三)、产品质量检验与测试</w:t>
        </w:r>
        <w:r>
          <w:tab/>
        </w:r>
        <w:r>
          <w:fldChar w:fldCharType="begin"/>
        </w:r>
        <w:r>
          <w:instrText xml:space="preserve"> PAGEREF _Toc30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25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(四)、用户反馈与质量改进</w:t>
        </w:r>
        <w:r>
          <w:tab/>
        </w:r>
        <w:r>
          <w:fldChar w:fldCharType="begin"/>
        </w:r>
        <w:r>
          <w:instrText xml:space="preserve"> PAGEREF _Toc1025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395" w:history="1">
        <w:r>
          <w:rPr>
            <w:rFonts w:ascii="微软雅黑" w:eastAsia="微软雅黑" w:hAnsi="微软雅黑" w:cs="微软雅黑" w:hint="eastAsia"/>
            <w:color w:val="001CAC" w:themeColor="hyperlink" w:themeShade="BF"/>
            <w:szCs w:val="32"/>
            <w:lang w:eastAsia="zh-CN"/>
          </w:rPr>
          <w:t>十、棉麻混纺行业市场营销分析</w:t>
        </w:r>
        <w:r>
          <w:tab/>
        </w:r>
        <w:r>
          <w:fldChar w:fldCharType="begin"/>
        </w:r>
        <w:r>
          <w:instrText xml:space="preserve"> PAGEREF _Toc25395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289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(一)、棉麻混纺行业市场营销总体思路</w:t>
        </w:r>
        <w:r>
          <w:tab/>
        </w:r>
        <w:r>
          <w:fldChar w:fldCharType="begin"/>
        </w:r>
        <w:r>
          <w:instrText xml:space="preserve"> PAGEREF _Toc31289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655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(二)、棉麻混纺行业组织市场分析</w:t>
        </w:r>
        <w:r>
          <w:tab/>
        </w:r>
        <w:r>
          <w:fldChar w:fldCharType="begin"/>
        </w:r>
        <w:r>
          <w:instrText xml:space="preserve"> PAGEREF _Toc30655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038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(三)、棉麻混纺行业目标市场营销战略</w:t>
        </w:r>
        <w:r>
          <w:tab/>
        </w:r>
        <w:r>
          <w:fldChar w:fldCharType="begin"/>
        </w:r>
        <w:r>
          <w:instrText xml:space="preserve"> PAGEREF _Toc22038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729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(四)、棉麻混纺行业定价策略</w:t>
        </w:r>
        <w:r>
          <w:tab/>
        </w:r>
        <w:r>
          <w:fldChar w:fldCharType="begin"/>
        </w:r>
        <w:r>
          <w:instrText xml:space="preserve"> PAGEREF _Toc6729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467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(五)、棉麻混纺行业促销策略</w:t>
        </w:r>
        <w:r>
          <w:tab/>
        </w:r>
        <w:r>
          <w:fldChar w:fldCharType="begin"/>
        </w:r>
        <w:r>
          <w:instrText xml:space="preserve"> PAGEREF _Toc17467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165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(六)、棉麻混纺行业品牌策略</w:t>
        </w:r>
        <w:r>
          <w:tab/>
        </w:r>
        <w:r>
          <w:fldChar w:fldCharType="begin"/>
        </w:r>
        <w:r>
          <w:instrText xml:space="preserve"> PAGEREF _Toc26165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146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(七)、棉麻混纺行业关系营销</w:t>
        </w:r>
        <w:r>
          <w:tab/>
        </w:r>
        <w:r>
          <w:fldChar w:fldCharType="begin"/>
        </w:r>
        <w:r>
          <w:instrText xml:space="preserve"> PAGEREF _Toc22146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666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(八)、棉麻混纺行业体验营销</w:t>
        </w:r>
        <w:r>
          <w:tab/>
        </w:r>
        <w:r>
          <w:fldChar w:fldCharType="begin"/>
        </w:r>
        <w:r>
          <w:instrText xml:space="preserve"> PAGEREF _Toc8666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037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(九)、棉麻混纺行业互联网营销</w:t>
        </w:r>
        <w:r>
          <w:tab/>
        </w:r>
        <w:r>
          <w:fldChar w:fldCharType="begin"/>
        </w:r>
        <w:r>
          <w:instrText xml:space="preserve"> PAGEREF _Toc20037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339" w:history="1">
        <w:r>
          <w:rPr>
            <w:rFonts w:ascii="微软雅黑" w:eastAsia="微软雅黑" w:hAnsi="微软雅黑" w:cs="微软雅黑" w:hint="eastAsia"/>
            <w:color w:val="001CAC" w:themeColor="hyperlink" w:themeShade="BF"/>
            <w:szCs w:val="32"/>
            <w:lang w:eastAsia="zh-CN"/>
          </w:rPr>
          <w:t>十一、领导力发展与企业文化</w:t>
        </w:r>
        <w:r>
          <w:tab/>
        </w:r>
        <w:r>
          <w:fldChar w:fldCharType="begin"/>
        </w:r>
        <w:r>
          <w:instrText xml:space="preserve"> PAGEREF _Toc13339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875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(一)、高效团队建设原则</w:t>
        </w:r>
        <w:r>
          <w:tab/>
        </w:r>
        <w:r>
          <w:fldChar w:fldCharType="begin"/>
        </w:r>
        <w:r>
          <w:instrText xml:space="preserve"> PAGEREF _Toc15875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334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(二)、团队文化与价值观塑造</w:t>
        </w:r>
        <w:r>
          <w:tab/>
        </w:r>
        <w:r>
          <w:fldChar w:fldCharType="begin"/>
        </w:r>
        <w:r>
          <w:instrText xml:space="preserve"> PAGEREF _Toc14334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692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(三)、领导力发展计划</w:t>
        </w:r>
        <w:r>
          <w:tab/>
        </w:r>
        <w:r>
          <w:fldChar w:fldCharType="begin"/>
        </w:r>
        <w:r>
          <w:instrText xml:space="preserve"> PAGEREF _Toc9692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489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(四)、领导力在变革中的作用</w:t>
        </w:r>
        <w:r>
          <w:tab/>
        </w:r>
        <w:r>
          <w:fldChar w:fldCharType="begin"/>
        </w:r>
        <w:r>
          <w:instrText xml:space="preserve"> PAGEREF _Toc32489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13" w:history="1">
        <w:r>
          <w:rPr>
            <w:rFonts w:ascii="微软雅黑" w:eastAsia="微软雅黑" w:hAnsi="微软雅黑" w:cs="微软雅黑" w:hint="eastAsia"/>
            <w:color w:val="001CAC" w:themeColor="hyperlink" w:themeShade="BF"/>
            <w:szCs w:val="32"/>
            <w:lang w:eastAsia="zh-CN"/>
          </w:rPr>
          <w:t>十二、棉麻混纺行业投资管理策略</w:t>
        </w:r>
        <w:r>
          <w:tab/>
        </w:r>
        <w:r>
          <w:fldChar w:fldCharType="begin"/>
        </w:r>
        <w:r>
          <w:instrText xml:space="preserve"> PAGEREF _Toc1813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864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(一)、棉麻混纺行业投资估算主要内容</w:t>
        </w:r>
        <w:r>
          <w:tab/>
        </w:r>
        <w:r>
          <w:fldChar w:fldCharType="begin"/>
        </w:r>
        <w:r>
          <w:instrText xml:space="preserve"> PAGEREF _Toc17864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214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(二)、棉麻混纺行业设备购置投资费用管理</w:t>
        </w:r>
        <w:r>
          <w:tab/>
        </w:r>
        <w:r>
          <w:fldChar w:fldCharType="begin"/>
        </w:r>
        <w:r>
          <w:instrText xml:space="preserve"> PAGEREF _Toc4214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026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(三)、棉麻混纺行业装修施工投资费用管理</w:t>
        </w:r>
        <w:r>
          <w:tab/>
        </w:r>
        <w:r>
          <w:fldChar w:fldCharType="begin"/>
        </w:r>
        <w:r>
          <w:instrText xml:space="preserve"> PAGEREF _Toc14026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363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(四)、棉麻混纺行业流动资金管理</w:t>
        </w:r>
        <w:r>
          <w:tab/>
        </w:r>
        <w:r>
          <w:fldChar w:fldCharType="begin"/>
        </w:r>
        <w:r>
          <w:instrText xml:space="preserve"> PAGEREF _Toc8363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</w:p>
    <w:p>
      <w:pPr>
        <w:pStyle w:val="Heading1"/>
        <w:jc w:val="center"/>
        <w:rPr>
          <w:rFonts w:ascii="微软雅黑" w:eastAsia="微软雅黑" w:hAnsi="微软雅黑" w:cs="微软雅黑" w:hint="eastAsia"/>
          <w:color w:val="2E54A1" w:themeColor="accent1" w:themeShade="BF"/>
          <w:lang w:eastAsia="zh-CN"/>
        </w:rPr>
      </w:pPr>
      <w:bookmarkStart w:id="1" w:name="_Toc4046"/>
      <w:r>
        <w:rPr>
          <w:rFonts w:ascii="微软雅黑" w:eastAsia="微软雅黑" w:hAnsi="微软雅黑" w:cs="微软雅黑" w:hint="eastAsia"/>
          <w:color w:val="2E54A1" w:themeColor="accent1" w:themeShade="BF"/>
          <w:lang w:eastAsia="zh-CN"/>
        </w:rPr>
        <w:t>前言</w:t>
      </w:r>
      <w:bookmarkEnd w:id="1"/>
    </w:p>
    <w:p>
      <w:pPr>
        <w:spacing w:line="480" w:lineRule="auto"/>
        <w:ind w:firstLine="480" w:firstLineChars="200"/>
        <w:rPr>
          <w:rFonts w:ascii="宋体" w:eastAsia="宋体" w:hAnsi="宋体" w:cs="宋体" w:hint="eastAsia"/>
          <w:sz w:val="24"/>
          <w:szCs w:val="22"/>
        </w:rPr>
      </w:pPr>
      <w:r>
        <w:rPr>
          <w:rFonts w:ascii="宋体" w:eastAsia="宋体" w:hAnsi="宋体" w:cs="宋体" w:hint="eastAsia"/>
          <w:sz w:val="24"/>
          <w:szCs w:val="22"/>
          <w:lang w:eastAsia="zh-CN"/>
        </w:rPr>
        <w:t>棉麻混纺行业研究报告旨在对棉麻混纺行业进行深入分析和研究,为 相关从业人员提供参考依据。报告内容仅供学习交流使用，不可用于商业用途。通过梳理棉麻混纺行业发展历程、分析市场潜力和主要竞争对手，探讨行业趋势及未来发展方向，旨在提供启示和建议。</w:t>
      </w:r>
    </w:p>
    <w:p>
      <w:pPr>
        <w:pStyle w:val="Heading1"/>
        <w:spacing w:line="480" w:lineRule="auto"/>
        <w:rPr>
          <w:rFonts w:ascii="微软雅黑" w:eastAsia="微软雅黑" w:hAnsi="微软雅黑" w:cs="微软雅黑" w:hint="eastAsia"/>
          <w:color w:val="2E54A1" w:themeColor="accent1" w:themeShade="BF"/>
          <w:sz w:val="32"/>
          <w:szCs w:val="32"/>
          <w:lang w:eastAsia="zh-CN"/>
        </w:rPr>
      </w:pPr>
      <w:bookmarkStart w:id="2" w:name="_Toc11273"/>
      <w:r>
        <w:rPr>
          <w:rFonts w:ascii="微软雅黑" w:eastAsia="微软雅黑" w:hAnsi="微软雅黑" w:cs="微软雅黑" w:hint="eastAsia"/>
          <w:color w:val="2E54A1" w:themeColor="accent1" w:themeShade="BF"/>
          <w:sz w:val="32"/>
          <w:szCs w:val="32"/>
          <w:lang w:eastAsia="zh-CN"/>
        </w:rPr>
        <w:t>一、项目管理与团队协作</w:t>
      </w:r>
      <w:bookmarkEnd w:id="2"/>
    </w:p>
    <w:p>
      <w:pPr>
        <w:pStyle w:val="Heading2"/>
        <w:spacing w:line="480" w:lineRule="auto"/>
        <w:rPr>
          <w:rFonts w:ascii="宋体" w:eastAsia="宋体" w:hAnsi="宋体" w:cs="宋体" w:hint="eastAsia"/>
          <w:bCs w:val="0"/>
          <w:sz w:val="28"/>
          <w:szCs w:val="28"/>
          <w:lang w:eastAsia="zh-CN"/>
        </w:rPr>
      </w:pPr>
      <w:bookmarkStart w:id="3" w:name="_Toc17219"/>
      <w:r>
        <w:rPr>
          <w:rFonts w:ascii="宋体" w:eastAsia="宋体" w:hAnsi="宋体" w:cs="宋体" w:hint="eastAsia"/>
          <w:b/>
          <w:bCs w:val="0"/>
          <w:sz w:val="28"/>
          <w:szCs w:val="28"/>
          <w:lang w:eastAsia="zh-CN"/>
        </w:rPr>
        <w:t>(一)、项目管理方法论</w:t>
      </w:r>
      <w:bookmarkEnd w:id="3"/>
    </w:p>
    <w:p>
      <w:pPr>
        <w:spacing w:line="480" w:lineRule="auto"/>
        <w:ind w:firstLine="420" w:firstLineChars="0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  <w:szCs w:val="24"/>
          <w:lang w:eastAsia="zh-CN"/>
        </w:rPr>
        <w:t>1.项目规划阶段：</w:t>
      </w:r>
    </w:p>
    <w:p>
      <w:pPr>
        <w:spacing w:line="480" w:lineRule="auto"/>
        <w:ind w:firstLine="420" w:firstLineChars="0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  <w:szCs w:val="24"/>
          <w:lang w:eastAsia="zh-CN"/>
        </w:rPr>
        <w:t>在项目启动时,首先进行项目规划。这包括明确项目的目标、范围、时间表、预算以及相关的利益相关者。在这个阶段，可以采用传统的项目管理方法，如XXX框架，确定项目的基本参数，并建立项目团队和沟通机制。</w:t>
      </w:r>
    </w:p>
    <w:p>
      <w:pPr>
        <w:spacing w:line="480" w:lineRule="auto"/>
        <w:ind w:firstLine="420" w:firstLineChars="0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  <w:szCs w:val="24"/>
          <w:lang w:eastAsia="zh-CN"/>
        </w:rPr>
        <w:t>2.敏捷方法：</w:t>
      </w:r>
    </w:p>
    <w:p>
      <w:pPr>
        <w:spacing w:line="480" w:lineRule="auto"/>
        <w:ind w:firstLine="420" w:firstLineChars="0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  <w:szCs w:val="24"/>
          <w:lang w:eastAsia="zh-CN"/>
        </w:rPr>
        <w:t>在项目执行过程中，特别是对于需求变化频繁或者需要快速交付的项目，可以采用敏捷方法。XX和XXX是两种广泛使用的敏捷方法，它们强调小团队的协作、快速迭代、灵活应对变化，并通过短周期的迭代实现产品或服务的逐步交付。</w:t>
      </w:r>
    </w:p>
    <w:p>
      <w:pPr>
        <w:spacing w:line="480" w:lineRule="auto"/>
        <w:ind w:firstLine="420" w:firstLineChars="0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  <w:szCs w:val="24"/>
          <w:lang w:eastAsia="zh-CN"/>
        </w:rPr>
        <w:t>3.融合式方法：</w:t>
      </w:r>
    </w:p>
    <w:p>
      <w:pPr>
        <w:spacing w:line="480" w:lineRule="auto"/>
        <w:ind w:firstLine="420" w:firstLineChars="0"/>
        <w:rPr>
          <w:rFonts w:ascii="宋体" w:eastAsia="宋体" w:hAnsi="宋体" w:cs="宋体" w:hint="eastAsia"/>
          <w:sz w:val="24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rPr>
          <w:rFonts w:ascii="宋体" w:eastAsia="宋体" w:hAnsi="宋体" w:cs="宋体" w:hint="eastAsia"/>
          <w:sz w:val="24"/>
          <w:szCs w:val="24"/>
          <w:lang w:eastAsia="zh-CN"/>
        </w:rPr>
        <w:t>有时候，项目可能需要结合多种方法，形成一种融合式的管理方式，以更好地适应项目的复杂性和特殊性。这种方法要求项目管理者具备跨足多个方法的知识和技能,根据实际情况选择和调整管理方法。</w:t>
      </w:r>
    </w:p>
    <w:p>
      <w:pPr>
        <w:pStyle w:val="Heading2"/>
        <w:spacing w:line="480" w:lineRule="auto"/>
        <w:rPr>
          <w:rFonts w:ascii="宋体" w:eastAsia="宋体" w:hAnsi="宋体" w:cs="宋体" w:hint="eastAsia"/>
          <w:bCs w:val="0"/>
          <w:sz w:val="28"/>
          <w:szCs w:val="28"/>
          <w:lang w:eastAsia="zh-CN"/>
        </w:rPr>
      </w:pPr>
      <w:bookmarkStart w:id="4" w:name="_Toc31049"/>
      <w:r>
        <w:rPr>
          <w:rFonts w:ascii="宋体" w:eastAsia="宋体" w:hAnsi="宋体" w:cs="宋体" w:hint="eastAsia"/>
          <w:b/>
          <w:bCs w:val="0"/>
          <w:sz w:val="28"/>
          <w:szCs w:val="28"/>
          <w:lang w:eastAsia="zh-CN"/>
        </w:rPr>
        <w:t>(二)、团队组建与角色分工</w:t>
      </w:r>
      <w:bookmarkEnd w:id="4"/>
    </w:p>
    <w:p>
      <w:pPr>
        <w:spacing w:line="480" w:lineRule="auto"/>
        <w:ind w:firstLine="420" w:firstLineChars="0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  <w:szCs w:val="24"/>
          <w:lang w:eastAsia="zh-CN"/>
        </w:rPr>
        <w:t>在项目启动的初期，我们进行了精心的团队组建，以确保项目的成功实施。首先，我们进行了团队成员的招募与选拔。通过仔细分析项目所需的技能和专业背景,我们选拔了一支具有多样化技能和经验的团队，以满足项目各个方面的需求。</w:t>
      </w:r>
    </w:p>
    <w:p>
      <w:pPr>
        <w:spacing w:line="480" w:lineRule="auto"/>
        <w:ind w:firstLine="420" w:firstLineChars="0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  <w:szCs w:val="24"/>
          <w:lang w:eastAsia="zh-CN"/>
        </w:rPr>
        <w:t>项目经理是整个团队的领导者，负责项目的整体规划、协调和控制。项目经理具有丰富的项目管理经验，能够有效地领导团队，推动项目朝着既定的目标前进。</w:t>
      </w:r>
    </w:p>
    <w:p>
      <w:pPr>
        <w:spacing w:line="480" w:lineRule="auto"/>
        <w:ind w:firstLine="420" w:firstLineChars="0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  <w:szCs w:val="24"/>
          <w:lang w:eastAsia="zh-CN"/>
        </w:rPr>
        <w:t>在团队中，我们还设立了项目协调员的角色。协调员负责协调团队内外的沟通，确保信息畅通，协助项目经理推动项目进展。</w:t>
      </w:r>
    </w:p>
    <w:p>
      <w:pPr>
        <w:spacing w:line="480" w:lineRule="auto"/>
        <w:ind w:firstLine="420" w:firstLineChars="0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  <w:szCs w:val="24"/>
          <w:lang w:eastAsia="zh-CN"/>
        </w:rPr>
        <w:t>技术专家是项目的中流砥柱,负责项目中的技术难题的解决和指导。他们在相关领域拥有丰富的经验和专业知识，为项目提供了坚实的技术支持。</w:t>
      </w:r>
    </w:p>
    <w:p>
      <w:pPr>
        <w:spacing w:line="480" w:lineRule="auto"/>
        <w:ind w:firstLine="420" w:firstLineChars="0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  <w:szCs w:val="24"/>
          <w:lang w:eastAsia="zh-CN"/>
        </w:rPr>
        <w:t>此外，我们组建了执行团队，包括各个职能领域的专业人员。这些人员在项目中扮演着具体执行任务的角色，他们的工作涉及到项目的具体实施、测试、优化等方面。</w:t>
      </w:r>
    </w:p>
    <w:p>
      <w:pPr>
        <w:spacing w:line="480" w:lineRule="auto"/>
        <w:ind w:firstLine="420" w:firstLineChars="0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  <w:szCs w:val="24"/>
          <w:lang w:eastAsia="zh-CN"/>
        </w:rPr>
        <w:t>为了更好地保证项目的顺利推进,我们明确了每个团队成员的角色分工。通过清晰的责任划分，每个成员都知道自己的任务和职责，从而提高了团队的协同效率。团队成员通过密切协作，充分发挥各自的专业优势，确保项目各个方面的工作都得到充分的关注和推动。</w:t>
      </w:r>
    </w:p>
    <w:p>
      <w:pPr>
        <w:spacing w:line="480" w:lineRule="auto"/>
        <w:ind w:firstLine="420" w:firstLineChars="0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  <w:szCs w:val="24"/>
          <w:lang w:eastAsia="zh-CN"/>
        </w:rPr>
        <w:t>总体而言，我们致力于构建一个高效协同的团队，每个成员都能在自己的领域发挥最大的潜力，共同为项目的成功实施贡献力量。通过明确的组织结构和角色分工，我们打造了一个团结合作、目标一致的项目团队。</w:t>
      </w:r>
      <w:r>
        <w:rPr>
          <w:rFonts w:ascii="宋体" w:eastAsia="宋体" w:hAnsi="宋体" w:cs="宋体" w:hint="eastAsia"/>
          <w:sz w:val="24"/>
        </w:rPr>
        <w:br/>
      </w:r>
      <w:r>
        <w:rPr>
          <w:rFonts w:ascii="宋体" w:eastAsia="宋体" w:hAnsi="宋体" w:cs="宋体" w:hint="eastAsia"/>
          <w:sz w:val="24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https://d.book118.com/055113022020011100</w:t>
        </w:r>
      </w:hyperlink>
    </w:p>
    <w:p>
      <w:pPr>
        <w:spacing w:line="480" w:lineRule="auto"/>
        <w:ind w:firstLine="420" w:firstLineChars="0"/>
        <w:rPr>
          <w:rFonts w:ascii="宋体" w:eastAsia="宋体" w:hAnsi="宋体" w:cs="宋体" w:hint="eastAsia"/>
          <w:sz w:val="24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82775B3"/>
    <w:rsid w:val="02623C3C"/>
    <w:rsid w:val="03734037"/>
    <w:rsid w:val="0F4B4421"/>
    <w:rsid w:val="13614867"/>
    <w:rsid w:val="3DAC44EE"/>
    <w:rsid w:val="453746B4"/>
    <w:rsid w:val="482775B3"/>
    <w:rsid w:val="49C53810"/>
    <w:rsid w:val="4E155AC7"/>
    <w:rsid w:val="50930768"/>
    <w:rsid w:val="62A91464"/>
    <w:rsid w:val="692E1C42"/>
  </w:rsids>
  <w:docVars>
    <w:docVar w:name="commondata" w:val="eyJoZGlkIjoiYjEzZTI3MzIxYzUxM2E3Y2YyMDVhZDRkMWU5YjExZDg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 w:qFormat="1"/>
    <w:lsdException w:name="toc 2" w:semiHidden="0" w:uiPriority="0" w:unhideWhenUsed="0" w:qFormat="1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 w:qFormat="1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autoRedefine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autoRedefine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autoRedefine/>
    <w:semiHidden/>
    <w:qFormat/>
  </w:style>
  <w:style w:type="table" w:default="1" w:styleId="TableNormal">
    <w:name w:val="Normal Table"/>
    <w:autoRedefine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autoRedefine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autoRedefine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  <w:autoRedefine/>
    <w:qFormat/>
  </w:style>
  <w:style w:type="paragraph" w:styleId="TOC2">
    <w:name w:val="toc 2"/>
    <w:basedOn w:val="Normal"/>
    <w:next w:val="Normal"/>
    <w:autoRedefine/>
    <w:qFormat/>
    <w:pPr>
      <w:ind w:left="420" w:leftChars="200"/>
    </w:pPr>
  </w:style>
  <w:style w:type="character" w:styleId="PageNumber">
    <w:name w:val="page number"/>
    <w:basedOn w:val="DefaultParagraphFont"/>
    <w:autoRedefine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055113022020011100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黄晨</dc:creator>
  <cp:lastModifiedBy>小海豹</cp:lastModifiedBy>
  <cp:revision>1</cp:revision>
  <dcterms:created xsi:type="dcterms:W3CDTF">2023-12-10T12:06:00Z</dcterms:created>
  <dcterms:modified xsi:type="dcterms:W3CDTF">2024-01-17T06:28:58Z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1E39AA5D4B7F4B19B7D16FD992F8235D_13</vt:lpwstr>
  </property>
  <property fmtid="{D5CDD505-2E9C-101B-9397-08002B2CF9AE}" pid="3" name="KSOProductBuildVer">
    <vt:lpwstr>2052-12.1.0.16120</vt:lpwstr>
  </property>
</Properties>
</file>