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油田化学品相关行业公司成立报告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eastAsia="zh-CN"/>
          </w:rPr>
          <w:t>四、油田化学品筹建公司基本信息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五、油田化学品项目概况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(二)、油田化学品项目提出的理由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(三)、油田化学品项目选址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(六)、油田化学品项目投资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(七)、油田化学品项目进度规划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(九)、油田化学品项目综合评价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_Toc25864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(一)、油田化学品项目背景分析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" w:history="1">
        <w:r>
          <w:rPr>
            <w:rFonts w:ascii="仿宋" w:eastAsia="仿宋" w:hAnsi="仿宋" w:cs="仿宋" w:hint="eastAsia"/>
            <w:lang w:eastAsia="zh-CN"/>
          </w:rPr>
          <w:t>(二)、油田化学品项目建设必要性分析</w:t>
        </w:r>
        <w:r>
          <w:tab/>
        </w:r>
        <w:r>
          <w:fldChar w:fldCharType="begin"/>
        </w:r>
        <w:r>
          <w:instrText xml:space="preserve"> PAGEREF _Toc884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(一)、油田化学品项目进度安排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(二)、油田化学品项目实施保障措施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_Toc19673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九、油田化学品项目经济效益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(三)、油田化学品项目盈利能力分析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十、油田化学品项目风险分析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(一)、油田化学品项目风险分析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(二)、油田化学品项目风险对策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(一)、社会责任油田化学品项目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7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https://d.book118.com/055113322332011110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油田化学品相关行业公司成立报告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113322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2024-02-10T07:57:00Z</dcterms:created>
  <dcterms:modified xsi:type="dcterms:W3CDTF">2024-02-10T07:57:42Z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2E30CFFD40FD4C9ABF1D0B2C6C2247FA_11</vt:lpwstr>
  </property>
  <property fmtid="{D5CDD505-2E9C-101B-9397-08002B2CF9AE}" pid="3" name="KSOProductBuildVer">
    <vt:lpwstr>2052-12.1.0.16250</vt:lpwstr>
  </property>
</Properties>
</file>