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099B">
      <w:pPr>
        <w:widowControl/>
        <w:jc w:val="left"/>
        <w:rPr>
          <w:rFonts w:ascii="仿宋" w:eastAsia="仿宋" w:hAnsi="仿宋"/>
          <w:b/>
          <w:sz w:val="40"/>
        </w:rPr>
      </w:pPr>
      <w:bookmarkStart w:id="0" w:name="_GoBack"/>
      <w:bookmarkEnd w:id="0"/>
    </w:p>
    <w:p w:rsidR="0066099B">
      <w:pPr>
        <w:widowControl/>
        <w:jc w:val="left"/>
        <w:rPr>
          <w:rFonts w:ascii="仿宋" w:eastAsia="仿宋" w:hAnsi="仿宋"/>
          <w:b/>
          <w:sz w:val="40"/>
        </w:rPr>
      </w:pPr>
    </w:p>
    <w:p w:rsidR="0066099B">
      <w:pPr>
        <w:widowControl/>
        <w:jc w:val="left"/>
        <w:rPr>
          <w:rFonts w:ascii="仿宋" w:eastAsia="仿宋" w:hAnsi="仿宋"/>
          <w:b/>
          <w:sz w:val="40"/>
        </w:rPr>
      </w:pPr>
    </w:p>
    <w:p w:rsidR="0066099B" w:rsidRPr="0066099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099B">
        <w:rPr>
          <w:rFonts w:ascii="宋体" w:eastAsia="宋体" w:hAnsi="宋体"/>
          <w:b/>
          <w:sz w:val="60"/>
        </w:rPr>
        <w:t>C301-I型低压甲醇合成催化剂项目经济评价报告</w:t>
      </w:r>
    </w:p>
    <w:p w:rsidR="0066099B" w:rsidP="0066099B">
      <w:pPr>
        <w:widowControl/>
        <w:jc w:val="center"/>
        <w:rPr>
          <w:rFonts w:ascii="仿宋" w:eastAsia="仿宋" w:hAnsi="仿宋" w:hint="eastAsia"/>
          <w:b/>
          <w:sz w:val="40"/>
        </w:rPr>
      </w:pPr>
      <w:r w:rsidRPr="0066099B">
        <w:rPr>
          <w:rFonts w:ascii="仿宋" w:eastAsia="仿宋" w:hAnsi="仿宋" w:hint="eastAsia"/>
          <w:b/>
          <w:sz w:val="40"/>
        </w:rPr>
        <w:t>目录</w:t>
      </w:r>
    </w:p>
    <w:p w:rsidR="0066099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_Toc156000940 \h </w:instrText>
      </w:r>
      <w:r>
        <w:rPr>
          <w:noProof/>
        </w:rPr>
        <w:fldChar w:fldCharType="separate"/>
      </w:r>
      <w:r>
        <w:rPr>
          <w:noProof/>
        </w:rPr>
        <w:t>3</w:t>
      </w:r>
      <w:r>
        <w:rPr>
          <w:noProof/>
        </w:rPr>
        <w:fldChar w:fldCharType="end"/>
      </w:r>
    </w:p>
    <w:p w:rsidR="0066099B">
      <w:pPr>
        <w:pStyle w:val="TOC1"/>
        <w:tabs>
          <w:tab w:val="right" w:leader="dot" w:pos="8296"/>
        </w:tabs>
        <w:rPr>
          <w:noProof/>
        </w:rPr>
      </w:pPr>
      <w:r>
        <w:rPr>
          <w:rFonts w:hint="eastAsia"/>
          <w:noProof/>
        </w:rPr>
        <w:t>一、</w:t>
      </w:r>
      <w:r>
        <w:rPr>
          <w:noProof/>
        </w:rPr>
        <w:t>C301-I</w:t>
      </w:r>
      <w:r>
        <w:rPr>
          <w:rFonts w:hint="eastAsia"/>
          <w:noProof/>
        </w:rPr>
        <w:t>型低压甲醇合成催化剂项目风险管理方案</w:t>
      </w:r>
      <w:r>
        <w:rPr>
          <w:noProof/>
        </w:rPr>
        <w:tab/>
      </w:r>
      <w:r>
        <w:rPr>
          <w:noProof/>
        </w:rPr>
        <w:fldChar w:fldCharType="begin"/>
      </w:r>
      <w:r>
        <w:rPr>
          <w:noProof/>
        </w:rPr>
        <w:instrText xml:space="preserve"> PAGEREF _Toc156000941 \h </w:instrText>
      </w:r>
      <w:r>
        <w:rPr>
          <w:noProof/>
        </w:rPr>
        <w:fldChar w:fldCharType="separate"/>
      </w:r>
      <w:r>
        <w:rPr>
          <w:noProof/>
        </w:rPr>
        <w:t>3</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_Toc156000942 \h </w:instrText>
      </w:r>
      <w:r>
        <w:rPr>
          <w:noProof/>
        </w:rPr>
        <w:fldChar w:fldCharType="separate"/>
      </w:r>
      <w:r>
        <w:rPr>
          <w:noProof/>
        </w:rPr>
        <w:t>3</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_Toc156000943 \h </w:instrText>
      </w:r>
      <w:r>
        <w:rPr>
          <w:noProof/>
        </w:rPr>
        <w:fldChar w:fldCharType="separate"/>
      </w:r>
      <w:r>
        <w:rPr>
          <w:noProof/>
        </w:rPr>
        <w:t>5</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_Toc156000944 \h </w:instrText>
      </w:r>
      <w:r>
        <w:rPr>
          <w:noProof/>
        </w:rPr>
        <w:fldChar w:fldCharType="separate"/>
      </w:r>
      <w:r>
        <w:rPr>
          <w:noProof/>
        </w:rPr>
        <w:t>7</w:t>
      </w:r>
      <w:r>
        <w:rPr>
          <w:noProof/>
        </w:rPr>
        <w:fldChar w:fldCharType="end"/>
      </w:r>
    </w:p>
    <w:p w:rsidR="0066099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_Toc156000945 \h </w:instrText>
      </w:r>
      <w:r>
        <w:rPr>
          <w:noProof/>
        </w:rPr>
        <w:fldChar w:fldCharType="separate"/>
      </w:r>
      <w:r>
        <w:rPr>
          <w:noProof/>
        </w:rPr>
        <w:t>9</w:t>
      </w:r>
      <w:r>
        <w:rPr>
          <w:noProof/>
        </w:rPr>
        <w:fldChar w:fldCharType="end"/>
      </w:r>
    </w:p>
    <w:p w:rsidR="0066099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_Toc156000946 \h </w:instrText>
      </w:r>
      <w:r>
        <w:rPr>
          <w:noProof/>
        </w:rPr>
        <w:fldChar w:fldCharType="separate"/>
      </w:r>
      <w:r>
        <w:rPr>
          <w:noProof/>
        </w:rPr>
        <w:t>11</w:t>
      </w:r>
      <w:r>
        <w:rPr>
          <w:noProof/>
        </w:rPr>
        <w:fldChar w:fldCharType="end"/>
      </w:r>
    </w:p>
    <w:p w:rsidR="0066099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_Toc156000947 \h </w:instrText>
      </w:r>
      <w:r>
        <w:rPr>
          <w:noProof/>
        </w:rPr>
        <w:fldChar w:fldCharType="separate"/>
      </w:r>
      <w:r>
        <w:rPr>
          <w:noProof/>
        </w:rPr>
        <w:t>15</w:t>
      </w:r>
      <w:r>
        <w:rPr>
          <w:noProof/>
        </w:rPr>
        <w:fldChar w:fldCharType="end"/>
      </w:r>
    </w:p>
    <w:p w:rsidR="0066099B">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_Toc156000948 \h </w:instrText>
      </w:r>
      <w:r>
        <w:rPr>
          <w:noProof/>
        </w:rPr>
        <w:fldChar w:fldCharType="separate"/>
      </w:r>
      <w:r>
        <w:rPr>
          <w:noProof/>
        </w:rPr>
        <w:t>16</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_Toc156000949 \h </w:instrText>
      </w:r>
      <w:r>
        <w:rPr>
          <w:noProof/>
        </w:rPr>
        <w:fldChar w:fldCharType="separate"/>
      </w:r>
      <w:r>
        <w:rPr>
          <w:noProof/>
        </w:rPr>
        <w:t>16</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_Toc156000950 \h </w:instrText>
      </w:r>
      <w:r>
        <w:rPr>
          <w:noProof/>
        </w:rPr>
        <w:fldChar w:fldCharType="separate"/>
      </w:r>
      <w:r>
        <w:rPr>
          <w:noProof/>
        </w:rPr>
        <w:t>18</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_Toc156000951 \h </w:instrText>
      </w:r>
      <w:r>
        <w:rPr>
          <w:noProof/>
        </w:rPr>
        <w:fldChar w:fldCharType="separate"/>
      </w:r>
      <w:r>
        <w:rPr>
          <w:noProof/>
        </w:rPr>
        <w:t>19</w:t>
      </w:r>
      <w:r>
        <w:rPr>
          <w:noProof/>
        </w:rPr>
        <w:fldChar w:fldCharType="end"/>
      </w:r>
    </w:p>
    <w:p w:rsidR="0066099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_Toc156000952 \h </w:instrText>
      </w:r>
      <w:r>
        <w:rPr>
          <w:noProof/>
        </w:rPr>
        <w:fldChar w:fldCharType="separate"/>
      </w:r>
      <w:r>
        <w:rPr>
          <w:noProof/>
        </w:rPr>
        <w:t>21</w:t>
      </w:r>
      <w:r>
        <w:rPr>
          <w:noProof/>
        </w:rPr>
        <w:fldChar w:fldCharType="end"/>
      </w:r>
    </w:p>
    <w:p w:rsidR="0066099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_Toc156000953 \h </w:instrText>
      </w:r>
      <w:r>
        <w:rPr>
          <w:noProof/>
        </w:rPr>
        <w:fldChar w:fldCharType="separate"/>
      </w:r>
      <w:r>
        <w:rPr>
          <w:noProof/>
        </w:rPr>
        <w:t>22</w:t>
      </w:r>
      <w:r>
        <w:rPr>
          <w:noProof/>
        </w:rPr>
        <w:fldChar w:fldCharType="end"/>
      </w:r>
    </w:p>
    <w:p w:rsidR="0066099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_Toc156000954 \h </w:instrText>
      </w:r>
      <w:r>
        <w:rPr>
          <w:noProof/>
        </w:rPr>
        <w:fldChar w:fldCharType="separate"/>
      </w:r>
      <w:r>
        <w:rPr>
          <w:noProof/>
        </w:rPr>
        <w:t>23</w:t>
      </w:r>
      <w:r>
        <w:rPr>
          <w:noProof/>
        </w:rPr>
        <w:fldChar w:fldCharType="end"/>
      </w:r>
    </w:p>
    <w:p w:rsidR="0066099B">
      <w:pPr>
        <w:pStyle w:val="TOC1"/>
        <w:tabs>
          <w:tab w:val="right" w:leader="dot" w:pos="8296"/>
        </w:tabs>
        <w:rPr>
          <w:noProof/>
        </w:rPr>
      </w:pPr>
      <w:r>
        <w:rPr>
          <w:rFonts w:hint="eastAsia"/>
          <w:noProof/>
        </w:rPr>
        <w:t>三、</w:t>
      </w:r>
      <w:r>
        <w:rPr>
          <w:noProof/>
        </w:rPr>
        <w:t>C301-I</w:t>
      </w:r>
      <w:r>
        <w:rPr>
          <w:rFonts w:hint="eastAsia"/>
          <w:noProof/>
        </w:rPr>
        <w:t>型低压甲醇合成催化剂项目人力资源管理方案</w:t>
      </w:r>
      <w:r>
        <w:rPr>
          <w:noProof/>
        </w:rPr>
        <w:tab/>
      </w:r>
      <w:r>
        <w:rPr>
          <w:noProof/>
        </w:rPr>
        <w:fldChar w:fldCharType="begin"/>
      </w:r>
      <w:r>
        <w:rPr>
          <w:noProof/>
        </w:rPr>
        <w:instrText xml:space="preserve"> PAGEREF _Toc156000955 \h </w:instrText>
      </w:r>
      <w:r>
        <w:rPr>
          <w:noProof/>
        </w:rPr>
        <w:fldChar w:fldCharType="separate"/>
      </w:r>
      <w:r>
        <w:rPr>
          <w:noProof/>
        </w:rPr>
        <w:t>25</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_Toc156000956 \h </w:instrText>
      </w:r>
      <w:r>
        <w:rPr>
          <w:noProof/>
        </w:rPr>
        <w:fldChar w:fldCharType="separate"/>
      </w:r>
      <w:r>
        <w:rPr>
          <w:noProof/>
        </w:rPr>
        <w:t>25</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_Toc156000957 \h </w:instrText>
      </w:r>
      <w:r>
        <w:rPr>
          <w:noProof/>
        </w:rPr>
        <w:fldChar w:fldCharType="separate"/>
      </w:r>
      <w:r>
        <w:rPr>
          <w:noProof/>
        </w:rPr>
        <w:t>28</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_Toc156000958 \h </w:instrText>
      </w:r>
      <w:r>
        <w:rPr>
          <w:noProof/>
        </w:rPr>
        <w:fldChar w:fldCharType="separate"/>
      </w:r>
      <w:r>
        <w:rPr>
          <w:noProof/>
        </w:rPr>
        <w:t>30</w:t>
      </w:r>
      <w:r>
        <w:rPr>
          <w:noProof/>
        </w:rPr>
        <w:fldChar w:fldCharType="end"/>
      </w:r>
    </w:p>
    <w:p w:rsidR="0066099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_Toc156000959 \h </w:instrText>
      </w:r>
      <w:r>
        <w:rPr>
          <w:noProof/>
        </w:rPr>
        <w:fldChar w:fldCharType="separate"/>
      </w:r>
      <w:r>
        <w:rPr>
          <w:noProof/>
        </w:rPr>
        <w:t>32</w:t>
      </w:r>
      <w:r>
        <w:rPr>
          <w:noProof/>
        </w:rPr>
        <w:fldChar w:fldCharType="end"/>
      </w:r>
    </w:p>
    <w:p w:rsidR="0066099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_Toc156000960 \h </w:instrText>
      </w:r>
      <w:r>
        <w:rPr>
          <w:noProof/>
        </w:rPr>
        <w:fldChar w:fldCharType="separate"/>
      </w:r>
      <w:r>
        <w:rPr>
          <w:noProof/>
        </w:rPr>
        <w:t>35</w:t>
      </w:r>
      <w:r>
        <w:rPr>
          <w:noProof/>
        </w:rPr>
        <w:fldChar w:fldCharType="end"/>
      </w:r>
    </w:p>
    <w:p w:rsidR="0066099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_Toc156000961 \h </w:instrText>
      </w:r>
      <w:r>
        <w:rPr>
          <w:noProof/>
        </w:rPr>
        <w:fldChar w:fldCharType="separate"/>
      </w:r>
      <w:r>
        <w:rPr>
          <w:noProof/>
        </w:rPr>
        <w:t>38</w:t>
      </w:r>
      <w:r>
        <w:rPr>
          <w:noProof/>
        </w:rPr>
        <w:fldChar w:fldCharType="end"/>
      </w:r>
    </w:p>
    <w:p w:rsidR="0066099B">
      <w:pPr>
        <w:pStyle w:val="TOC1"/>
        <w:tabs>
          <w:tab w:val="right" w:leader="dot" w:pos="8296"/>
        </w:tabs>
        <w:rPr>
          <w:noProof/>
        </w:rPr>
      </w:pPr>
      <w:r>
        <w:rPr>
          <w:rFonts w:hint="eastAsia"/>
          <w:noProof/>
        </w:rPr>
        <w:t>四、</w:t>
      </w:r>
      <w:r>
        <w:rPr>
          <w:noProof/>
        </w:rPr>
        <w:t>C301-I</w:t>
      </w:r>
      <w:r>
        <w:rPr>
          <w:rFonts w:hint="eastAsia"/>
          <w:noProof/>
        </w:rPr>
        <w:t>型低压甲醇合成催化剂项目建筑工程方案</w:t>
      </w:r>
      <w:r>
        <w:rPr>
          <w:noProof/>
        </w:rPr>
        <w:tab/>
      </w:r>
      <w:r>
        <w:rPr>
          <w:noProof/>
        </w:rPr>
        <w:fldChar w:fldCharType="begin"/>
      </w:r>
      <w:r>
        <w:rPr>
          <w:noProof/>
        </w:rPr>
        <w:instrText xml:space="preserve"> PAGEREF _Toc156000962 \h </w:instrText>
      </w:r>
      <w:r>
        <w:rPr>
          <w:noProof/>
        </w:rPr>
        <w:fldChar w:fldCharType="separate"/>
      </w:r>
      <w:r>
        <w:rPr>
          <w:noProof/>
        </w:rPr>
        <w:t>40</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_Toc156000963 \h </w:instrText>
      </w:r>
      <w:r>
        <w:rPr>
          <w:noProof/>
        </w:rPr>
        <w:fldChar w:fldCharType="separate"/>
      </w:r>
      <w:r>
        <w:rPr>
          <w:noProof/>
        </w:rPr>
        <w:t>40</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_Toc156000964 \h </w:instrText>
      </w:r>
      <w:r>
        <w:rPr>
          <w:noProof/>
        </w:rPr>
        <w:fldChar w:fldCharType="separate"/>
      </w:r>
      <w:r>
        <w:rPr>
          <w:noProof/>
        </w:rPr>
        <w:t>42</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_Toc156000965 \h </w:instrText>
      </w:r>
      <w:r>
        <w:rPr>
          <w:noProof/>
        </w:rPr>
        <w:fldChar w:fldCharType="separate"/>
      </w:r>
      <w:r>
        <w:rPr>
          <w:noProof/>
        </w:rPr>
        <w:t>43</w:t>
      </w:r>
      <w:r>
        <w:rPr>
          <w:noProof/>
        </w:rPr>
        <w:fldChar w:fldCharType="end"/>
      </w:r>
    </w:p>
    <w:p w:rsidR="0066099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_Toc156000966 \h </w:instrText>
      </w:r>
      <w:r>
        <w:rPr>
          <w:noProof/>
        </w:rPr>
        <w:fldChar w:fldCharType="separate"/>
      </w:r>
      <w:r>
        <w:rPr>
          <w:noProof/>
        </w:rPr>
        <w:t>45</w:t>
      </w:r>
      <w:r>
        <w:rPr>
          <w:noProof/>
        </w:rPr>
        <w:fldChar w:fldCharType="end"/>
      </w:r>
    </w:p>
    <w:p w:rsidR="0066099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_Toc156000967 \h </w:instrText>
      </w:r>
      <w:r>
        <w:rPr>
          <w:noProof/>
        </w:rPr>
        <w:fldChar w:fldCharType="separate"/>
      </w:r>
      <w:r>
        <w:rPr>
          <w:noProof/>
        </w:rPr>
        <w:t>46</w:t>
      </w:r>
      <w:r>
        <w:rPr>
          <w:noProof/>
        </w:rPr>
        <w:fldChar w:fldCharType="end"/>
      </w:r>
    </w:p>
    <w:p w:rsidR="0066099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_Toc156000968 \h </w:instrText>
      </w:r>
      <w:r>
        <w:rPr>
          <w:noProof/>
        </w:rPr>
        <w:fldChar w:fldCharType="separate"/>
      </w:r>
      <w:r>
        <w:rPr>
          <w:noProof/>
        </w:rPr>
        <w:t>48</w:t>
      </w:r>
      <w:r>
        <w:rPr>
          <w:noProof/>
        </w:rPr>
        <w:fldChar w:fldCharType="end"/>
      </w:r>
    </w:p>
    <w:p w:rsidR="0066099B">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_Toc156000969 \h </w:instrText>
      </w:r>
      <w:r>
        <w:rPr>
          <w:noProof/>
        </w:rPr>
        <w:fldChar w:fldCharType="separate"/>
      </w:r>
      <w:r>
        <w:rPr>
          <w:noProof/>
        </w:rPr>
        <w:t>51</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_Toc156000970 \h </w:instrText>
      </w:r>
      <w:r>
        <w:rPr>
          <w:noProof/>
        </w:rPr>
        <w:fldChar w:fldCharType="separate"/>
      </w:r>
      <w:r>
        <w:rPr>
          <w:noProof/>
        </w:rPr>
        <w:t>51</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_Toc156000971 \h </w:instrText>
      </w:r>
      <w:r>
        <w:rPr>
          <w:noProof/>
        </w:rPr>
        <w:fldChar w:fldCharType="separate"/>
      </w:r>
      <w:r>
        <w:rPr>
          <w:noProof/>
        </w:rPr>
        <w:t>52</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_Toc156000972 \h </w:instrText>
      </w:r>
      <w:r>
        <w:rPr>
          <w:noProof/>
        </w:rPr>
        <w:fldChar w:fldCharType="separate"/>
      </w:r>
      <w:r>
        <w:rPr>
          <w:noProof/>
        </w:rPr>
        <w:t>54</w:t>
      </w:r>
      <w:r>
        <w:rPr>
          <w:noProof/>
        </w:rPr>
        <w:fldChar w:fldCharType="end"/>
      </w:r>
    </w:p>
    <w:p w:rsidR="0066099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_Toc156000973 \h </w:instrText>
      </w:r>
      <w:r>
        <w:rPr>
          <w:noProof/>
        </w:rPr>
        <w:fldChar w:fldCharType="separate"/>
      </w:r>
      <w:r>
        <w:rPr>
          <w:noProof/>
        </w:rPr>
        <w:t>55</w:t>
      </w:r>
      <w:r>
        <w:rPr>
          <w:noProof/>
        </w:rPr>
        <w:fldChar w:fldCharType="end"/>
      </w:r>
    </w:p>
    <w:p w:rsidR="0066099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_Toc156000974 \h </w:instrText>
      </w:r>
      <w:r>
        <w:rPr>
          <w:noProof/>
        </w:rPr>
        <w:fldChar w:fldCharType="separate"/>
      </w:r>
      <w:r>
        <w:rPr>
          <w:noProof/>
        </w:rPr>
        <w:t>58</w:t>
      </w:r>
      <w:r>
        <w:rPr>
          <w:noProof/>
        </w:rPr>
        <w:fldChar w:fldCharType="end"/>
      </w:r>
    </w:p>
    <w:p w:rsidR="0066099B">
      <w:pPr>
        <w:pStyle w:val="TOC2"/>
        <w:tabs>
          <w:tab w:val="right" w:leader="dot" w:pos="8296"/>
        </w:tabs>
        <w:rPr>
          <w:noProof/>
        </w:rPr>
      </w:pPr>
      <w:r>
        <w:rPr>
          <w:noProof/>
        </w:rPr>
        <w:t>(</w:t>
      </w:r>
      <w:r>
        <w:rPr>
          <w:rFonts w:hint="eastAsia"/>
          <w:noProof/>
        </w:rPr>
        <w:t>六</w:t>
      </w:r>
      <w:r>
        <w:rPr>
          <w:noProof/>
        </w:rPr>
        <w:t>)</w:t>
      </w:r>
      <w:r>
        <w:rPr>
          <w:rFonts w:hint="eastAsia"/>
          <w:noProof/>
        </w:rPr>
        <w:t>、</w:t>
      </w:r>
      <w:r>
        <w:rPr>
          <w:noProof/>
        </w:rPr>
        <w:t>C301-I</w:t>
      </w:r>
      <w:r>
        <w:rPr>
          <w:rFonts w:hint="eastAsia"/>
          <w:noProof/>
        </w:rPr>
        <w:t>型低压甲醇合成催化剂项目实施保障</w:t>
      </w:r>
      <w:r>
        <w:rPr>
          <w:noProof/>
        </w:rPr>
        <w:tab/>
      </w:r>
      <w:r>
        <w:rPr>
          <w:noProof/>
        </w:rPr>
        <w:fldChar w:fldCharType="begin"/>
      </w:r>
      <w:r>
        <w:rPr>
          <w:noProof/>
        </w:rPr>
        <w:instrText xml:space="preserve"> PAGEREF _Toc156000975 \h </w:instrText>
      </w:r>
      <w:r>
        <w:rPr>
          <w:noProof/>
        </w:rPr>
        <w:fldChar w:fldCharType="separate"/>
      </w:r>
      <w:r>
        <w:rPr>
          <w:noProof/>
        </w:rPr>
        <w:t>60</w:t>
      </w:r>
      <w:r>
        <w:rPr>
          <w:noProof/>
        </w:rPr>
        <w:fldChar w:fldCharType="end"/>
      </w:r>
    </w:p>
    <w:p w:rsidR="0066099B">
      <w:pPr>
        <w:pStyle w:val="TOC1"/>
        <w:tabs>
          <w:tab w:val="right" w:leader="dot" w:pos="8296"/>
        </w:tabs>
        <w:rPr>
          <w:noProof/>
        </w:rPr>
      </w:pPr>
      <w:r>
        <w:rPr>
          <w:rFonts w:hint="eastAsia"/>
          <w:noProof/>
        </w:rPr>
        <w:t>六、</w:t>
      </w:r>
      <w:r>
        <w:rPr>
          <w:noProof/>
        </w:rPr>
        <w:t>C301-I</w:t>
      </w:r>
      <w:r>
        <w:rPr>
          <w:rFonts w:hint="eastAsia"/>
          <w:noProof/>
        </w:rPr>
        <w:t>型低压甲醇合成催化剂项目经济评价分析</w:t>
      </w:r>
      <w:r>
        <w:rPr>
          <w:noProof/>
        </w:rPr>
        <w:tab/>
      </w:r>
      <w:r>
        <w:rPr>
          <w:noProof/>
        </w:rPr>
        <w:fldChar w:fldCharType="begin"/>
      </w:r>
      <w:r>
        <w:rPr>
          <w:noProof/>
        </w:rPr>
        <w:instrText xml:space="preserve"> PAGEREF _Toc156000976 \h </w:instrText>
      </w:r>
      <w:r>
        <w:rPr>
          <w:noProof/>
        </w:rPr>
        <w:fldChar w:fldCharType="separate"/>
      </w:r>
      <w:r>
        <w:rPr>
          <w:noProof/>
        </w:rPr>
        <w:t>63</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_Toc156000977 \h </w:instrText>
      </w:r>
      <w:r>
        <w:rPr>
          <w:noProof/>
        </w:rPr>
        <w:fldChar w:fldCharType="separate"/>
      </w:r>
      <w:r>
        <w:rPr>
          <w:noProof/>
        </w:rPr>
        <w:t>63</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C301-I</w:t>
      </w:r>
      <w:r>
        <w:rPr>
          <w:rFonts w:hint="eastAsia"/>
          <w:noProof/>
        </w:rPr>
        <w:t>型低压甲醇合成催化剂项目盈利能力分析</w:t>
      </w:r>
      <w:r>
        <w:rPr>
          <w:noProof/>
        </w:rPr>
        <w:tab/>
      </w:r>
      <w:r>
        <w:rPr>
          <w:noProof/>
        </w:rPr>
        <w:fldChar w:fldCharType="begin"/>
      </w:r>
      <w:r>
        <w:rPr>
          <w:noProof/>
        </w:rPr>
        <w:instrText xml:space="preserve"> PAGEREF _Toc156000978 \h </w:instrText>
      </w:r>
      <w:r>
        <w:rPr>
          <w:noProof/>
        </w:rPr>
        <w:fldChar w:fldCharType="separate"/>
      </w:r>
      <w:r>
        <w:rPr>
          <w:noProof/>
        </w:rPr>
        <w:t>64</w:t>
      </w:r>
      <w:r>
        <w:rPr>
          <w:noProof/>
        </w:rPr>
        <w:fldChar w:fldCharType="end"/>
      </w:r>
    </w:p>
    <w:p w:rsidR="0066099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_Toc156000979 \h </w:instrText>
      </w:r>
      <w:r>
        <w:rPr>
          <w:noProof/>
        </w:rPr>
        <w:fldChar w:fldCharType="separate"/>
      </w:r>
      <w:r>
        <w:rPr>
          <w:noProof/>
        </w:rPr>
        <w:t>65</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_Toc156000980 \h </w:instrText>
      </w:r>
      <w:r>
        <w:rPr>
          <w:noProof/>
        </w:rPr>
        <w:fldChar w:fldCharType="separate"/>
      </w:r>
      <w:r>
        <w:rPr>
          <w:noProof/>
        </w:rPr>
        <w:t>65</w:t>
      </w:r>
      <w:r>
        <w:rPr>
          <w:noProof/>
        </w:rPr>
        <w:fldChar w:fldCharType="end"/>
      </w:r>
    </w:p>
    <w:p w:rsidR="0066099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_Toc156000981 \h </w:instrText>
      </w:r>
      <w:r>
        <w:rPr>
          <w:noProof/>
        </w:rPr>
        <w:fldChar w:fldCharType="separate"/>
      </w:r>
      <w:r>
        <w:rPr>
          <w:noProof/>
        </w:rPr>
        <w:t>67</w:t>
      </w:r>
      <w:r>
        <w:rPr>
          <w:noProof/>
        </w:rPr>
        <w:fldChar w:fldCharType="end"/>
      </w:r>
    </w:p>
    <w:p w:rsidR="0066099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_Toc156000982 \h </w:instrText>
      </w:r>
      <w:r>
        <w:rPr>
          <w:noProof/>
        </w:rPr>
        <w:fldChar w:fldCharType="separate"/>
      </w:r>
      <w:r>
        <w:rPr>
          <w:noProof/>
        </w:rPr>
        <w:t>68</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_Toc156000983 \h </w:instrText>
      </w:r>
      <w:r>
        <w:rPr>
          <w:noProof/>
        </w:rPr>
        <w:fldChar w:fldCharType="separate"/>
      </w:r>
      <w:r>
        <w:rPr>
          <w:noProof/>
        </w:rPr>
        <w:t>68</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_Toc156000984 \h </w:instrText>
      </w:r>
      <w:r>
        <w:rPr>
          <w:noProof/>
        </w:rPr>
        <w:fldChar w:fldCharType="separate"/>
      </w:r>
      <w:r>
        <w:rPr>
          <w:noProof/>
        </w:rPr>
        <w:t>69</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C301-I</w:t>
      </w:r>
      <w:r>
        <w:rPr>
          <w:rFonts w:hint="eastAsia"/>
          <w:noProof/>
        </w:rPr>
        <w:t>型低压甲醇合成催化剂项目工艺技术设计方案</w:t>
      </w:r>
      <w:r>
        <w:rPr>
          <w:noProof/>
        </w:rPr>
        <w:tab/>
      </w:r>
      <w:r>
        <w:rPr>
          <w:noProof/>
        </w:rPr>
        <w:fldChar w:fldCharType="begin"/>
      </w:r>
      <w:r>
        <w:rPr>
          <w:noProof/>
        </w:rPr>
        <w:instrText xml:space="preserve"> PAGEREF _Toc156000985 \h </w:instrText>
      </w:r>
      <w:r>
        <w:rPr>
          <w:noProof/>
        </w:rPr>
        <w:fldChar w:fldCharType="separate"/>
      </w:r>
      <w:r>
        <w:rPr>
          <w:noProof/>
        </w:rPr>
        <w:t>70</w:t>
      </w:r>
      <w:r>
        <w:rPr>
          <w:noProof/>
        </w:rPr>
        <w:fldChar w:fldCharType="end"/>
      </w:r>
    </w:p>
    <w:p w:rsidR="0066099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_Toc156000986 \h </w:instrText>
      </w:r>
      <w:r>
        <w:rPr>
          <w:noProof/>
        </w:rPr>
        <w:fldChar w:fldCharType="separate"/>
      </w:r>
      <w:r>
        <w:rPr>
          <w:noProof/>
        </w:rPr>
        <w:t>71</w:t>
      </w:r>
      <w:r>
        <w:rPr>
          <w:noProof/>
        </w:rPr>
        <w:fldChar w:fldCharType="end"/>
      </w:r>
    </w:p>
    <w:p w:rsidR="0066099B">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_Toc156000987 \h </w:instrText>
      </w:r>
      <w:r>
        <w:rPr>
          <w:noProof/>
        </w:rPr>
        <w:fldChar w:fldCharType="separate"/>
      </w:r>
      <w:r>
        <w:rPr>
          <w:noProof/>
        </w:rPr>
        <w:t>72</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_Toc156000988 \h </w:instrText>
      </w:r>
      <w:r>
        <w:rPr>
          <w:noProof/>
        </w:rPr>
        <w:fldChar w:fldCharType="separate"/>
      </w:r>
      <w:r>
        <w:rPr>
          <w:noProof/>
        </w:rPr>
        <w:t>72</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_Toc156000989 \h </w:instrText>
      </w:r>
      <w:r>
        <w:rPr>
          <w:noProof/>
        </w:rPr>
        <w:fldChar w:fldCharType="separate"/>
      </w:r>
      <w:r>
        <w:rPr>
          <w:noProof/>
        </w:rPr>
        <w:t>74</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_Toc156000990 \h </w:instrText>
      </w:r>
      <w:r>
        <w:rPr>
          <w:noProof/>
        </w:rPr>
        <w:fldChar w:fldCharType="separate"/>
      </w:r>
      <w:r>
        <w:rPr>
          <w:noProof/>
        </w:rPr>
        <w:t>76</w:t>
      </w:r>
      <w:r>
        <w:rPr>
          <w:noProof/>
        </w:rPr>
        <w:fldChar w:fldCharType="end"/>
      </w:r>
    </w:p>
    <w:p w:rsidR="0066099B">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_Toc156000991 \h </w:instrText>
      </w:r>
      <w:r>
        <w:rPr>
          <w:noProof/>
        </w:rPr>
        <w:fldChar w:fldCharType="separate"/>
      </w:r>
      <w:r>
        <w:rPr>
          <w:noProof/>
        </w:rPr>
        <w:t>78</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_Toc156000992 \h </w:instrText>
      </w:r>
      <w:r>
        <w:rPr>
          <w:noProof/>
        </w:rPr>
        <w:fldChar w:fldCharType="separate"/>
      </w:r>
      <w:r>
        <w:rPr>
          <w:noProof/>
        </w:rPr>
        <w:t>78</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_Toc156000993 \h </w:instrText>
      </w:r>
      <w:r>
        <w:rPr>
          <w:noProof/>
        </w:rPr>
        <w:fldChar w:fldCharType="separate"/>
      </w:r>
      <w:r>
        <w:rPr>
          <w:noProof/>
        </w:rPr>
        <w:t>79</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_Toc156000994 \h </w:instrText>
      </w:r>
      <w:r>
        <w:rPr>
          <w:noProof/>
        </w:rPr>
        <w:fldChar w:fldCharType="separate"/>
      </w:r>
      <w:r>
        <w:rPr>
          <w:noProof/>
        </w:rPr>
        <w:t>80</w:t>
      </w:r>
      <w:r>
        <w:rPr>
          <w:noProof/>
        </w:rPr>
        <w:fldChar w:fldCharType="end"/>
      </w:r>
    </w:p>
    <w:p w:rsidR="0066099B">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_Toc156000995 \h </w:instrText>
      </w:r>
      <w:r>
        <w:rPr>
          <w:noProof/>
        </w:rPr>
        <w:fldChar w:fldCharType="separate"/>
      </w:r>
      <w:r>
        <w:rPr>
          <w:noProof/>
        </w:rPr>
        <w:t>82</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_Toc156000996 \h </w:instrText>
      </w:r>
      <w:r>
        <w:rPr>
          <w:noProof/>
        </w:rPr>
        <w:fldChar w:fldCharType="separate"/>
      </w:r>
      <w:r>
        <w:rPr>
          <w:noProof/>
        </w:rPr>
        <w:t>82</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_Toc156000997 \h </w:instrText>
      </w:r>
      <w:r>
        <w:rPr>
          <w:noProof/>
        </w:rPr>
        <w:fldChar w:fldCharType="separate"/>
      </w:r>
      <w:r>
        <w:rPr>
          <w:noProof/>
        </w:rPr>
        <w:t>83</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_Toc156000998 \h </w:instrText>
      </w:r>
      <w:r>
        <w:rPr>
          <w:noProof/>
        </w:rPr>
        <w:fldChar w:fldCharType="separate"/>
      </w:r>
      <w:r>
        <w:rPr>
          <w:noProof/>
        </w:rPr>
        <w:t>84</w:t>
      </w:r>
      <w:r>
        <w:rPr>
          <w:noProof/>
        </w:rPr>
        <w:fldChar w:fldCharType="end"/>
      </w:r>
    </w:p>
    <w:p w:rsidR="0066099B">
      <w:pPr>
        <w:pStyle w:val="TOC1"/>
        <w:tabs>
          <w:tab w:val="right" w:leader="dot" w:pos="8296"/>
        </w:tabs>
        <w:rPr>
          <w:noProof/>
        </w:rPr>
      </w:pPr>
      <w:r>
        <w:rPr>
          <w:rFonts w:hint="eastAsia"/>
          <w:noProof/>
        </w:rPr>
        <w:t>十二、</w:t>
      </w:r>
      <w:r>
        <w:rPr>
          <w:noProof/>
        </w:rPr>
        <w:t>C301-I</w:t>
      </w:r>
      <w:r>
        <w:rPr>
          <w:rFonts w:hint="eastAsia"/>
          <w:noProof/>
        </w:rPr>
        <w:t>型低压甲醇合成催化剂项目执行与监控</w:t>
      </w:r>
      <w:r>
        <w:rPr>
          <w:noProof/>
        </w:rPr>
        <w:tab/>
      </w:r>
      <w:r>
        <w:rPr>
          <w:noProof/>
        </w:rPr>
        <w:fldChar w:fldCharType="begin"/>
      </w:r>
      <w:r>
        <w:rPr>
          <w:noProof/>
        </w:rPr>
        <w:instrText xml:space="preserve"> PAGEREF _Toc156000999 \h </w:instrText>
      </w:r>
      <w:r>
        <w:rPr>
          <w:noProof/>
        </w:rPr>
        <w:fldChar w:fldCharType="separate"/>
      </w:r>
      <w:r>
        <w:rPr>
          <w:noProof/>
        </w:rPr>
        <w:t>85</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C301-I</w:t>
      </w:r>
      <w:r>
        <w:rPr>
          <w:rFonts w:hint="eastAsia"/>
          <w:noProof/>
        </w:rPr>
        <w:t>型低压甲醇合成催化剂项目执行计划</w:t>
      </w:r>
      <w:r>
        <w:rPr>
          <w:noProof/>
        </w:rPr>
        <w:tab/>
      </w:r>
      <w:r>
        <w:rPr>
          <w:noProof/>
        </w:rPr>
        <w:fldChar w:fldCharType="begin"/>
      </w:r>
      <w:r>
        <w:rPr>
          <w:noProof/>
        </w:rPr>
        <w:instrText xml:space="preserve"> PAGEREF _Toc156001000 \h </w:instrText>
      </w:r>
      <w:r>
        <w:rPr>
          <w:noProof/>
        </w:rPr>
        <w:fldChar w:fldCharType="separate"/>
      </w:r>
      <w:r>
        <w:rPr>
          <w:noProof/>
        </w:rPr>
        <w:t>85</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_Toc156001001 \h </w:instrText>
      </w:r>
      <w:r>
        <w:rPr>
          <w:noProof/>
        </w:rPr>
        <w:fldChar w:fldCharType="separate"/>
      </w:r>
      <w:r>
        <w:rPr>
          <w:noProof/>
        </w:rPr>
        <w:t>88</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_Toc156001002 \h </w:instrText>
      </w:r>
      <w:r>
        <w:rPr>
          <w:noProof/>
        </w:rPr>
        <w:fldChar w:fldCharType="separate"/>
      </w:r>
      <w:r>
        <w:rPr>
          <w:noProof/>
        </w:rPr>
        <w:t>92</w:t>
      </w:r>
      <w:r>
        <w:rPr>
          <w:noProof/>
        </w:rPr>
        <w:fldChar w:fldCharType="end"/>
      </w:r>
    </w:p>
    <w:p w:rsidR="0066099B">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_Toc156001003 \h </w:instrText>
      </w:r>
      <w:r>
        <w:rPr>
          <w:noProof/>
        </w:rPr>
        <w:fldChar w:fldCharType="separate"/>
      </w:r>
      <w:r>
        <w:rPr>
          <w:noProof/>
        </w:rPr>
        <w:t>94</w:t>
      </w:r>
      <w:r>
        <w:rPr>
          <w:noProof/>
        </w:rPr>
        <w:fldChar w:fldCharType="end"/>
      </w:r>
    </w:p>
    <w:p w:rsidR="0066099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_Toc156001004 \h </w:instrText>
      </w:r>
      <w:r>
        <w:rPr>
          <w:noProof/>
        </w:rPr>
        <w:fldChar w:fldCharType="separate"/>
      </w:r>
      <w:r>
        <w:rPr>
          <w:noProof/>
        </w:rPr>
        <w:t>94</w:t>
      </w:r>
      <w:r>
        <w:rPr>
          <w:noProof/>
        </w:rPr>
        <w:fldChar w:fldCharType="end"/>
      </w:r>
    </w:p>
    <w:p w:rsidR="0066099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_Toc156001005 \h </w:instrText>
      </w:r>
      <w:r>
        <w:rPr>
          <w:noProof/>
        </w:rPr>
        <w:fldChar w:fldCharType="separate"/>
      </w:r>
      <w:r>
        <w:rPr>
          <w:noProof/>
        </w:rPr>
        <w:t>94</w:t>
      </w:r>
      <w:r>
        <w:rPr>
          <w:noProof/>
        </w:rPr>
        <w:fldChar w:fldCharType="end"/>
      </w:r>
    </w:p>
    <w:p w:rsidR="0066099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_Toc156001006 \h </w:instrText>
      </w:r>
      <w:r>
        <w:rPr>
          <w:noProof/>
        </w:rPr>
        <w:fldChar w:fldCharType="separate"/>
      </w:r>
      <w:r>
        <w:rPr>
          <w:noProof/>
        </w:rPr>
        <w:t>95</w:t>
      </w:r>
      <w:r>
        <w:rPr>
          <w:noProof/>
        </w:rPr>
        <w:fldChar w:fldCharType="end"/>
      </w:r>
    </w:p>
    <w:p w:rsidR="0066099B" w:rsidP="0066099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099B" w:rsidP="0066099B">
      <w:pPr>
        <w:pStyle w:val="Heading1"/>
        <w:jc w:val="center"/>
        <w:rPr>
          <w:rFonts w:hint="eastAsia"/>
        </w:rPr>
      </w:pPr>
      <w:bookmarkStart w:id="1" w:name="_Toc156000940"/>
      <w:r w:rsidRPr="0066099B">
        <w:rPr>
          <w:rFonts w:hint="eastAsia"/>
        </w:rPr>
        <w:t>序言</w:t>
      </w:r>
      <w:bookmarkEnd w:id="1"/>
    </w:p>
    <w:p w:rsidR="0066099B" w:rsidP="0066099B">
      <w:pPr>
        <w:ind w:firstLine="560" w:firstLineChars="200"/>
        <w:rPr>
          <w:rFonts w:ascii="仿宋" w:eastAsia="仿宋" w:hAnsi="仿宋" w:hint="eastAsia"/>
          <w:sz w:val="28"/>
        </w:rPr>
      </w:pPr>
      <w:r w:rsidRPr="0066099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6099B" w:rsidP="0066099B">
      <w:pPr>
        <w:pStyle w:val="Heading1"/>
      </w:pPr>
      <w:bookmarkStart w:id="2" w:name="_Toc156000941"/>
      <w:r w:rsidRPr="0066099B">
        <w:rPr>
          <w:rFonts w:hint="eastAsia"/>
        </w:rPr>
        <w:t>一、</w:t>
      </w:r>
      <w:r w:rsidRPr="0066099B">
        <w:t>C301-I</w:t>
      </w:r>
      <w:r w:rsidRPr="0066099B">
        <w:t>型低压甲醇合成催化剂项目风险管理方案</w:t>
      </w:r>
      <w:bookmarkEnd w:id="2"/>
    </w:p>
    <w:p w:rsidR="0066099B" w:rsidP="0066099B">
      <w:pPr>
        <w:pStyle w:val="Heading2"/>
        <w:rPr>
          <w:rFonts w:hint="eastAsia"/>
        </w:rPr>
      </w:pPr>
      <w:bookmarkStart w:id="3" w:name="_Toc156000942"/>
      <w:r w:rsidRPr="0066099B">
        <w:rPr>
          <w:rFonts w:hint="eastAsia"/>
        </w:rPr>
        <w:t>(</w:t>
      </w:r>
      <w:r w:rsidRPr="0066099B">
        <w:rPr>
          <w:rFonts w:hint="eastAsia"/>
        </w:rPr>
        <w:t>一</w:t>
      </w:r>
      <w:r w:rsidRPr="0066099B">
        <w:rPr>
          <w:rFonts w:hint="eastAsia"/>
        </w:rPr>
        <w:t>)</w:t>
      </w:r>
      <w:r w:rsidRPr="0066099B">
        <w:rPr>
          <w:rFonts w:hint="eastAsia"/>
        </w:rPr>
        <w:t>、风险管理概述</w:t>
      </w:r>
      <w:bookmarkEnd w:id="3"/>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当前政策环境下，风险管理的关键性日益凸显，尤其在C301-I型低压甲醇合成催化剂项目实施中扮演着不可或缺的角色。政策的不断调整和变化可能带来新的挑战，因此C301-I型低压甲醇合成催化剂项目团队需要更加敏锐地识别、评估和应对各种潜在风险。</w:t>
      </w:r>
    </w:p>
    <w:p w:rsidR="0066099B" w:rsidRPr="0066099B" w:rsidP="0066099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099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C301-I型低压甲醇合成催化剂项目可能产生的潜在影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其次，风险评估的过程需要更具前瞻性，C301-I型低压甲醇合成催化剂项目团队应当通过定性和定量分析，充分评估政策变化对C301-I型低压甲醇合成催化剂项目目标的可能影响。这一过程的关键在于科学合理地量化潜在风险的概率和影响程度，从而有针对性地采取相应的风险应对措施。</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面对政策层面的风险时，风险应对措施需要更加灵活。除了常规的避免、减轻、转移和接受策略外，C301-I型低压甲醇合成催化剂项目团队还应考虑制定专门的政策应对计划，包括密切关注政策变化、及时调整C301-I型低压甲醇合成催化剂项目实施方案等。例如，加强与相关政府部门的沟通，获取政策解读，及时调整C301-I型低压甲醇合成催化剂项目策略以确保C301-I型低压甲醇合成催化剂项目不受不确定性的过大影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最后，风险监控的过程也需要更具前瞻性。C301-I型低压甲醇合成催化剂项目团队在监控风险的同时，应当随时关注政策环境的变化，确保C301-I型低压甲醇合成催化剂项目能够灵活适应新的政策要求。这可能涉及到对C301-I型低压甲醇合成催化剂项目计划的及时调整、政策培训和C301-I型低压甲醇合成催化剂项目团队的更新等方面，以保持C301-I型低压甲醇合成催化剂项目在复杂多变的政策环境中的稳定推进。</w:t>
      </w:r>
    </w:p>
    <w:p w:rsidR="0066099B" w:rsidP="0066099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099B">
        <w:rPr>
          <w:rFonts w:ascii="仿宋" w:eastAsia="仿宋" w:hAnsi="仿宋" w:hint="eastAsia"/>
          <w:sz w:val="28"/>
        </w:rPr>
        <w:t>在当前政策背景下，风险管理需要更具前瞻性、灵活性和战略性，以确保C301-I型低压甲醇合成催化剂项目能够在不断变化的政策环境中保持成功实施的稳定性。通过全面考虑政策层面的风险，并采取</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相应的战略性风险管理措施，C301-I型低压甲醇合成催化剂项目团队将更有信心和能力应对潜在的挑战，确保C301-I型低压甲醇合成催化剂项目的成功推进。</w:t>
      </w:r>
    </w:p>
    <w:p w:rsidR="0066099B" w:rsidP="0066099B">
      <w:pPr>
        <w:pStyle w:val="Heading2"/>
      </w:pPr>
      <w:bookmarkStart w:id="4" w:name="_Toc156000943"/>
      <w:r w:rsidRPr="0066099B">
        <w:t>(</w:t>
      </w:r>
      <w:r w:rsidRPr="0066099B">
        <w:t>二</w:t>
      </w:r>
      <w:r w:rsidRPr="0066099B">
        <w:t>)</w:t>
      </w:r>
      <w:r w:rsidRPr="0066099B">
        <w:t>、企业面临的风险</w:t>
      </w:r>
      <w:bookmarkEnd w:id="4"/>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领域，企业在运营过程中面临着多层次的风险，这些风险源于内部操作、外部环境变化以及激烈的市场竞争。为了确保企业的成功，有效的风险管理显得尤为关键。下面将详细探讨C301-I型低压甲醇合成催化剂项目中可能出现的各类风险，并提出相应的应对措施，以保障企业的可持续发展。</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一、市场需求波动风险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市场变化带来的需求波动风险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竞争对手的市场份额侵蚀风险</w:t>
      </w:r>
    </w:p>
    <w:p w:rsidR="0066099B" w:rsidRPr="0066099B" w:rsidP="0066099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099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二、供应链风险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原材料供应不稳定风险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供应链环节的质量风险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三、技术与生产风险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生产设备故障风险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66099B" w:rsidRPr="0066099B" w:rsidP="0066099B">
      <w:pPr>
        <w:ind w:firstLine="560" w:firstLineChars="200"/>
        <w:rPr>
          <w:rFonts w:ascii="仿宋" w:eastAsia="仿宋" w:hAnsi="仿宋"/>
          <w:sz w:val="28"/>
        </w:rPr>
      </w:pPr>
      <w:r w:rsidRPr="0066099B">
        <w:rPr>
          <w:rFonts w:ascii="仿宋" w:eastAsia="仿宋" w:hAnsi="仿宋" w:hint="eastAsia"/>
          <w:sz w:val="28"/>
        </w:rPr>
        <w:t>2. 生产工艺变革风险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四、法律与政策风险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环保政策风险</w:t>
      </w:r>
    </w:p>
    <w:p w:rsidR="0066099B" w:rsidRPr="0066099B" w:rsidP="0066099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099B">
        <w:rPr>
          <w:rFonts w:ascii="仿宋" w:eastAsia="仿宋" w:hAnsi="仿宋" w:hint="eastAsia"/>
          <w:sz w:val="28"/>
        </w:rPr>
        <w:t>随着环保要求的提高，企业需要严格遵守相关的环保法规，以免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面临罚款、停产等风险。因此，企业应密切关注环保政策的变化，加强环保投入，确保生产活动符合环保要求，降低环保政策风险。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知识产权风险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在C301-I型低压甲醇合成催化剂项目中，知识产权的保护至关重要。企业需防范知识产权被侵犯的风险，加强专利申请、技术保密等工作，以避免知识产权纠纷导致的市场排斥和法律诉讼风险。</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通过采取上述措施，企业可以更全面、系统地管理各类风险，提高对不确定性的应对能力，从而确保C301-I型低压甲醇合成催化剂项目的顺利进行和企业的可持续发展。</w:t>
      </w:r>
    </w:p>
    <w:p w:rsidR="0066099B" w:rsidP="0066099B">
      <w:pPr>
        <w:pStyle w:val="Heading2"/>
      </w:pPr>
      <w:bookmarkStart w:id="5" w:name="_Toc156000944"/>
      <w:r w:rsidRPr="0066099B">
        <w:t>(</w:t>
      </w:r>
      <w:r w:rsidRPr="0066099B">
        <w:t>三</w:t>
      </w:r>
      <w:r w:rsidRPr="0066099B">
        <w:t>)</w:t>
      </w:r>
      <w:r w:rsidRPr="0066099B">
        <w:t>、风险成本与风险管理的目标</w:t>
      </w:r>
      <w:bookmarkEnd w:id="5"/>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风险管理一直是任何C301-I型低压甲醇合成催化剂项目成功实施的关键因素之一。在C301-I型低压甲醇合成催化剂项目中，风险管理的目标是通过系统性的方法识别、评估和应对可能影响C301-I型低压甲醇合成催化剂项目目标的潜在风险。为了降低C301-I型低压甲醇合成催化剂项目失败的风险，提高C301-I型低压甲醇合成催化剂项目的成功率，C301-I型低压甲醇合成催化剂项目团队需要在整个C301-I型低压甲醇合成催化剂项目生命周期中采取一系列有效的风险管理措施。</w:t>
      </w:r>
    </w:p>
    <w:p w:rsidR="0066099B" w:rsidRPr="0066099B" w:rsidP="0066099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099B">
        <w:rPr>
          <w:rFonts w:ascii="仿宋" w:eastAsia="仿宋" w:hAnsi="仿宋" w:hint="eastAsia"/>
          <w:sz w:val="28"/>
        </w:rPr>
        <w:t>风险成本作为风险管理的一个关键概念，在C301-I型低压甲醇合成催化剂项目中显得尤为重要。这指的是由于风险事件的发生可能导致的经济损失和其他负面影响所带来的费用。这些成本涵盖了直接</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和间接的损失，以及为了应对风险而采取的各种措施所产生的费用。考虑到C301-I型低压甲醇合成催化剂项目通常涉及大量资金投入，合理评估和控制风险成本对C301-I型低压甲醇合成催化剂项目的成功至关重要，直接影响C301-I型低压甲醇合成催化剂项目的资金流动和盈利能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风险管理的目标之一是在C301-I型低压甲醇合成催化剂项目启动阶段就能预测和识别潜在风险。通过建立完善的风险识别和分析体系，C301-I型低压甲醇合成催化剂项目团队可以提前评估可能出现的风险，为C301-I型低压甲醇合成催化剂项目决策提供科学依据。评估和量化风险同样重要，通过对风险事件的发生概率和影响程度进行评估，可以为C301-I型低压甲醇合成催化剂项目制定合适的风险应对策略提供基础。将风险以数字形式量化有助于C301-I型低压甲醇合成催化剂项目管理者更好地理解整体风险影响，并作出相应决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控制和减少风险是风险管理的核心目标。通过建立完善的风险控制体系，C301-I型低压甲醇合成催化剂项目团队能够制定详细的风险控制计划，并实施有效的措施，以降低C301-I型低压甲醇合成催化剂项目的风险水平，提高C301-I型低压甲醇合成催化剂项目的成功率。应对和处理风险同样重要，特别是在风险事件发生时，能够及时采取措施最大程度减少损失。</w:t>
      </w:r>
    </w:p>
    <w:p w:rsidR="0066099B" w:rsidRPr="0066099B" w:rsidP="0066099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099B">
        <w:rPr>
          <w:rFonts w:ascii="仿宋" w:eastAsia="仿宋" w:hAnsi="仿宋" w:hint="eastAsia"/>
          <w:sz w:val="28"/>
        </w:rPr>
        <w:t>监控和反馈风险是风险管理的最终目标。通过不断监控C301-I型低压甲醇合成催化剂项目的风险状态，及时反馈风险信息，C301-I型低压甲醇合成催化剂项目管理者能够做出及时决策，快速调整风险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应对策略，确保C301-I型低压甲醇合成催化剂项目按计划进行。这有效地建立了C301-I型低压甲醇合成催化剂项目的风险监控和反馈机制，有助于C301-I型低压甲醇合成催化剂项目在变化的环境中保持灵活性和应变能力。</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中，综合考虑风险成本和风险管理的各C301-I型低压甲醇合成催化剂项目标，C301-I型低压甲醇合成催化剂项目团队能够更好地应对不确定性，提高C301-I型低压甲醇合成催化剂项目的成功率。通过合理的风险管理，C301-I型低压甲醇合成催化剂项目可以更顺利、更有效地达成预定的时间、成本和质量目标。</w:t>
      </w:r>
    </w:p>
    <w:p w:rsidR="0066099B" w:rsidP="0066099B">
      <w:pPr>
        <w:pStyle w:val="Heading2"/>
      </w:pPr>
      <w:bookmarkStart w:id="6" w:name="_Toc156000945"/>
      <w:r w:rsidRPr="0066099B">
        <w:t>(</w:t>
      </w:r>
      <w:r w:rsidRPr="0066099B">
        <w:t>四</w:t>
      </w:r>
      <w:r w:rsidRPr="0066099B">
        <w:t>)</w:t>
      </w:r>
      <w:r w:rsidRPr="0066099B">
        <w:t>、人力资本风险分析</w:t>
      </w:r>
      <w:bookmarkEnd w:id="6"/>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一、人力资本风险的界定与总览</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中，人力资本风险指的是由于不当的人力资源管理、员工素质欠缺或者员工频繁流动等因素引发的可能性风险。这些潜在的风险直接关系到企业的关键指标，如生产效率、产品质量以及C301-I型低压甲醇合成催化剂项目进展。人力资本风险分析的主要目的在于识别和评估这些风险，以帮助企业采取相应措施来降低或避免对C301-I型低压甲醇合成催化剂项目的不利影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二、内部人力资本风险的深度分析</w:t>
      </w:r>
    </w:p>
    <w:p w:rsidR="0066099B" w:rsidRPr="0066099B" w:rsidP="0066099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099B">
        <w:rPr>
          <w:rFonts w:ascii="仿宋" w:eastAsia="仿宋" w:hAnsi="仿宋" w:hint="eastAsia"/>
          <w:sz w:val="28"/>
        </w:rPr>
        <w:t>1. 员工素质风险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员工流动风险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高离职率和频繁流动可能带来C301-I型低压甲醇合成催化剂项目延误、生产线断档以及知识流失等问题。为了缓解这种风险，企业可通过建立健全的员工关系、提供发展空间和培训机会，增强员工的归属感和忠诚度。</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管理能力风险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管理层在C301-I型低压甲醇合成催化剂项目过程中的决策、协调和沟通能力不足可能导致C301-I型低压甲醇合成催化剂项目进展缓慢、资源浪费以及团队合作不畅。为规避这一风险，企业需强化管理层的培训和能力提升，提高他们的领导力和组织能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三、外部人力资本风险的综合分析</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市场竞争风险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法律法规风险</w:t>
      </w:r>
    </w:p>
    <w:p w:rsidR="0066099B" w:rsidRPr="0066099B" w:rsidP="0066099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099B">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技术变革风险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通过全面分析内外部人力资本风险，企业能够识别潜在的问题因素，并采取相应措施来降低或避免这些风险对C301-I型低压甲醇合成催化剂项目的负面影响。科学合理的人力资本管理有助于提高生产效率、确保产品质量，并确保C301-I型低压甲醇合成催化剂项目的顺利推进。</w:t>
      </w:r>
    </w:p>
    <w:p w:rsidR="0066099B" w:rsidP="0066099B">
      <w:pPr>
        <w:pStyle w:val="Heading2"/>
      </w:pPr>
      <w:bookmarkStart w:id="7" w:name="_Toc156000946"/>
      <w:r w:rsidRPr="0066099B">
        <w:t>(</w:t>
      </w:r>
      <w:r w:rsidRPr="0066099B">
        <w:t>五</w:t>
      </w:r>
      <w:r w:rsidRPr="0066099B">
        <w:t>)</w:t>
      </w:r>
      <w:r w:rsidRPr="0066099B">
        <w:t>、风险识别</w:t>
      </w:r>
      <w:bookmarkEnd w:id="7"/>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1. 人才招聘与储备风险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进行中，人才招聘与储备是关键的环节。如果企业无法及时找到合适的人才填补空缺，可能导致C301-I型低压甲醇合成催化剂项目推进受阻，增加其他员工工作负担。建议企业建立健全的招聘渠道，同时进行人才储备，以确保在关键时刻能够迅速找到合适的替补人员。</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2. 培训与继续教育风险</w:t>
      </w:r>
    </w:p>
    <w:p w:rsidR="0066099B" w:rsidRPr="0066099B" w:rsidP="0066099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099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C301-I型低压甲醇合成催化剂项目质量。</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3. 沟通与团队协作风险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C301-I型低压甲醇合成催化剂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4. 福利与激励风险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5. 外部劳动力市场风险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风险识别的建议与对策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1. 建立健全的招聘渠道与人才储备计划</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2. 实施持续的培训与教育计划</w:t>
      </w:r>
    </w:p>
    <w:p w:rsidR="0066099B" w:rsidRPr="0066099B" w:rsidP="0066099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099B">
        <w:rPr>
          <w:rFonts w:ascii="仿宋" w:eastAsia="仿宋" w:hAnsi="仿宋" w:hint="eastAsia"/>
          <w:sz w:val="28"/>
        </w:rPr>
        <w:t>定期进行员工培训和继续教育，以适应技术和市场的变化。通过</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提供学习机会和培训计划，确保员工的技能始终保持在业界的领先水平，降低因技能滞后而带来的风险。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3. 加强沟通培训与团队建设</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 xml:space="preserve"> 4. 调整灵活的福利政策和激励机制</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66099B" w:rsidRPr="0066099B" w:rsidP="0066099B">
      <w:pPr>
        <w:ind w:firstLine="560" w:firstLineChars="200"/>
        <w:rPr>
          <w:rFonts w:ascii="仿宋" w:eastAsia="仿宋" w:hAnsi="仿宋" w:hint="eastAsia"/>
          <w:sz w:val="28"/>
        </w:rPr>
      </w:pPr>
      <w:r w:rsidRPr="0066099B">
        <w:rPr>
          <w:rFonts w:ascii="仿宋" w:eastAsia="仿宋" w:hAnsi="仿宋"/>
          <w:sz w:val="28"/>
        </w:rPr>
        <w:t xml:space="preserve">5. </w:t>
      </w:r>
      <w:r w:rsidRPr="0066099B">
        <w:rPr>
          <w:rFonts w:ascii="仿宋" w:eastAsia="仿宋" w:hAnsi="仿宋" w:hint="eastAsia"/>
          <w:sz w:val="28"/>
        </w:rPr>
        <w:t>持续关注外部劳动力市场动态</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制定危机管理计划</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建立完善的危机管理计划，明确各类风险发生时的应急预案和决策流程。包括人才流失、技能短缺、管理层变动等情况的具体处理方案，以应对突发情况，保障C301-I型低压甲醇合成催化剂项目的平稳进行。</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7. 强化绩效评估和激励机制</w:t>
      </w:r>
    </w:p>
    <w:p w:rsidR="0066099B" w:rsidRPr="0066099B" w:rsidP="0066099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099B">
        <w:rPr>
          <w:rFonts w:ascii="仿宋" w:eastAsia="仿宋" w:hAnsi="仿宋" w:hint="eastAsia"/>
          <w:sz w:val="28"/>
        </w:rPr>
        <w:t>建立科学的绩效评估体系，确保员工的工作表现能够被客观、公</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正地评价。合理设定激励机制，通过激励措施激发员工的工作热情，提高工作积极性，降低员工流动风险。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8. 持续改进企业文化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营造积极向上的企业文化，加强员工归属感和凝聚力。通过团队活动、文化建设等方式，培养员工对企业的认同感，减少员工流失风险。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9. 制定法律合规标准</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风险识别的综合管理</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风险识别是一个动态过程，需要不断地跟踪和调整。企业在C301-I型低压甲醇合成催化剂项目中应当持续关注内外部环境的变化，及时调整风险识别策略，以确保C301-I型低压甲醇合成催化剂项目的持续稳定推进。通过科学的风险识别和有效的应对措施，企业可以更好地规避潜在风险，保障C301-I型低压甲醇合成催化剂项目的成功实施。</w:t>
      </w:r>
    </w:p>
    <w:p w:rsidR="0066099B" w:rsidP="0066099B">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6099B" w:rsidP="0066099B">
      <w:pPr>
        <w:pStyle w:val="Heading2"/>
      </w:pPr>
      <w:bookmarkStart w:id="8" w:name="_Toc156000947"/>
      <w:r w:rsidRPr="0066099B">
        <w:t>(</w:t>
      </w:r>
      <w:r w:rsidRPr="0066099B">
        <w:t>六</w:t>
      </w:r>
      <w:r w:rsidRPr="0066099B">
        <w:t>)</w:t>
      </w:r>
      <w:r w:rsidRPr="0066099B">
        <w:t>、风险管理的措施</w:t>
      </w:r>
      <w:bookmarkEnd w:id="8"/>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制定全面的风险管理计划</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在C301-I型低压甲醇合成催化剂项目启动阶段，制定一份全面的风险管理计划，明确风险的识别、评估、监测和应对流程。确保团队对计划的理解，并定期审查和更新以适应C301-I型低压甲醇合成催化剂项目的变化。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建立专业的风险管理团队</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定期进行风险评估</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强化沟通与团队合作</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建立畅通的沟通渠道，鼓励团队成员分享风险信息。强化团队的协作能力，确保C301-I型低压甲醇合成催化剂项目各阶段的协同工作，以减缓因沟通不畅导致的风险。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制定风险应对策略</w:t>
      </w:r>
    </w:p>
    <w:p w:rsidR="0066099B" w:rsidRPr="0066099B" w:rsidP="0066099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099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建立紧急响应机制</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制定紧急响应计划，确保在风险发生时能够快速、有序地做出反应。明确责任人，提前准备好必要的资源和工具，以降低风险事件对C301-I型低压甲醇合成催化剂项目的不利影响。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7. 风险监测和追踪</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8. 制度化的经验总结</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在C301-I型低压甲醇合成催化剂项目结束后，进行全面的风险经验总结。总结成功的风险管理实践和教训，形成制度化的经验库，为未来C301-I型低压甲醇合成催化剂项目提供有力的参考和借鉴。</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通过采取以上风险管理的措施，企业可以更好地识别、评估和应对潜在的风险，确保C301-I型低压甲醇合成催化剂项目能够在不确定的环境中取得成功。风险管理不仅仅是问题的解决，更是对未知因素的有序应对，为C301-I型低压甲醇合成催化剂项目的可持续发展提供有力支持。</w:t>
      </w:r>
    </w:p>
    <w:p w:rsidR="0066099B" w:rsidP="0066099B">
      <w:pPr>
        <w:pStyle w:val="Heading1"/>
        <w:rPr>
          <w:rFonts w:hint="eastAsia"/>
        </w:rPr>
      </w:pPr>
      <w:bookmarkStart w:id="9" w:name="_Toc156000948"/>
      <w:r w:rsidRPr="0066099B">
        <w:rPr>
          <w:rFonts w:hint="eastAsia"/>
        </w:rPr>
        <w:t>二、背景及必要性分析</w:t>
      </w:r>
      <w:bookmarkEnd w:id="9"/>
    </w:p>
    <w:p w:rsidR="0066099B" w:rsidP="0066099B">
      <w:pPr>
        <w:pStyle w:val="Heading2"/>
        <w:rPr>
          <w:rFonts w:hint="eastAsia"/>
        </w:rPr>
      </w:pPr>
      <w:bookmarkStart w:id="10" w:name="_Toc156000949"/>
      <w:r w:rsidRPr="0066099B">
        <w:rPr>
          <w:rFonts w:hint="eastAsia"/>
        </w:rPr>
        <w:t>(</w:t>
      </w:r>
      <w:r w:rsidRPr="0066099B">
        <w:rPr>
          <w:rFonts w:hint="eastAsia"/>
        </w:rPr>
        <w:t>一</w:t>
      </w:r>
      <w:r w:rsidRPr="0066099B">
        <w:rPr>
          <w:rFonts w:hint="eastAsia"/>
        </w:rPr>
        <w:t>)</w:t>
      </w:r>
      <w:r w:rsidRPr="0066099B">
        <w:rPr>
          <w:rFonts w:hint="eastAsia"/>
        </w:rPr>
        <w:t>、行业发展方向</w:t>
      </w:r>
      <w:bookmarkEnd w:id="10"/>
    </w:p>
    <w:p w:rsidR="0066099B" w:rsidRPr="0066099B" w:rsidP="0066099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099B">
        <w:rPr>
          <w:rFonts w:ascii="仿宋" w:eastAsia="仿宋" w:hAnsi="仿宋" w:hint="eastAsia"/>
          <w:sz w:val="28"/>
        </w:rPr>
        <w:t>1. 技术创新与数字化转型： 行业发展方向首当其冲的是技术创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新和数字化转型。通过采用先进的科技，如人工智能、大数据分析、物联网等，可以提高生产效率、降低成本，并开创新的商业模式。这将有助于行业迎接数字化时代的挑战，提高整体竞争力。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6099B" w:rsidP="0066099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099B">
        <w:rPr>
          <w:rFonts w:ascii="仿宋" w:eastAsia="仿宋" w:hAnsi="仿宋" w:hint="eastAsia"/>
          <w:sz w:val="28"/>
        </w:rPr>
        <w:t>7. 政策法规的遵从与适应： 行业的发展离不开政策法规的引导和监管。企业需要密切关注行业相关政策，遵守法规要求，并灵活调</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整战略，以适应不断变化的政治经济环境。</w:t>
      </w:r>
    </w:p>
    <w:p w:rsidR="0066099B" w:rsidP="0066099B">
      <w:pPr>
        <w:pStyle w:val="Heading2"/>
      </w:pPr>
      <w:bookmarkStart w:id="11" w:name="_Toc156000950"/>
      <w:r w:rsidRPr="0066099B">
        <w:t>(</w:t>
      </w:r>
      <w:r w:rsidRPr="0066099B">
        <w:t>二</w:t>
      </w:r>
      <w:r w:rsidRPr="0066099B">
        <w:t>)</w:t>
      </w:r>
      <w:r w:rsidRPr="0066099B">
        <w:t>、行业环境分析与应对策略</w:t>
      </w:r>
      <w:bookmarkEnd w:id="11"/>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（五）行业环境分析与应对策略</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6099B" w:rsidRPr="0066099B" w:rsidP="0066099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099B">
        <w:rPr>
          <w:rFonts w:ascii="仿宋" w:eastAsia="仿宋" w:hAnsi="仿宋" w:hint="eastAsia"/>
          <w:sz w:val="28"/>
        </w:rPr>
        <w:t>5. **人才争夺激烈：** 优秀的人才是企业发展的关键因素，但市场上人才争夺激烈。制定吸引人才的薪酬福利政策，提供良好的职</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业发展空间，建立积极的企业文化，吸引并留住优秀的人才。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6099B" w:rsidP="0066099B">
      <w:pPr>
        <w:pStyle w:val="Heading2"/>
      </w:pPr>
      <w:bookmarkStart w:id="12" w:name="_Toc156000951"/>
      <w:r w:rsidRPr="0066099B">
        <w:t>(</w:t>
      </w:r>
      <w:r w:rsidRPr="0066099B">
        <w:t>三</w:t>
      </w:r>
      <w:r w:rsidRPr="0066099B">
        <w:t>)</w:t>
      </w:r>
      <w:r w:rsidRPr="0066099B">
        <w:t>、行业面临的机遇与挑战</w:t>
      </w:r>
      <w:bookmarkEnd w:id="12"/>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机遇：</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技术创新和数字化转型： 行业可能受益于先进技术和数字化转型，提高生产效率、降低成本，同时创造新的商业模式和产品。</w:t>
      </w:r>
    </w:p>
    <w:p w:rsidR="0066099B" w:rsidRPr="0066099B" w:rsidP="0066099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099B">
        <w:rPr>
          <w:rFonts w:ascii="仿宋" w:eastAsia="仿宋" w:hAnsi="仿宋" w:hint="eastAsia"/>
          <w:sz w:val="28"/>
        </w:rPr>
        <w:t>2. 市场需求增长： 如果行业所在市场的需求不断增长，企业有</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机会通过提供更多产品或服务来扩大市场份额。</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全球化机遇： 开拓国际市场可能为企业带来新的机会，尤其是在全球化程度不断提高的情况下。</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可持续发展： 行业在可持续发展方面的投入和努力可能受到市场和政府的认可，推动企业在社会责任和环保方面取得竞争优势。</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人才和团队发展： 有机会吸引和培养高素质的人才，建立协作团队，为企业带来创新和竞争优势。</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挑战：</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市场竞争激烈： 若市场竞争激烈，企业可能面临价格战、利润压力以及更高的市场推广成本。</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政策和法规变化： 行业可能受到政府政策和法规的影响，不稳定的政策环境可能带来不确定性。</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供应链不稳定： 供应链问题，如原材料短缺、运输问题或供应链中断，可能对企业的生产和运营产生负面影响。</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技术风险： 依赖新技术可能带来技术风险，包括技术失误、信息安全问题等。</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人才短缺： 企业可能面临人才短缺，尤其是在需要特定技能或专业知识的领域。</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经济不确定性： 宏观经济因素的不确定性，如通货膨胀、利率变动、经济衰退等，可能对企业产生负面影响。</w:t>
      </w:r>
    </w:p>
    <w:p w:rsidR="0066099B" w:rsidP="0066099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099B">
        <w:rPr>
          <w:rFonts w:ascii="仿宋" w:eastAsia="仿宋" w:hAnsi="仿宋" w:hint="eastAsia"/>
          <w:sz w:val="28"/>
        </w:rPr>
        <w:t>在面对这些机遇和挑战时，企业需要制定明智的战略，灵活调整经营计划，不断提升自身竞争力，以适应动态的市场环境。</w:t>
      </w:r>
    </w:p>
    <w:p w:rsidR="0066099B" w:rsidP="0066099B">
      <w:pPr>
        <w:pStyle w:val="Heading2"/>
      </w:pPr>
      <w:bookmarkStart w:id="13" w:name="_Toc156000952"/>
      <w:r w:rsidRPr="0066099B">
        <w:t>(</w:t>
      </w:r>
      <w:r w:rsidRPr="0066099B">
        <w:t>四</w:t>
      </w:r>
      <w:r w:rsidRPr="0066099B">
        <w:t>)</w:t>
      </w:r>
      <w:r w:rsidRPr="0066099B">
        <w:t>、行业特征</w:t>
      </w:r>
      <w:bookmarkEnd w:id="13"/>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市场竞争激烈： 行业内竞争激烈，存在多个竞争对手争夺市场份额。差异化竞争、创新能力和品牌影响力成为企业取胜的重要因素。</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6099B" w:rsidRPr="0066099B" w:rsidP="0066099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099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6099B" w:rsidRPr="0066099B" w:rsidP="0066099B">
      <w:pPr>
        <w:ind w:firstLine="560" w:firstLineChars="200"/>
        <w:rPr>
          <w:rFonts w:ascii="仿宋" w:eastAsia="仿宋" w:hAnsi="仿宋" w:hint="eastAsia"/>
          <w:sz w:val="28"/>
        </w:rPr>
      </w:pPr>
      <w:r w:rsidRPr="0066099B">
        <w:rPr>
          <w:rFonts w:ascii="仿宋" w:eastAsia="仿宋" w:hAnsi="仿宋"/>
          <w:sz w:val="28"/>
        </w:rPr>
        <w:t>8</w:t>
      </w:r>
      <w:r w:rsidRPr="0066099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6099B" w:rsidP="0066099B">
      <w:pPr>
        <w:pStyle w:val="Heading2"/>
      </w:pPr>
      <w:bookmarkStart w:id="14" w:name="_Toc156000953"/>
      <w:r w:rsidRPr="0066099B">
        <w:t>(</w:t>
      </w:r>
      <w:r w:rsidRPr="0066099B">
        <w:t>五</w:t>
      </w:r>
      <w:r w:rsidRPr="0066099B">
        <w:t>)</w:t>
      </w:r>
      <w:r w:rsidRPr="0066099B">
        <w:t>、行业发展趋势分析</w:t>
      </w:r>
      <w:bookmarkEnd w:id="14"/>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6099B" w:rsidRPr="0066099B" w:rsidP="0066099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099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6099B" w:rsidP="0066099B">
      <w:pPr>
        <w:ind w:firstLine="560" w:firstLineChars="200"/>
        <w:rPr>
          <w:rFonts w:ascii="仿宋" w:eastAsia="仿宋" w:hAnsi="仿宋" w:hint="eastAsia"/>
          <w:sz w:val="28"/>
        </w:rPr>
      </w:pPr>
      <w:r w:rsidRPr="0066099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6099B" w:rsidP="0066099B">
      <w:pPr>
        <w:pStyle w:val="Heading2"/>
      </w:pPr>
      <w:bookmarkStart w:id="15" w:name="_Toc156000954"/>
      <w:r w:rsidRPr="0066099B">
        <w:t>(</w:t>
      </w:r>
      <w:r w:rsidRPr="0066099B">
        <w:t>六</w:t>
      </w:r>
      <w:r w:rsidRPr="0066099B">
        <w:t>)</w:t>
      </w:r>
      <w:r w:rsidRPr="0066099B">
        <w:t>、行业实施路径就爱建议</w:t>
      </w:r>
      <w:bookmarkEnd w:id="15"/>
    </w:p>
    <w:p w:rsidR="0066099B" w:rsidRPr="0066099B" w:rsidP="0066099B">
      <w:pPr>
        <w:ind w:firstLine="560" w:firstLineChars="200"/>
        <w:rPr>
          <w:rFonts w:ascii="仿宋" w:eastAsia="仿宋" w:hAnsi="仿宋"/>
          <w:sz w:val="28"/>
        </w:rPr>
      </w:pPr>
    </w:p>
    <w:p w:rsidR="0066099B" w:rsidRPr="0066099B" w:rsidP="0066099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099B">
        <w:rPr>
          <w:rFonts w:ascii="仿宋" w:eastAsia="仿宋" w:hAnsi="仿宋" w:hint="eastAsia"/>
          <w:sz w:val="28"/>
        </w:rPr>
        <w:t>1. 制定数字化战略： 开展全面的数字化转型，建立数字化战略，</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包括引入先进的信息技术、云计算、大数据分析等。建立数字化平台，以提高生产效率、优化资源配置，并为未来智能制造奠定基础。</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6099B" w:rsidRPr="0066099B" w:rsidP="0066099B">
      <w:pPr>
        <w:ind w:firstLine="560" w:firstLineChars="200"/>
        <w:rPr>
          <w:rFonts w:ascii="仿宋" w:eastAsia="仿宋" w:hAnsi="仿宋"/>
          <w:sz w:val="28"/>
        </w:rPr>
      </w:pPr>
      <w:r w:rsidRPr="0066099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6099B" w:rsidRPr="0066099B" w:rsidP="0066099B">
      <w:pPr>
        <w:ind w:firstLine="560" w:firstLineChars="200"/>
        <w:rPr>
          <w:rFonts w:ascii="仿宋" w:eastAsia="仿宋" w:hAnsi="仿宋"/>
          <w:sz w:val="28"/>
        </w:rPr>
      </w:pPr>
      <w:r w:rsidRPr="0066099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6099B" w:rsidRPr="0066099B" w:rsidP="0066099B">
      <w:pPr>
        <w:ind w:firstLine="560" w:firstLineChars="200"/>
        <w:rPr>
          <w:rFonts w:ascii="仿宋" w:eastAsia="仿宋" w:hAnsi="仿宋" w:hint="eastAsia"/>
          <w:sz w:val="28"/>
        </w:rPr>
      </w:pPr>
      <w:r w:rsidRPr="0066099B">
        <w:rPr>
          <w:rFonts w:ascii="仿宋" w:eastAsia="仿宋" w:hAnsi="仿宋" w:hint="eastAsia"/>
          <w:sz w:val="28"/>
        </w:rPr>
        <w:t>8. 加强供应链数字化和可视化： 实施供应链数字化和可视化管理，通过先进的供应链管理系统实现供应链的实时监控和数据分析。</w:t>
      </w:r>
      <w:r w:rsidRPr="0066099B">
        <w:rPr>
          <w:rFonts w:ascii="仿宋" w:eastAsia="仿宋" w:hAnsi="仿宋" w:hint="eastAsia"/>
          <w:sz w:val="28"/>
        </w:rPr>
        <w:br/>
      </w:r>
      <w:r w:rsidRPr="0066099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https://d.book118.com/055324142320011041</w:t>
        </w:r>
      </w:hyperlink>
    </w:p>
    <w:p w:rsidR="0066099B" w:rsidRPr="0066099B" w:rsidP="0066099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09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099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099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6099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099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099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099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099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099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099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099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099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6099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099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099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099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099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099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6099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6099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099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6099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6099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099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099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P="00D2214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099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rsidRPr="0066099B" w:rsidP="0066099B">
    <w:pPr>
      <w:pStyle w:val="Header"/>
      <w:rPr>
        <w:rFonts w:ascii="仿宋" w:eastAsia="仿宋" w:hAnsi="仿宋"/>
      </w:rPr>
    </w:pPr>
    <w:r w:rsidRPr="0066099B">
      <w:rPr>
        <w:rFonts w:ascii="仿宋" w:eastAsia="仿宋" w:hAnsi="仿宋" w:hint="eastAsia"/>
      </w:rPr>
      <w:t>C301-I型低压甲醇合成催化剂项目经济评价报告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09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99B"/>
    <w:rsid w:val="0066099B"/>
    <w:rsid w:val="00883E19"/>
    <w:rsid w:val="009B05B4"/>
    <w:rsid w:val="00D2214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099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09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099B"/>
    <w:rPr>
      <w:b/>
      <w:bCs/>
      <w:kern w:val="44"/>
      <w:sz w:val="44"/>
      <w:szCs w:val="44"/>
    </w:rPr>
  </w:style>
  <w:style w:type="character" w:customStyle="1" w:styleId="2Char">
    <w:name w:val="标题 2 Char"/>
    <w:basedOn w:val="DefaultParagraphFont"/>
    <w:link w:val="Heading2"/>
    <w:uiPriority w:val="9"/>
    <w:rsid w:val="0066099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09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099B"/>
    <w:rPr>
      <w:sz w:val="18"/>
      <w:szCs w:val="18"/>
    </w:rPr>
  </w:style>
  <w:style w:type="paragraph" w:styleId="Footer">
    <w:name w:val="footer"/>
    <w:basedOn w:val="Normal"/>
    <w:link w:val="Char0"/>
    <w:uiPriority w:val="99"/>
    <w:unhideWhenUsed/>
    <w:rsid w:val="0066099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099B"/>
    <w:rPr>
      <w:sz w:val="18"/>
      <w:szCs w:val="18"/>
    </w:rPr>
  </w:style>
  <w:style w:type="character" w:styleId="PageNumber">
    <w:name w:val="page number"/>
    <w:basedOn w:val="DefaultParagraphFont"/>
    <w:uiPriority w:val="99"/>
    <w:semiHidden/>
    <w:unhideWhenUsed/>
    <w:rsid w:val="0066099B"/>
  </w:style>
  <w:style w:type="paragraph" w:styleId="TOC1">
    <w:name w:val="toc 1"/>
    <w:basedOn w:val="Normal"/>
    <w:next w:val="Normal"/>
    <w:autoRedefine/>
    <w:uiPriority w:val="39"/>
    <w:unhideWhenUsed/>
    <w:rsid w:val="0066099B"/>
  </w:style>
  <w:style w:type="paragraph" w:styleId="TOC2">
    <w:name w:val="toc 2"/>
    <w:basedOn w:val="Normal"/>
    <w:next w:val="Normal"/>
    <w:autoRedefine/>
    <w:uiPriority w:val="39"/>
    <w:unhideWhenUsed/>
    <w:rsid w:val="006609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5324142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7584</Words>
  <Characters>43229</Characters>
  <Application>Microsoft Office Word</Application>
  <DocSecurity>0</DocSecurity>
  <Lines>360</Lines>
  <Paragraphs>101</Paragraphs>
  <ScaleCrop>false</ScaleCrop>
  <Company>Microsoft</Company>
  <LinksUpToDate>false</LinksUpToDate>
  <CharactersWithSpaces>50712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2024-01-12T17:14:00Z</dcterms:created>
  <dcterms:modified xsi:type="dcterms:W3CDTF">2024-01-12T17:15:00Z</dcterms:modified>
</cp:coreProperties>
</file>