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仿真花项目可行性建设方案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8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93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_Toc25593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_Toc19308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_Toc6528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" w:history="1">
        <w:r>
          <w:rPr>
            <w:rFonts w:ascii="仿宋" w:eastAsia="仿宋" w:hAnsi="仿宋" w:cs="仿宋" w:hint="eastAsia"/>
            <w:lang w:eastAsia="zh-CN"/>
          </w:rPr>
          <w:t>二、仿真花项目概论</w:t>
        </w:r>
        <w:r>
          <w:tab/>
        </w:r>
        <w:r>
          <w:fldChar w:fldCharType="begin"/>
        </w:r>
        <w:r>
          <w:instrText xml:space="preserve"> PAGEREF _Toc298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_Toc30444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0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_Toc26650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82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_Toc21282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_Toc29829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_Toc20059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_Toc5768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_Toc19940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_Toc24258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_Toc18901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_Toc32440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_Toc10727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2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_Toc1602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0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_Toc25900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_Toc883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5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_Toc29375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_Toc5352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3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_Toc13043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_Toc3371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02" w:history="1">
        <w:r>
          <w:rPr>
            <w:rFonts w:ascii="仿宋" w:eastAsia="仿宋" w:hAnsi="仿宋" w:cs="仿宋" w:hint="eastAsia"/>
            <w:lang w:eastAsia="zh-CN"/>
          </w:rPr>
          <w:t>五、环境和生态影响分析</w:t>
        </w:r>
        <w:r>
          <w:tab/>
        </w:r>
        <w:r>
          <w:fldChar w:fldCharType="begin"/>
        </w:r>
        <w:r>
          <w:instrText xml:space="preserve"> PAGEREF _Toc10802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_Toc23621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_Toc18916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_Toc7853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_Toc3023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_Toc29859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0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_Toc4460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_Toc15731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_Toc22951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_Toc28134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16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_Toc22916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1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_Toc13511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_Toc17179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_Toc2168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_Toc13632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5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_Toc3705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590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_Toc8590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_Toc5060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_Toc25521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_Toc17773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_Toc7204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_Toc12737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_Toc12271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7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_Toc14537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_Toc6585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_Toc13149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71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_Toc25671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_Toc32374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_Toc30167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6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_Toc6106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_Toc19341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_Toc3247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6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_Toc30786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9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_Toc7569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_Toc22207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_Toc19537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5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_Toc29435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9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_Toc26829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_Toc2577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_Toc7562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_Toc16129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72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_Toc16872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4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_Toc21124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_Toc10025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8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_Toc24188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_Toc32432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70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_Toc22970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_Toc11032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_Toc3899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27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_Toc6927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_Toc19465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_Toc1062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28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_Toc24928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_Toc17644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4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_Toc17614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54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_Toc12554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_Toc9818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_Toc24396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_Toc21764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8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593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308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仿真花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528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8"/>
      <w:r>
        <w:rPr>
          <w:rFonts w:ascii="仿宋" w:eastAsia="仿宋" w:hAnsi="仿宋" w:cs="仿宋" w:hint="eastAsia"/>
          <w:sz w:val="28"/>
          <w:lang w:eastAsia="zh-CN"/>
        </w:rPr>
        <w:t>二、仿真花项目概论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0444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仿真花项目的申报单位是“XXX实业发展公司”，这是一家在其所处行业内备受尊敬的企业。公司自成立以来，通过其在仿真花项目中表现出的创新精神和卓越执行力，在市场上赢得了显著的地位。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该公司的法定代表人秦XX，在仿真花项目及其他多个行业领域中都有着显著的贡献。秦XX以其出色的领导才能和敏锐的商业洞察力，带领公司在仿真花项目等多个领域实现了持续的成长和成功。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仿真花项目的重要合作伙伴。公司专注于[行业名称]领域，以创新作为驱动力，不断推动技术进步和市场扩张。在仿真花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仿真花项目中展现了强劲的增长和稳定的财务表现。公司通过有效的策略，在仿真花项目中扩大了其市场份额并增强了盈利能力。同时，公司积极承担社会责任，参与各类社会公益项目，增强了其在仿真花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650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仿真花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仿真花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282"/>
      <w:r>
        <w:rPr>
          <w:rFonts w:ascii="仿宋" w:eastAsia="仿宋" w:hAnsi="仿宋" w:cs="仿宋" w:hint="eastAsia"/>
          <w:sz w:val="28"/>
          <w:lang w:eastAsia="zh-CN"/>
        </w:rPr>
        <w:t>三、建设风险评估分析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9829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在管理层面，政策风险是一个需要认真管理和规避的关键因素。项目管理团队将采取以下措施来有效管理政策风险：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政策监测与分析：建立政策监测机制，密切关注所在地区和国际层面的政策变化。定期进行政策风险分析，评估潜在政策对项目的影响，以便及时调整策略。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政府关系建设：积极与政府部门建立密切的关系，参与政策制定和决策过程。与政府建立战略伙伴关系，争取政府的政策支持和税收优惠。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法律合规性：建立严格的法律合规性程序，确保项目的运营和管理始终符合当地和国家的法规要求。与法律专家合作，定期审查和更新法律合规性政策。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风险缓解与应对策略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为了有效缓解政策风险并应对潜在挑战，项目管理团队制定了以下风险缓解与应对策略：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多元化供应链：建立多元化的供应链网络，降低对单一供应商的依赖。这将有助于应对潜在的贸易政策变化和供应风险。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政策沟通和倡导：积极参与行业协会和商会，与其他利益相关者一起倡导有利于项目的政策制定。通过政策沟通和倡导，争取政府的政策支持和理解。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敏捷战略规划：建立灵活的战略规划框架，使项目能够在政策变化下迅速调整战略方向。定期进行战略审查，确保项目的战略与政策环境保持一致。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0059"/>
      <w:r>
        <w:rPr>
          <w:rFonts w:ascii="仿宋" w:eastAsia="仿宋" w:hAnsi="仿宋" w:cs="仿宋" w:hint="eastAsia"/>
          <w:sz w:val="28"/>
          <w:lang w:eastAsia="zh-CN"/>
        </w:rPr>
        <w:t>(二)、社会风险分析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社会风险因素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https://d.book118.com/056003114050010051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仿真花项目可行性建设方案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17040E"/>
    <w:rsid w:val="571704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5600311405001005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2024-02-13T07:24:00Z</dcterms:created>
  <dcterms:modified xsi:type="dcterms:W3CDTF">2024-02-13T07:24:56Z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845F25EB7B7A4BB9A3692CA23C200CC1_11</vt:lpwstr>
  </property>
  <property fmtid="{D5CDD505-2E9C-101B-9397-08002B2CF9AE}" pid="3" name="KSOProductBuildVer">
    <vt:lpwstr>2052-12.1.0.16250</vt:lpwstr>
  </property>
</Properties>
</file>