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7628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20.05pt;height:67.55pt;margin-top:64.72pt;margin-left:8.49pt;mso-position-horizontal-relative:page;mso-position-vertical-relative:page;position:absolute;z-index:251662336" o:allowincell="f" filled="f" stroked="f">
            <o:lock v:ext="edit" aspectratio="f"/>
            <v:textbox style="layout-flow:vertical-ideographic" inset="0,0,0,0">
              <w:txbxContent>
                <w:p>
                  <w:pPr>
                    <w:spacing w:before="20" w:line="215" w:lineRule="auto"/>
                    <w:ind w:left="20"/>
                    <w:rPr>
                      <w:rFonts w:ascii="SimSun" w:eastAsia="SimSun" w:hAnsi="SimSun" w:cs="SimSun"/>
                      <w:sz w:val="30"/>
                      <w:szCs w:val="30"/>
                    </w:rPr>
                  </w:pPr>
                  <w:r>
                    <w:rPr>
                      <w:rFonts w:ascii="SimSun" w:eastAsia="SimSun" w:hAnsi="SimSun" w:cs="SimSun"/>
                      <w:spacing w:val="27"/>
                      <w:sz w:val="30"/>
                      <w:szCs w:val="30"/>
                    </w:rPr>
                    <w:t>策略研究</w:t>
                  </w:r>
                </w:p>
              </w:txbxContent>
            </v:textbox>
          </v:shape>
        </w:pict>
      </w:r>
      <w:r>
        <w:pict>
          <v:shape id="_x0000_s1026" type="#_x0000_t202" style="width:20.85pt;height:67.95pt;margin-top:247.26pt;margin-left:8.64pt;mso-position-horizontal-relative:page;mso-position-vertical-relative:page;position:absolute;z-index:251665408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225" w:lineRule="auto"/>
                    <w:ind w:left="20"/>
                    <w:rPr>
                      <w:sz w:val="30"/>
                      <w:szCs w:val="30"/>
                    </w:rPr>
                  </w:pPr>
                  <w:r>
                    <w:rPr>
                      <w:spacing w:val="29"/>
                      <w:sz w:val="30"/>
                      <w:szCs w:val="30"/>
                    </w:rPr>
                    <w:t>策略月报</w:t>
                  </w:r>
                </w:p>
              </w:txbxContent>
            </v:textbox>
          </v:shape>
        </w:pict>
      </w:r>
      <w:r>
        <w:pict>
          <v:shape id="_x0000_s1027" type="#_x0000_t202" style="width:20pt;height:96.65pt;margin-top:443.53pt;margin-left:8.3pt;mso-position-horizontal-relative:page;mso-position-vertical-relative:page;position:absolute;z-index:251663360" o:allowincell="f" filled="f" stroked="f">
            <o:lock v:ext="edit" aspectratio="f"/>
            <v:textbox style="layout-flow:vertical-ideographic" inset="0,0,0,0">
              <w:txbxContent>
                <w:p>
                  <w:pPr>
                    <w:spacing w:before="19" w:line="215" w:lineRule="auto"/>
                    <w:ind w:left="20"/>
                    <w:rPr>
                      <w:rFonts w:ascii="SimSun" w:eastAsia="SimSun" w:hAnsi="SimSun" w:cs="SimSun"/>
                      <w:sz w:val="30"/>
                      <w:szCs w:val="30"/>
                    </w:rPr>
                  </w:pPr>
                  <w:r>
                    <w:rPr>
                      <w:rFonts w:ascii="SimSun" w:eastAsia="SimSun" w:hAnsi="SimSun" w:cs="SimSun"/>
                      <w:spacing w:val="15"/>
                      <w:sz w:val="30"/>
                      <w:szCs w:val="30"/>
                    </w:rPr>
                    <w:t>证券研究报告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698522</wp:posOffset>
            </wp:positionH>
            <wp:positionV relativeFrom="page">
              <wp:posOffset>2120928</wp:posOffset>
            </wp:positionV>
            <wp:extent cx="6616698" cy="12618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6698" cy="12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704870</wp:posOffset>
            </wp:positionH>
            <wp:positionV relativeFrom="page">
              <wp:posOffset>381006</wp:posOffset>
            </wp:positionV>
            <wp:extent cx="2044713" cy="501626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4713" cy="501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8" type="#_x0000_t202" style="width:230.7pt;height:24.1pt;margin-top:93.25pt;margin-left:114.77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0" w:lineRule="auto"/>
                    <w:ind w:left="20"/>
                    <w:rPr>
                      <w:sz w:val="37"/>
                      <w:szCs w:val="37"/>
                    </w:rPr>
                  </w:pPr>
                  <w:r>
                    <w:rPr>
                      <w:b/>
                      <w:bCs/>
                      <w:spacing w:val="-27"/>
                      <w:sz w:val="37"/>
                      <w:szCs w:val="37"/>
                    </w:rPr>
                    <w:t>政策持续发力，</w:t>
                  </w:r>
                  <w:r>
                    <w:rPr>
                      <w:spacing w:val="-60"/>
                      <w:sz w:val="37"/>
                      <w:szCs w:val="3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27"/>
                      <w:sz w:val="37"/>
                      <w:szCs w:val="37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41"/>
                      <w:sz w:val="37"/>
                      <w:szCs w:val="37"/>
                    </w:rPr>
                    <w:t xml:space="preserve"> </w:t>
                  </w:r>
                  <w:r>
                    <w:rPr>
                      <w:b/>
                      <w:bCs/>
                      <w:spacing w:val="-27"/>
                      <w:sz w:val="37"/>
                      <w:szCs w:val="37"/>
                    </w:rPr>
                    <w:t>股低位反弹</w:t>
                  </w:r>
                </w:p>
              </w:txbxContent>
            </v:textbox>
          </v:shape>
        </w:pict>
      </w:r>
      <w:r>
        <w:pict>
          <v:shape id="_x0000_s1029" type="#_x0000_t202" style="width:159.35pt;height:19pt;margin-top:140.1pt;margin-left:239.7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4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12"/>
                      <w:sz w:val="28"/>
                      <w:szCs w:val="28"/>
                    </w:rPr>
                    <w:t>——2024年2月策略月报</w:t>
                  </w:r>
                </w:p>
              </w:txbxContent>
            </v:textbox>
          </v:shape>
        </w:pict>
      </w:r>
      <w:r>
        <w:rPr>
          <w:position w:val="-152"/>
        </w:rPr>
        <w:drawing>
          <wp:inline distT="0" distB="0" distL="0" distR="0">
            <wp:extent cx="539760" cy="4844196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760" cy="484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91" w:line="222" w:lineRule="auto"/>
        <w:ind w:left="6850"/>
        <w:rPr>
          <w:sz w:val="28"/>
          <w:szCs w:val="28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6347</wp:posOffset>
            </wp:positionH>
            <wp:positionV relativeFrom="paragraph">
              <wp:posOffset>226953</wp:posOffset>
            </wp:positionV>
            <wp:extent cx="6521712" cy="889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21712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8"/>
          <w:sz w:val="28"/>
          <w:szCs w:val="28"/>
        </w:rPr>
        <w:t>策</w:t>
      </w:r>
      <w:r>
        <w:rPr>
          <w:spacing w:val="-18"/>
          <w:sz w:val="28"/>
          <w:szCs w:val="28"/>
        </w:rPr>
        <w:t xml:space="preserve"> </w:t>
      </w:r>
      <w:r>
        <w:rPr>
          <w:b/>
          <w:bCs/>
          <w:spacing w:val="-18"/>
          <w:sz w:val="28"/>
          <w:szCs w:val="28"/>
        </w:rPr>
        <w:t>略</w:t>
      </w:r>
      <w:r>
        <w:rPr>
          <w:spacing w:val="-18"/>
          <w:sz w:val="28"/>
          <w:szCs w:val="28"/>
        </w:rPr>
        <w:t xml:space="preserve"> </w:t>
      </w:r>
      <w:r>
        <w:rPr>
          <w:b/>
          <w:bCs/>
          <w:spacing w:val="-18"/>
          <w:sz w:val="28"/>
          <w:szCs w:val="28"/>
        </w:rPr>
        <w:t>研</w:t>
      </w:r>
      <w:r>
        <w:rPr>
          <w:spacing w:val="28"/>
          <w:sz w:val="28"/>
          <w:szCs w:val="28"/>
        </w:rPr>
        <w:t xml:space="preserve"> </w:t>
      </w:r>
      <w:r>
        <w:rPr>
          <w:b/>
          <w:bCs/>
          <w:spacing w:val="-18"/>
          <w:sz w:val="28"/>
          <w:szCs w:val="28"/>
        </w:rPr>
        <w:t>究</w:t>
      </w:r>
      <w:r>
        <w:rPr>
          <w:spacing w:val="51"/>
          <w:sz w:val="28"/>
          <w:szCs w:val="28"/>
        </w:rPr>
        <w:t xml:space="preserve"> </w:t>
      </w:r>
      <w:r>
        <w:rPr>
          <w:b/>
          <w:bCs/>
          <w:spacing w:val="-18"/>
          <w:sz w:val="28"/>
          <w:szCs w:val="28"/>
        </w:rPr>
        <w:t>|</w:t>
      </w:r>
      <w:r>
        <w:rPr>
          <w:spacing w:val="7"/>
          <w:sz w:val="28"/>
          <w:szCs w:val="28"/>
        </w:rPr>
        <w:t xml:space="preserve"> </w:t>
      </w:r>
      <w:r>
        <w:rPr>
          <w:b/>
          <w:bCs/>
          <w:spacing w:val="-18"/>
          <w:sz w:val="28"/>
          <w:szCs w:val="28"/>
        </w:rPr>
        <w:t>策</w:t>
      </w:r>
      <w:r>
        <w:rPr>
          <w:spacing w:val="4"/>
          <w:sz w:val="28"/>
          <w:szCs w:val="28"/>
        </w:rPr>
        <w:t xml:space="preserve"> </w:t>
      </w:r>
      <w:r>
        <w:rPr>
          <w:b/>
          <w:bCs/>
          <w:spacing w:val="-18"/>
          <w:sz w:val="28"/>
          <w:szCs w:val="28"/>
        </w:rPr>
        <w:t>略</w:t>
      </w:r>
      <w:r>
        <w:rPr>
          <w:spacing w:val="17"/>
          <w:sz w:val="28"/>
          <w:szCs w:val="28"/>
        </w:rPr>
        <w:t xml:space="preserve"> </w:t>
      </w:r>
      <w:r>
        <w:rPr>
          <w:b/>
          <w:bCs/>
          <w:spacing w:val="-18"/>
          <w:sz w:val="28"/>
          <w:szCs w:val="28"/>
        </w:rPr>
        <w:t>月</w:t>
      </w:r>
      <w:r>
        <w:rPr>
          <w:sz w:val="28"/>
          <w:szCs w:val="28"/>
        </w:rPr>
        <w:t xml:space="preserve"> </w:t>
      </w:r>
      <w:r>
        <w:rPr>
          <w:b/>
          <w:bCs/>
          <w:spacing w:val="-18"/>
          <w:sz w:val="28"/>
          <w:szCs w:val="28"/>
        </w:rPr>
        <w:t>报</w:t>
      </w:r>
    </w:p>
    <w:p>
      <w:pPr>
        <w:pStyle w:val="BodyText"/>
        <w:spacing w:before="15" w:line="1790" w:lineRule="exact"/>
        <w:ind w:firstLine="7009"/>
      </w:pPr>
      <w:r>
        <w:rPr>
          <w:position w:val="-35"/>
        </w:rPr>
        <w:pict>
          <v:shape id="_x0000_i1030" type="#_x0000_t202" style="width:169.55pt;height:89.5pt;mso-position-horizontal-relative:char;mso-position-vertical-relative:line" filled="t" fillcolor="#e5e4e5" stroked="f">
            <o:lock v:ext="edit" aspectratio="f"/>
            <v:textbox inset="0,0,0,0">
              <w:txbxContent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8" w:line="225" w:lineRule="auto"/>
                    <w:ind w:left="800"/>
                    <w:rPr>
                      <w:rFonts w:ascii="KaiTi" w:eastAsia="KaiTi" w:hAnsi="KaiTi" w:cs="KaiTi"/>
                      <w:sz w:val="21"/>
                      <w:szCs w:val="21"/>
                    </w:rPr>
                  </w:pPr>
                  <w:r>
                    <w:rPr>
                      <w:rFonts w:ascii="KaiTi" w:eastAsia="KaiTi" w:hAnsi="KaiTi" w:cs="KaiTi"/>
                      <w:spacing w:val="24"/>
                      <w:sz w:val="21"/>
                      <w:szCs w:val="21"/>
                    </w:rPr>
                    <w:t>2024年02月29日</w:t>
                  </w:r>
                </w:p>
              </w:txbxContent>
            </v:textbox>
            <w10:wrap type="none"/>
          </v:shape>
        </w:pict>
      </w:r>
    </w:p>
    <w:p>
      <w:pPr>
        <w:spacing w:line="173" w:lineRule="exact"/>
      </w:pPr>
    </w:p>
    <w:tbl>
      <w:tblPr>
        <w:tblStyle w:val="TableNormal"/>
        <w:tblW w:w="10272" w:type="dxa"/>
        <w:tblInd w:w="12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378"/>
        <w:gridCol w:w="3894"/>
      </w:tblGrid>
      <w:tr>
        <w:tblPrEx>
          <w:tblW w:w="10272" w:type="dxa"/>
          <w:tblInd w:w="123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7829"/>
        </w:trPr>
        <w:tc>
          <w:tcPr>
            <w:tcW w:w="6378" w:type="dxa"/>
            <w:vAlign w:val="top"/>
          </w:tcPr>
          <w:p>
            <w:pPr>
              <w:pStyle w:val="TableText"/>
              <w:spacing w:before="30" w:line="226" w:lineRule="auto"/>
              <w:rPr>
                <w:sz w:val="24"/>
                <w:szCs w:val="24"/>
              </w:rPr>
            </w:pPr>
            <w:r>
              <w:rPr>
                <w:b/>
                <w:bCs/>
                <w:spacing w:val="-15"/>
                <w:sz w:val="24"/>
                <w:szCs w:val="24"/>
              </w:rPr>
              <w:t>投资要点：</w:t>
            </w:r>
          </w:p>
          <w:p>
            <w:pPr>
              <w:pStyle w:val="TableText"/>
              <w:spacing w:before="177" w:line="266" w:lineRule="auto"/>
              <w:ind w:left="565" w:right="516" w:hanging="409"/>
            </w:pPr>
            <w:r>
              <w:rPr>
                <w:spacing w:val="-5"/>
              </w:rPr>
              <w:t>●</w:t>
            </w:r>
            <w:r>
              <w:rPr>
                <w:spacing w:val="23"/>
              </w:rPr>
              <w:t xml:space="preserve">  </w:t>
            </w:r>
            <w:r>
              <w:rPr>
                <w:b/>
                <w:bCs/>
                <w:spacing w:val="-5"/>
              </w:rPr>
              <w:t>政策持续发力，</w:t>
            </w:r>
            <w:r>
              <w:rPr>
                <w:spacing w:val="-5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5"/>
              </w:rPr>
              <w:t>A</w:t>
            </w:r>
            <w:r>
              <w:rPr>
                <w:rFonts w:ascii="SimSun" w:eastAsia="SimSun" w:hAnsi="SimSun" w:cs="SimSun"/>
                <w:spacing w:val="-49"/>
              </w:rPr>
              <w:t xml:space="preserve"> </w:t>
            </w:r>
            <w:r>
              <w:rPr>
                <w:b/>
                <w:bCs/>
                <w:spacing w:val="-5"/>
              </w:rPr>
              <w:t>股实现低位回升：</w:t>
            </w:r>
            <w:r>
              <w:rPr>
                <w:spacing w:val="38"/>
              </w:rPr>
              <w:t xml:space="preserve"> </w:t>
            </w:r>
            <w:r>
              <w:rPr>
                <w:spacing w:val="-5"/>
              </w:rPr>
              <w:t>截至2月26日收</w:t>
            </w:r>
            <w:r>
              <w:rPr>
                <w:spacing w:val="-6"/>
              </w:rPr>
              <w:t>盘，</w:t>
            </w:r>
            <w:r>
              <w:t xml:space="preserve"> </w:t>
            </w:r>
            <w:r>
              <w:rPr>
                <w:spacing w:val="10"/>
              </w:rPr>
              <w:t>上证综指收报2977.02点，较1</w:t>
            </w:r>
            <w:r>
              <w:rPr>
                <w:spacing w:val="-53"/>
              </w:rPr>
              <w:t xml:space="preserve"> </w:t>
            </w:r>
            <w:r>
              <w:rPr>
                <w:spacing w:val="10"/>
              </w:rPr>
              <w:t>月末上涨6.76%。分结构</w:t>
            </w:r>
            <w:r>
              <w:t xml:space="preserve"> </w:t>
            </w:r>
            <w:r>
              <w:rPr>
                <w:spacing w:val="8"/>
              </w:rPr>
              <w:t>看，本月</w:t>
            </w:r>
            <w:r>
              <w:rPr>
                <w:rFonts w:ascii="Times New Roman" w:eastAsia="Times New Roman" w:hAnsi="Times New Roman" w:cs="Times New Roman"/>
                <w:spacing w:val="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>
              <w:rPr>
                <w:spacing w:val="8"/>
              </w:rPr>
              <w:t>股主要股指集体上涨。其中科创50(12.2</w:t>
            </w:r>
            <w:r>
              <w:rPr>
                <w:spacing w:val="7"/>
              </w:rPr>
              <w:t>1%)</w:t>
            </w:r>
            <w:r>
              <w:t xml:space="preserve"> </w:t>
            </w:r>
            <w:r>
              <w:rPr>
                <w:spacing w:val="8"/>
              </w:rPr>
              <w:t>涨幅最大，创业板指、中证500、沪深300、上证50分别</w:t>
            </w:r>
            <w:r>
              <w:rPr>
                <w:spacing w:val="6"/>
              </w:rPr>
              <w:t xml:space="preserve"> </w:t>
            </w:r>
            <w:r>
              <w:rPr>
                <w:rFonts w:ascii="SimSun" w:eastAsia="SimSun" w:hAnsi="SimSun" w:cs="SimSun"/>
                <w:spacing w:val="1"/>
              </w:rPr>
              <w:t>上涨11.33%、10.61%、7.40%、6.18%。在利好政策</w:t>
            </w:r>
            <w:r>
              <w:rPr>
                <w:rFonts w:ascii="SimSun" w:eastAsia="SimSun" w:hAnsi="SimSun" w:cs="SimSun"/>
              </w:rPr>
              <w:t xml:space="preserve">的带动 </w:t>
            </w:r>
            <w:r>
              <w:rPr>
                <w:spacing w:val="-2"/>
              </w:rPr>
              <w:t>下，市场情绪得到提振，资金回流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9"/>
              </w:rPr>
              <w:t xml:space="preserve"> </w:t>
            </w:r>
            <w:r>
              <w:rPr>
                <w:spacing w:val="-2"/>
              </w:rPr>
              <w:t>股市场。</w:t>
            </w:r>
          </w:p>
          <w:p>
            <w:pPr>
              <w:pStyle w:val="TableText"/>
              <w:spacing w:before="217" w:line="271" w:lineRule="auto"/>
              <w:ind w:left="566" w:right="456" w:firstLine="3"/>
              <w:jc w:val="both"/>
            </w:pPr>
            <w:r>
              <w:rPr>
                <w:b/>
                <w:bCs/>
                <w:spacing w:val="-6"/>
              </w:rPr>
              <w:t>央行下调5年期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LPR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0"/>
                <w:w w:val="101"/>
              </w:rPr>
              <w:t xml:space="preserve"> </w:t>
            </w:r>
            <w:r>
              <w:rPr>
                <w:b/>
                <w:bCs/>
                <w:spacing w:val="-6"/>
              </w:rPr>
              <w:t>利率，助力房地产市场企稳复苏：</w:t>
            </w:r>
            <w:r>
              <w:rPr>
                <w:spacing w:val="-6"/>
              </w:rPr>
              <w:t xml:space="preserve"> </w:t>
            </w:r>
            <w:r>
              <w:rPr>
                <w:spacing w:val="-6"/>
              </w:rPr>
              <w:t>春</w:t>
            </w:r>
            <w:r>
              <w:t xml:space="preserve">  </w:t>
            </w:r>
            <w:r>
              <w:t>节假期后央行公开市场操作力度有所减弱，截至2月26</w:t>
            </w:r>
            <w:r>
              <w:rPr>
                <w:spacing w:val="-1"/>
              </w:rPr>
              <w:t>日，</w:t>
            </w:r>
            <w:r>
              <w:t xml:space="preserve"> </w:t>
            </w:r>
            <w:r>
              <w:rPr>
                <w:spacing w:val="-3"/>
              </w:rPr>
              <w:t>当月逆回购净回笼资金18,100亿元，</w:t>
            </w:r>
            <w:r>
              <w:rPr>
                <w:spacing w:val="-3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</w:rPr>
              <w:t>MLF</w:t>
            </w:r>
            <w:r>
              <w:rPr>
                <w:rFonts w:ascii="SimSun" w:eastAsia="SimSun" w:hAnsi="SimSun" w:cs="SimSun"/>
                <w:spacing w:val="-4"/>
              </w:rPr>
              <w:t xml:space="preserve"> </w:t>
            </w:r>
            <w:r>
              <w:rPr>
                <w:spacing w:val="-4"/>
              </w:rPr>
              <w:t>净投放量也有所</w:t>
            </w:r>
            <w:r>
              <w:t xml:space="preserve">  </w:t>
            </w:r>
            <w:r>
              <w:rPr>
                <w:spacing w:val="-3"/>
              </w:rPr>
              <w:t>减少。2月以来，银行间资金利率震荡回落，银</w:t>
            </w:r>
            <w:r>
              <w:rPr>
                <w:spacing w:val="-4"/>
              </w:rPr>
              <w:t>行间资金面</w:t>
            </w:r>
            <w:r>
              <w:rPr>
                <w:spacing w:val="-4"/>
              </w:rPr>
              <w:t xml:space="preserve"> </w:t>
            </w:r>
            <w:r>
              <w:rPr>
                <w:spacing w:val="5"/>
              </w:rPr>
              <w:t>总体宽裕。2月20日公布的贷款市场报价利率</w:t>
            </w:r>
            <w:r>
              <w:rPr>
                <w:rFonts w:ascii="SimSun" w:eastAsia="SimSun" w:hAnsi="SimSun" w:cs="SimSun"/>
                <w:spacing w:val="5"/>
              </w:rPr>
              <w:t>(</w:t>
            </w:r>
            <w:r>
              <w:rPr>
                <w:rFonts w:ascii="SimSun" w:eastAsia="SimSun" w:hAnsi="SimSun" w:cs="SimSun"/>
              </w:rPr>
              <w:t>LPR</w:t>
            </w:r>
            <w:r>
              <w:rPr>
                <w:rFonts w:ascii="SimSun" w:eastAsia="SimSun" w:hAnsi="SimSun" w:cs="SimSun"/>
                <w:spacing w:val="5"/>
              </w:rPr>
              <w:t>)</w:t>
            </w:r>
            <w:r>
              <w:rPr>
                <w:rFonts w:ascii="SimSun" w:eastAsia="SimSun" w:hAnsi="SimSun" w:cs="SimSun"/>
                <w:spacing w:val="66"/>
              </w:rPr>
              <w:t xml:space="preserve"> </w:t>
            </w:r>
            <w:r>
              <w:rPr>
                <w:spacing w:val="4"/>
              </w:rPr>
              <w:t>为：</w:t>
            </w:r>
            <w:r>
              <w:t xml:space="preserve"> </w:t>
            </w:r>
            <w:r>
              <w:rPr>
                <w:spacing w:val="8"/>
              </w:rPr>
              <w:t>1年期</w:t>
            </w:r>
            <w:r>
              <w:rPr>
                <w:rFonts w:ascii="Times New Roman" w:eastAsia="Times New Roman" w:hAnsi="Times New Roman" w:cs="Times New Roman"/>
              </w:rPr>
              <w:t>LPR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spacing w:val="8"/>
              </w:rPr>
              <w:t>为3.45%,5年期以上</w:t>
            </w:r>
            <w:r>
              <w:rPr>
                <w:rFonts w:ascii="Times New Roman" w:eastAsia="Times New Roman" w:hAnsi="Times New Roman" w:cs="Times New Roman"/>
              </w:rPr>
              <w:t>LPR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spacing w:val="8"/>
              </w:rPr>
              <w:t>为3.95%。5年期</w:t>
            </w:r>
            <w:r>
              <w:rPr>
                <w:rFonts w:ascii="Times New Roman" w:eastAsia="Times New Roman" w:hAnsi="Times New Roman" w:cs="Times New Roman"/>
              </w:rPr>
              <w:t>LPR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 </w:t>
            </w:r>
            <w:r>
              <w:t>利率调降0.25个百分点，幅度超市场预期。此举将降低房</w:t>
            </w:r>
            <w:r>
              <w:rPr>
                <w:spacing w:val="7"/>
              </w:rPr>
              <w:t xml:space="preserve">  </w:t>
            </w:r>
            <w:r>
              <w:t>贷利率水平，体现出助力房地产市场企稳复苏的意图</w:t>
            </w:r>
            <w:r>
              <w:rPr>
                <w:spacing w:val="-1"/>
              </w:rPr>
              <w:t>。预</w:t>
            </w:r>
            <w:r>
              <w:t xml:space="preserve">  </w:t>
            </w:r>
            <w:r>
              <w:rPr>
                <w:spacing w:val="10"/>
              </w:rPr>
              <w:t>计3月央行</w:t>
            </w:r>
            <w:r>
              <w:rPr>
                <w:rFonts w:ascii="SimSun" w:eastAsia="SimSun" w:hAnsi="SimSun" w:cs="SimSun"/>
              </w:rPr>
              <w:t>OMO</w:t>
            </w:r>
            <w:r>
              <w:rPr>
                <w:rFonts w:ascii="SimSun" w:eastAsia="SimSun" w:hAnsi="SimSun" w:cs="SimSun"/>
                <w:spacing w:val="-20"/>
              </w:rPr>
              <w:t xml:space="preserve"> </w:t>
            </w:r>
            <w:r>
              <w:rPr>
                <w:spacing w:val="10"/>
              </w:rPr>
              <w:t>操作与</w:t>
            </w:r>
            <w:r>
              <w:rPr>
                <w:rFonts w:ascii="SimSun" w:eastAsia="SimSun" w:hAnsi="SimSun" w:cs="SimSun"/>
              </w:rPr>
              <w:t>MLF</w:t>
            </w:r>
            <w:r>
              <w:rPr>
                <w:rFonts w:ascii="SimSun" w:eastAsia="SimSun" w:hAnsi="SimSun" w:cs="SimSun"/>
                <w:spacing w:val="-48"/>
              </w:rPr>
              <w:t xml:space="preserve"> </w:t>
            </w:r>
            <w:r>
              <w:rPr>
                <w:spacing w:val="10"/>
              </w:rPr>
              <w:t>操作有望保持宽松，维护流动</w:t>
            </w:r>
            <w:r>
              <w:t xml:space="preserve"> </w:t>
            </w:r>
            <w:r>
              <w:rPr>
                <w:spacing w:val="-2"/>
              </w:rPr>
              <w:t>性合理充裕，后续有望进一步推动社会融资成本下降。</w:t>
            </w:r>
          </w:p>
          <w:p>
            <w:pPr>
              <w:pStyle w:val="TableText"/>
              <w:spacing w:before="68" w:line="268" w:lineRule="auto"/>
              <w:ind w:left="566" w:right="456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A</w:t>
            </w:r>
            <w:r>
              <w:rPr>
                <w:b/>
                <w:bCs/>
                <w:spacing w:val="3"/>
              </w:rPr>
              <w:t>股市场流动性环境有望改善：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截至2月26日，本月产业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资本净增持，且规模增加。北向资金重新净流入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>
              <w:rPr>
                <w:spacing w:val="-2"/>
              </w:rPr>
              <w:t>股市场，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限售解禁规模减少。往后看，</w:t>
            </w:r>
            <w:r>
              <w:rPr>
                <w:spacing w:val="-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A</w:t>
            </w:r>
            <w:r>
              <w:rPr>
                <w:spacing w:val="-9"/>
              </w:rPr>
              <w:t>股市场流动性环境有望继续</w:t>
            </w:r>
            <w:r>
              <w:t xml:space="preserve">  </w:t>
            </w:r>
            <w:r>
              <w:rPr>
                <w:spacing w:val="-9"/>
              </w:rPr>
              <w:t>改善。资本市场风险情绪受到提振，</w:t>
            </w:r>
            <w:r>
              <w:rPr>
                <w:spacing w:val="-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A</w:t>
            </w:r>
            <w:r>
              <w:rPr>
                <w:spacing w:val="-9"/>
              </w:rPr>
              <w:t>股配置性价比依然突</w:t>
            </w:r>
            <w:r>
              <w:t xml:space="preserve">  </w:t>
            </w:r>
            <w:r>
              <w:rPr>
                <w:spacing w:val="1"/>
              </w:rPr>
              <w:t>出，北向资金配置意愿有望提升。证监会继</w:t>
            </w:r>
            <w:r>
              <w:t>续发布多项利</w:t>
            </w:r>
            <w:r>
              <w:t xml:space="preserve"> </w:t>
            </w:r>
            <w:r>
              <w:rPr>
                <w:spacing w:val="-7"/>
              </w:rPr>
              <w:t>好政策，并召开多场座谈会、记者会回应市场关切，有助</w:t>
            </w:r>
            <w:r>
              <w:rPr>
                <w:spacing w:val="-8"/>
              </w:rPr>
              <w:t>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稳定市场预期、提振交易活跃度。</w:t>
            </w:r>
          </w:p>
        </w:tc>
        <w:tc>
          <w:tcPr>
            <w:tcW w:w="3894" w:type="dxa"/>
            <w:vAlign w:val="top"/>
          </w:tcPr>
          <w:p>
            <w:pPr>
              <w:pStyle w:val="TableText"/>
              <w:spacing w:before="1" w:line="228" w:lineRule="auto"/>
              <w:ind w:left="501"/>
            </w:pPr>
            <w:r>
              <w:rPr>
                <w:b/>
                <w:bCs/>
                <w:spacing w:val="-14"/>
                <w:sz w:val="24"/>
                <w:szCs w:val="24"/>
              </w:rPr>
              <w:t>分析师：</w:t>
            </w:r>
            <w:r>
              <w:rPr>
                <w:spacing w:val="1"/>
                <w:sz w:val="24"/>
                <w:szCs w:val="24"/>
              </w:rPr>
              <w:t xml:space="preserve">     </w:t>
            </w:r>
            <w:r>
              <w:rPr>
                <w:b/>
                <w:bCs/>
                <w:spacing w:val="-14"/>
              </w:rPr>
              <w:t>宫慧菁</w:t>
            </w:r>
          </w:p>
          <w:p>
            <w:pPr>
              <w:pStyle w:val="TableText"/>
              <w:spacing w:before="25" w:line="225" w:lineRule="auto"/>
              <w:ind w:left="498"/>
              <w:rPr>
                <w:rFonts w:ascii="SimSun" w:eastAsia="SimSun" w:hAnsi="SimSun" w:cs="SimSun"/>
              </w:rPr>
            </w:pPr>
            <w:r>
              <w:rPr>
                <w:spacing w:val="-23"/>
              </w:rPr>
              <w:t>执业证书编号：</w:t>
            </w:r>
            <w:r>
              <w:rPr>
                <w:spacing w:val="22"/>
              </w:rPr>
              <w:t xml:space="preserve">  </w:t>
            </w:r>
            <w:r>
              <w:rPr>
                <w:rFonts w:ascii="SimSun" w:eastAsia="SimSun" w:hAnsi="SimSun" w:cs="SimSun"/>
                <w:spacing w:val="-23"/>
              </w:rPr>
              <w:t>S0270524010001</w:t>
            </w:r>
          </w:p>
          <w:p>
            <w:pPr>
              <w:pStyle w:val="TableText"/>
              <w:spacing w:before="58" w:line="237" w:lineRule="auto"/>
              <w:ind w:left="498"/>
              <w:rPr>
                <w:rFonts w:ascii="SimSun" w:eastAsia="SimSun" w:hAnsi="SimSun" w:cs="SimSun"/>
              </w:rPr>
            </w:pPr>
            <w:r>
              <w:rPr>
                <w:spacing w:val="-22"/>
              </w:rPr>
              <w:t>电话：</w:t>
            </w:r>
            <w:r>
              <w:rPr>
                <w:spacing w:val="13"/>
              </w:rPr>
              <w:t xml:space="preserve">        </w:t>
            </w:r>
            <w:r>
              <w:rPr>
                <w:rFonts w:ascii="SimSun" w:eastAsia="SimSun" w:hAnsi="SimSun" w:cs="SimSun"/>
                <w:spacing w:val="-22"/>
              </w:rPr>
              <w:t>020-32255208</w:t>
            </w:r>
          </w:p>
          <w:p>
            <w:pPr>
              <w:pStyle w:val="TableText"/>
              <w:spacing w:before="33" w:line="213" w:lineRule="auto"/>
              <w:ind w:left="498"/>
              <w:rPr>
                <w:rFonts w:ascii="Times New Roman" w:eastAsia="Times New Roman" w:hAnsi="Times New Roman" w:cs="Times New Roman"/>
              </w:rPr>
            </w:pPr>
            <w:r>
              <w:rPr>
                <w:spacing w:val="-16"/>
              </w:rPr>
              <w:t>邮箱：</w:t>
            </w:r>
            <w:r>
              <w:rPr>
                <w:spacing w:val="-16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>gonghj@wlzq.com.cn</w:t>
            </w: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32" w:lineRule="auto"/>
              <w:ind w:left="501"/>
            </w:pPr>
            <w:r>
              <w:rPr>
                <w:b/>
                <w:bCs/>
                <w:spacing w:val="17"/>
              </w:rPr>
              <w:t>相关研究</w:t>
            </w:r>
          </w:p>
          <w:p>
            <w:pPr>
              <w:pStyle w:val="TableText"/>
              <w:spacing w:before="11" w:line="226" w:lineRule="auto"/>
              <w:ind w:left="498"/>
            </w:pPr>
            <w:r>
              <w:rPr>
                <w:spacing w:val="-18"/>
              </w:rPr>
              <w:t>北向资金回流</w:t>
            </w:r>
            <w:r>
              <w:rPr>
                <w:rFonts w:ascii="SimSun" w:eastAsia="SimSun" w:hAnsi="SimSun" w:cs="SimSun"/>
                <w:spacing w:val="-18"/>
              </w:rPr>
              <w:t>A</w:t>
            </w:r>
            <w:r>
              <w:rPr>
                <w:spacing w:val="-18"/>
              </w:rPr>
              <w:t>股</w:t>
            </w:r>
          </w:p>
          <w:p>
            <w:pPr>
              <w:pStyle w:val="TableText"/>
              <w:spacing w:before="35" w:line="251" w:lineRule="auto"/>
              <w:ind w:left="498"/>
            </w:pPr>
            <w:r>
              <w:rPr>
                <w:spacing w:val="-24"/>
                <w:w w:val="96"/>
              </w:rPr>
              <w:t>稳定板块</w:t>
            </w:r>
            <w:r>
              <w:rPr>
                <w:spacing w:val="-23"/>
                <w:w w:val="96"/>
              </w:rPr>
              <w:t>预喜率高，中下游行业利润改善</w:t>
            </w:r>
            <w:r>
              <w:rPr>
                <w:spacing w:val="-19"/>
                <w:w w:val="96"/>
              </w:rPr>
              <w:t>预</w:t>
            </w:r>
            <w:r>
              <w:t xml:space="preserve"> </w:t>
            </w:r>
            <w:r>
              <w:rPr>
                <w:spacing w:val="-16"/>
                <w:w w:val="98"/>
              </w:rPr>
              <w:t>期较强</w:t>
            </w:r>
          </w:p>
          <w:p>
            <w:pPr>
              <w:pStyle w:val="TableText"/>
              <w:spacing w:before="53" w:line="224" w:lineRule="auto"/>
              <w:ind w:left="498"/>
            </w:pPr>
            <w:r>
              <w:rPr>
                <w:spacing w:val="-22"/>
                <w:w w:val="97"/>
              </w:rPr>
              <w:t>证监会密集出台政策稳定市场信心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8"/>
          <w:pgSz w:w="11900" w:h="16840"/>
          <w:pgMar w:top="1" w:right="379" w:bottom="0" w:left="0" w:header="0" w:footer="0" w:gutter="0"/>
          <w:cols w:num="2" w:space="708" w:equalWidth="0">
            <w:col w:w="1001" w:space="100"/>
            <w:col w:w="10420" w:space="0"/>
          </w:cols>
        </w:sectPr>
      </w:pPr>
    </w:p>
    <w:p>
      <w:pPr>
        <w:pStyle w:val="BodyText"/>
        <w:spacing w:before="306" w:line="310" w:lineRule="exact"/>
        <w:ind w:left="1793"/>
      </w:pPr>
      <w:r>
        <w:rPr>
          <w:b/>
          <w:bCs/>
          <w:spacing w:val="-8"/>
          <w:position w:val="7"/>
        </w:rPr>
        <w:t>大势研判及行业配置建议：</w:t>
      </w:r>
      <w:r>
        <w:rPr>
          <w:spacing w:val="36"/>
          <w:position w:val="7"/>
        </w:rPr>
        <w:t xml:space="preserve"> </w:t>
      </w:r>
      <w:r>
        <w:rPr>
          <w:spacing w:val="-8"/>
          <w:position w:val="7"/>
        </w:rPr>
        <w:t>最新披露的</w:t>
      </w:r>
      <w:r>
        <w:rPr>
          <w:spacing w:val="-26"/>
          <w:position w:val="7"/>
        </w:rPr>
        <w:t xml:space="preserve"> </w:t>
      </w:r>
      <w:r>
        <w:rPr>
          <w:rFonts w:ascii="Times New Roman" w:eastAsia="Times New Roman" w:hAnsi="Times New Roman" w:cs="Times New Roman"/>
          <w:spacing w:val="-8"/>
          <w:position w:val="7"/>
        </w:rPr>
        <w:t>CPI</w:t>
      </w:r>
      <w:r>
        <w:rPr>
          <w:rFonts w:ascii="Times New Roman" w:eastAsia="Times New Roman" w:hAnsi="Times New Roman" w:cs="Times New Roman"/>
          <w:spacing w:val="43"/>
          <w:w w:val="101"/>
          <w:position w:val="7"/>
        </w:rPr>
        <w:t xml:space="preserve"> </w:t>
      </w:r>
      <w:r>
        <w:rPr>
          <w:spacing w:val="-8"/>
          <w:position w:val="7"/>
        </w:rPr>
        <w:t>数据显示，美</w:t>
      </w:r>
    </w:p>
    <w:p>
      <w:pPr>
        <w:pStyle w:val="BodyText"/>
        <w:spacing w:line="220" w:lineRule="auto"/>
        <w:ind w:left="1789"/>
      </w:pPr>
      <w:r>
        <w:rPr>
          <w:spacing w:val="-1"/>
        </w:rPr>
        <w:t>国通胀边际回升，同时劳动力市场表现依然有较强韧性，</w:t>
      </w:r>
    </w:p>
    <w:p>
      <w:pPr>
        <w:pStyle w:val="BodyText"/>
        <w:spacing w:before="59" w:line="220" w:lineRule="auto"/>
        <w:ind w:left="1789"/>
      </w:pPr>
      <w:r>
        <w:rPr>
          <w:spacing w:val="-5"/>
        </w:rPr>
        <w:t>美联储降息节奏后置，短期人民币兑美元或维持高位震荡。</w:t>
      </w:r>
    </w:p>
    <w:p>
      <w:pPr>
        <w:pStyle w:val="BodyText"/>
        <w:spacing w:before="59" w:line="220" w:lineRule="auto"/>
        <w:ind w:left="1789"/>
        <w:sectPr>
          <w:headerReference w:type="default" r:id="rId9"/>
          <w:type w:val="continuous"/>
          <w:pgSz w:w="11900" w:h="16840"/>
          <w:pgMar w:top="1" w:right="379" w:bottom="0" w:left="0" w:header="0" w:footer="0" w:gutter="0"/>
          <w:pgNumType w:start="2"/>
          <w:cols w:num="1" w:space="708" w:equalWidth="0">
            <w:col w:w="11521" w:space="0"/>
          </w:cols>
        </w:sectPr>
      </w:pPr>
      <w:r>
        <w:rPr>
          <w:spacing w:val="-8"/>
        </w:rPr>
        <w:t>央行降息落地、证监会频频发声进一步稳市场、稳信心，推</w:t>
      </w:r>
    </w:p>
    <w:p>
      <w:pPr>
        <w:pStyle w:val="BodyText"/>
        <w:spacing w:before="60" w:line="220" w:lineRule="auto"/>
        <w:ind w:left="1789"/>
      </w:pPr>
      <w:r>
        <w:rPr>
          <w:spacing w:val="-4"/>
        </w:rPr>
        <w:t>动</w:t>
      </w:r>
      <w:r>
        <w:rPr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A</w:t>
      </w:r>
      <w:r>
        <w:rPr>
          <w:rFonts w:ascii="Times New Roman" w:eastAsia="Times New Roman" w:hAnsi="Times New Roman" w:cs="Times New Roman"/>
          <w:spacing w:val="36"/>
          <w:w w:val="101"/>
        </w:rPr>
        <w:t xml:space="preserve"> </w:t>
      </w:r>
      <w:r>
        <w:rPr>
          <w:spacing w:val="-4"/>
        </w:rPr>
        <w:t>股市场情绪改善。全国“两会”召开在即，利好政策</w:t>
      </w:r>
    </w:p>
    <w:p>
      <w:pPr>
        <w:pStyle w:val="BodyText"/>
        <w:spacing w:before="59" w:line="220" w:lineRule="auto"/>
        <w:ind w:left="1789"/>
      </w:pPr>
      <w:r>
        <w:rPr>
          <w:spacing w:val="1"/>
        </w:rPr>
        <w:t>有望陆续出台，巩固经济企稳回升的势头。宏</w:t>
      </w:r>
      <w:r>
        <w:t>观经济复苏</w:t>
      </w:r>
    </w:p>
    <w:p>
      <w:pPr>
        <w:pStyle w:val="BodyText"/>
        <w:spacing w:before="60" w:line="220" w:lineRule="auto"/>
        <w:ind w:left="1789"/>
      </w:pPr>
      <w:r>
        <w:rPr>
          <w:spacing w:val="-2"/>
        </w:rPr>
        <w:t>有望带动企业盈利预期回暖。目前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spacing w:val="-2"/>
        </w:rPr>
        <w:t>股估值优势仍然突出，</w:t>
      </w:r>
    </w:p>
    <w:p>
      <w:pPr>
        <w:pStyle w:val="BodyText"/>
        <w:spacing w:before="60" w:line="220" w:lineRule="auto"/>
        <w:ind w:left="1789"/>
      </w:pPr>
      <w:r>
        <w:rPr>
          <w:spacing w:val="2"/>
        </w:rPr>
        <w:t>配置性价比较高。行业方面，建议关注：1</w:t>
      </w:r>
      <w:r>
        <w:rPr>
          <w:spacing w:val="1"/>
        </w:rPr>
        <w:t>)加快发展新质</w:t>
      </w:r>
    </w:p>
    <w:p>
      <w:pPr>
        <w:pStyle w:val="BodyText"/>
        <w:spacing w:before="60" w:line="220" w:lineRule="auto"/>
        <w:ind w:left="1789"/>
      </w:pPr>
      <w:r>
        <w:rPr>
          <w:spacing w:val="1"/>
        </w:rPr>
        <w:t>生产力要求下，科技创新主线配置热度升温；2)“全国两</w:t>
      </w:r>
    </w:p>
    <w:p>
      <w:pPr>
        <w:pStyle w:val="BodyText"/>
        <w:spacing w:before="59" w:line="220" w:lineRule="auto"/>
        <w:ind w:left="1789"/>
      </w:pPr>
      <w:r>
        <w:rPr>
          <w:spacing w:val="-8"/>
        </w:rPr>
        <w:t>会”即将召开，关注经济恢复向好主线，在顺周期板块中寻</w:t>
      </w:r>
    </w:p>
    <w:p>
      <w:pPr>
        <w:pStyle w:val="BodyText"/>
        <w:spacing w:before="67" w:line="227" w:lineRule="auto"/>
        <w:ind w:left="1789"/>
      </w:pPr>
      <w:r>
        <w:rPr>
          <w:spacing w:val="-3"/>
        </w:rPr>
        <w:t>找业绩支撑力度较大的细分领域。</w:t>
      </w:r>
    </w:p>
    <w:p>
      <w:pPr>
        <w:pStyle w:val="BodyText"/>
        <w:spacing w:before="248" w:line="311" w:lineRule="exact"/>
        <w:ind w:left="1420"/>
      </w:pPr>
      <w:r>
        <w:rPr>
          <w:spacing w:val="-3"/>
          <w:position w:val="7"/>
        </w:rPr>
        <w:t>●</w:t>
      </w:r>
      <w:r>
        <w:rPr>
          <w:spacing w:val="-3"/>
          <w:position w:val="7"/>
        </w:rPr>
        <w:t xml:space="preserve">  </w:t>
      </w:r>
      <w:r>
        <w:rPr>
          <w:b/>
          <w:bCs/>
          <w:spacing w:val="-3"/>
          <w:position w:val="7"/>
        </w:rPr>
        <w:t>风险因素：</w:t>
      </w:r>
      <w:r>
        <w:rPr>
          <w:spacing w:val="-3"/>
          <w:position w:val="7"/>
        </w:rPr>
        <w:t>海外经济陷入衰退；国内经济复苏力度</w:t>
      </w:r>
      <w:r>
        <w:rPr>
          <w:spacing w:val="-4"/>
          <w:position w:val="7"/>
        </w:rPr>
        <w:t>较弱；</w:t>
      </w:r>
    </w:p>
    <w:p>
      <w:pPr>
        <w:pStyle w:val="BodyText"/>
        <w:spacing w:line="192" w:lineRule="auto"/>
        <w:ind w:left="1789"/>
      </w:pPr>
      <w:r>
        <w:rPr>
          <w:spacing w:val="-4"/>
        </w:rPr>
        <w:t>政策成效未如预期。</w:t>
      </w:r>
    </w:p>
    <w:p>
      <w:pPr>
        <w:spacing w:line="192" w:lineRule="auto"/>
        <w:sectPr>
          <w:headerReference w:type="default" r:id="rId10"/>
          <w:type w:val="nextPage"/>
          <w:pgSz w:w="11900" w:h="16840"/>
          <w:pgMar w:top="1" w:right="379" w:bottom="0" w:left="0" w:header="0" w:footer="0" w:gutter="0"/>
          <w:pgNumType w:start="3"/>
          <w:cols w:num="1" w:space="708" w:equalWidth="0">
            <w:col w:w="11521" w:space="0"/>
          </w:cols>
          <w:titlePg w:val="0"/>
        </w:sectPr>
      </w:pPr>
    </w:p>
    <w:p>
      <w:pPr>
        <w:pStyle w:val="BodyText"/>
        <w:spacing w:before="168" w:line="222" w:lineRule="auto"/>
        <w:ind w:left="7953"/>
      </w:pP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444473</wp:posOffset>
            </wp:positionH>
            <wp:positionV relativeFrom="page">
              <wp:posOffset>177831</wp:posOffset>
            </wp:positionV>
            <wp:extent cx="1492257" cy="393624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92257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3"/>
        </w:rPr>
        <w:t>证券研究报告|策略报告</w:t>
      </w:r>
    </w:p>
    <w:p>
      <w:pPr>
        <w:spacing w:line="464" w:lineRule="auto"/>
        <w:rPr>
          <w:rFonts w:ascii="Arial"/>
          <w:sz w:val="21"/>
        </w:rPr>
      </w:pPr>
    </w:p>
    <w:p>
      <w:pPr>
        <w:pStyle w:val="BodyText"/>
        <w:spacing w:before="87" w:line="227" w:lineRule="auto"/>
        <w:ind w:left="5943"/>
        <w:rPr>
          <w:sz w:val="27"/>
          <w:szCs w:val="27"/>
        </w:rPr>
      </w:pPr>
      <w:r>
        <w:rPr>
          <w:b/>
          <w:bCs/>
          <w:spacing w:val="4"/>
          <w:sz w:val="27"/>
          <w:szCs w:val="27"/>
        </w:rPr>
        <w:t>正文目录</w:t>
      </w:r>
    </w:p>
    <w:p>
      <w:pPr>
        <w:spacing w:line="256" w:lineRule="auto"/>
        <w:rPr>
          <w:rFonts w:ascii="Arial"/>
          <w:sz w:val="21"/>
        </w:rPr>
      </w:pPr>
    </w:p>
    <w:sdt>
      <w:sdtPr>
        <w:rPr>
          <w:rFonts w:ascii="Times New Roman" w:eastAsia="Times New Roman" w:hAnsi="Times New Roman" w:cs="Times New Roman"/>
          <w:sz w:val="21"/>
          <w:szCs w:val="21"/>
        </w:rPr>
        <w:id w:val="6730074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1"/>
          <w:szCs w:val="21"/>
        </w:rPr>
      </w:sdtEndPr>
      <w:sdtContent>
        <w:p>
          <w:pPr>
            <w:pStyle w:val="BodyText"/>
            <w:tabs>
              <w:tab w:val="right" w:leader="dot" w:pos="10240"/>
            </w:tabs>
            <w:spacing w:before="69" w:line="227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3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spacing w:val="33"/>
              <w:w w:val="101"/>
            </w:rPr>
            <w:t xml:space="preserve"> </w:t>
          </w:r>
          <w:r>
            <w:rPr>
              <w:b/>
              <w:bCs/>
              <w:spacing w:val="-3"/>
            </w:rPr>
            <w:t>市场行情回顾</w:t>
          </w:r>
          <w:r>
            <w:rPr>
              <w:spacing w:val="-80"/>
            </w:rPr>
            <w:t xml:space="preserve"> </w:t>
          </w:r>
          <w:r>
            <w:tab/>
          </w:r>
          <w:hyperlink w:anchor="bookmark1" w:history="1">
            <w:r>
              <w:rPr>
                <w:rFonts w:ascii="Times New Roman" w:eastAsia="Times New Roman" w:hAnsi="Times New Roman" w:cs="Times New Roman"/>
                <w:b/>
                <w:bCs/>
                <w:spacing w:val="9"/>
              </w:rPr>
              <w:t>3</w:t>
            </w:r>
          </w:hyperlink>
        </w:p>
        <w:p>
          <w:pPr>
            <w:pStyle w:val="BodyText"/>
            <w:tabs>
              <w:tab w:val="right" w:leader="dot" w:pos="10155"/>
            </w:tabs>
            <w:spacing w:before="74" w:line="227" w:lineRule="auto"/>
            <w:ind w:left="307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2"/>
            </w:rPr>
            <w:t>1.1</w:t>
          </w:r>
          <w:r>
            <w:rPr>
              <w:rFonts w:ascii="Times New Roman" w:eastAsia="Times New Roman" w:hAnsi="Times New Roman" w:cs="Times New Roman"/>
              <w:spacing w:val="31"/>
            </w:rPr>
            <w:t xml:space="preserve">  </w:t>
          </w:r>
          <w:r>
            <w:rPr>
              <w:spacing w:val="-2"/>
            </w:rPr>
            <w:t>国际市场：欧美股市调整后再度上扬</w:t>
          </w:r>
          <w:r>
            <w:rPr>
              <w:spacing w:val="-88"/>
            </w:rPr>
            <w:t xml:space="preserve"> </w:t>
          </w:r>
          <w:r>
            <w:tab/>
          </w:r>
          <w:r>
            <w:rPr>
              <w:spacing w:val="-11"/>
            </w:rPr>
            <w:t xml:space="preserve"> </w:t>
          </w:r>
          <w:hyperlink w:anchor="bookmark2" w:history="1">
            <w:r>
              <w:rPr>
                <w:rFonts w:ascii="Times New Roman" w:eastAsia="Times New Roman" w:hAnsi="Times New Roman" w:cs="Times New Roman"/>
              </w:rPr>
              <w:t>3</w:t>
            </w:r>
          </w:hyperlink>
        </w:p>
        <w:p>
          <w:pPr>
            <w:pStyle w:val="BodyText"/>
            <w:tabs>
              <w:tab w:val="right" w:leader="dot" w:pos="10235"/>
            </w:tabs>
            <w:spacing w:before="54" w:line="220" w:lineRule="auto"/>
            <w:ind w:left="307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4"/>
            </w:rPr>
            <w:t>1.2</w:t>
          </w:r>
          <w:r>
            <w:rPr>
              <w:rFonts w:ascii="Times New Roman" w:eastAsia="Times New Roman" w:hAnsi="Times New Roman" w:cs="Times New Roman"/>
              <w:spacing w:val="-20"/>
            </w:rPr>
            <w:t xml:space="preserve"> </w:t>
          </w:r>
          <w:r>
            <w:rPr>
              <w:spacing w:val="4"/>
            </w:rPr>
            <w:t>A股市场：政策持续发力，</w:t>
          </w:r>
          <w:r>
            <w:rPr>
              <w:rFonts w:ascii="Times New Roman" w:eastAsia="Times New Roman" w:hAnsi="Times New Roman" w:cs="Times New Roman"/>
              <w:spacing w:val="4"/>
            </w:rPr>
            <w:t>A</w:t>
          </w:r>
          <w:r>
            <w:rPr>
              <w:rFonts w:ascii="Times New Roman" w:eastAsia="Times New Roman" w:hAnsi="Times New Roman" w:cs="Times New Roman"/>
              <w:spacing w:val="18"/>
            </w:rPr>
            <w:t xml:space="preserve"> </w:t>
          </w:r>
          <w:r>
            <w:rPr>
              <w:spacing w:val="4"/>
            </w:rPr>
            <w:t>股实现低位回升</w:t>
          </w:r>
          <w:r>
            <w:rPr>
              <w:spacing w:val="-91"/>
            </w:rPr>
            <w:t xml:space="preserve"> </w:t>
          </w:r>
          <w:r>
            <w:tab/>
          </w:r>
          <w:r>
            <w:rPr>
              <w:spacing w:val="-42"/>
            </w:rPr>
            <w:t xml:space="preserve"> </w:t>
          </w:r>
          <w:hyperlink w:anchor="bookmark3" w:history="1">
            <w:r>
              <w:rPr>
                <w:rFonts w:ascii="Times New Roman" w:eastAsia="Times New Roman" w:hAnsi="Times New Roman" w:cs="Times New Roman"/>
              </w:rPr>
              <w:t>3</w:t>
            </w:r>
          </w:hyperlink>
        </w:p>
        <w:p>
          <w:pPr>
            <w:pStyle w:val="BodyText"/>
            <w:tabs>
              <w:tab w:val="right" w:leader="dot" w:pos="10296"/>
            </w:tabs>
            <w:spacing w:before="64" w:line="227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2"/>
            </w:rPr>
            <w:t xml:space="preserve">2  </w:t>
          </w:r>
          <w:r>
            <w:rPr>
              <w:b/>
              <w:bCs/>
              <w:spacing w:val="2"/>
            </w:rPr>
            <w:t>市场流动性及风险情绪</w:t>
          </w:r>
          <w:r>
            <w:rPr>
              <w:b/>
              <w:bCs/>
            </w:rPr>
            <w:tab/>
          </w:r>
          <w:hyperlink w:anchor="bookmark4" w:history="1"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5</w:t>
            </w:r>
          </w:hyperlink>
        </w:p>
        <w:p>
          <w:pPr>
            <w:pStyle w:val="BodyText"/>
            <w:tabs>
              <w:tab w:val="right" w:leader="dot" w:pos="10234"/>
            </w:tabs>
            <w:spacing w:before="29" w:line="229" w:lineRule="auto"/>
            <w:ind w:left="307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2"/>
            </w:rPr>
            <w:t xml:space="preserve">2.1  </w:t>
          </w:r>
          <w:r>
            <w:rPr>
              <w:spacing w:val="2"/>
            </w:rPr>
            <w:t>宏观流动性指标</w:t>
          </w:r>
          <w:r>
            <w:rPr>
              <w:spacing w:val="-78"/>
            </w:rPr>
            <w:t xml:space="preserve"> </w:t>
          </w:r>
          <w:r>
            <w:tab/>
          </w:r>
          <w:hyperlink w:anchor="bookmark5" w:history="1">
            <w:r>
              <w:rPr>
                <w:rFonts w:ascii="Times New Roman" w:eastAsia="Times New Roman" w:hAnsi="Times New Roman" w:cs="Times New Roman"/>
              </w:rPr>
              <w:t>5</w:t>
            </w:r>
          </w:hyperlink>
        </w:p>
        <w:p>
          <w:pPr>
            <w:pStyle w:val="BodyText"/>
            <w:tabs>
              <w:tab w:val="right" w:leader="dot" w:pos="10295"/>
            </w:tabs>
            <w:spacing w:before="65" w:line="227" w:lineRule="auto"/>
            <w:ind w:left="307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7"/>
            </w:rPr>
            <w:t>2.2</w:t>
          </w:r>
          <w:r>
            <w:rPr>
              <w:rFonts w:ascii="Times New Roman" w:eastAsia="Times New Roman" w:hAnsi="Times New Roman" w:cs="Times New Roman"/>
              <w:spacing w:val="45"/>
              <w:w w:val="101"/>
            </w:rPr>
            <w:t xml:space="preserve"> </w:t>
          </w:r>
          <w:r>
            <w:rPr>
              <w:spacing w:val="7"/>
            </w:rPr>
            <w:t>A股市场流动性指标</w:t>
          </w:r>
          <w:r>
            <w:rPr>
              <w:spacing w:val="-86"/>
            </w:rPr>
            <w:t xml:space="preserve"> </w:t>
          </w:r>
          <w:r>
            <w:tab/>
          </w:r>
          <w:r>
            <w:rPr>
              <w:spacing w:val="-31"/>
            </w:rPr>
            <w:t xml:space="preserve"> </w:t>
          </w:r>
          <w:hyperlink w:anchor="bookmark6" w:history="1">
            <w:r>
              <w:rPr>
                <w:rFonts w:ascii="Times New Roman" w:eastAsia="Times New Roman" w:hAnsi="Times New Roman" w:cs="Times New Roman"/>
              </w:rPr>
              <w:t>6</w:t>
            </w:r>
          </w:hyperlink>
        </w:p>
        <w:p>
          <w:pPr>
            <w:pStyle w:val="BodyText"/>
            <w:tabs>
              <w:tab w:val="right" w:leader="dot" w:pos="10235"/>
            </w:tabs>
            <w:spacing w:before="62" w:line="227" w:lineRule="auto"/>
            <w:ind w:left="307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>2.3</w:t>
          </w:r>
          <w:r>
            <w:rPr>
              <w:rFonts w:ascii="Times New Roman" w:eastAsia="Times New Roman" w:hAnsi="Times New Roman" w:cs="Times New Roman"/>
              <w:spacing w:val="21"/>
            </w:rPr>
            <w:t xml:space="preserve">  </w:t>
          </w:r>
          <w:r>
            <w:t>市场情绪指标</w:t>
          </w:r>
          <w:r>
            <w:rPr>
              <w:spacing w:val="-86"/>
            </w:rPr>
            <w:t xml:space="preserve"> </w:t>
          </w:r>
          <w:r>
            <w:tab/>
          </w:r>
          <w:hyperlink w:anchor="bookmark7" w:history="1">
            <w:r>
              <w:rPr>
                <w:rFonts w:ascii="Times New Roman" w:eastAsia="Times New Roman" w:hAnsi="Times New Roman" w:cs="Times New Roman"/>
              </w:rPr>
              <w:t>9</w:t>
            </w:r>
          </w:hyperlink>
        </w:p>
        <w:p>
          <w:pPr>
            <w:pStyle w:val="BodyText"/>
            <w:tabs>
              <w:tab w:val="right" w:leader="dot" w:pos="10315"/>
            </w:tabs>
            <w:spacing w:before="56" w:line="224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2"/>
            </w:rPr>
            <w:t>3</w:t>
          </w:r>
          <w:r>
            <w:rPr>
              <w:rFonts w:ascii="Times New Roman" w:eastAsia="Times New Roman" w:hAnsi="Times New Roman" w:cs="Times New Roman"/>
              <w:b/>
              <w:bCs/>
              <w:spacing w:val="9"/>
            </w:rPr>
            <w:t xml:space="preserve">  </w:t>
          </w:r>
          <w:r>
            <w:rPr>
              <w:b/>
              <w:bCs/>
              <w:spacing w:val="2"/>
            </w:rPr>
            <w:t>估值水平</w:t>
          </w:r>
          <w:r>
            <w:rPr>
              <w:spacing w:val="-83"/>
            </w:rPr>
            <w:t xml:space="preserve"> </w:t>
          </w:r>
          <w:r>
            <w:tab/>
          </w:r>
          <w:r>
            <w:rPr>
              <w:spacing w:val="-27"/>
            </w:rPr>
            <w:t xml:space="preserve"> </w:t>
          </w:r>
          <w:hyperlink w:anchor="bookmark8" w:history="1"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11</w:t>
            </w:r>
          </w:hyperlink>
        </w:p>
        <w:p>
          <w:pPr>
            <w:pStyle w:val="BodyText"/>
            <w:tabs>
              <w:tab w:val="right" w:leader="dot" w:pos="10315"/>
            </w:tabs>
            <w:spacing w:before="63" w:line="228" w:lineRule="auto"/>
            <w:ind w:left="307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>3.1</w:t>
          </w:r>
          <w:r>
            <w:rPr>
              <w:rFonts w:ascii="Times New Roman" w:eastAsia="Times New Roman" w:hAnsi="Times New Roman" w:cs="Times New Roman"/>
              <w:spacing w:val="22"/>
            </w:rPr>
            <w:t xml:space="preserve">  </w:t>
          </w:r>
          <w:r>
            <w:t>主要宽幅指数估值</w:t>
          </w:r>
          <w:r>
            <w:rPr>
              <w:spacing w:val="-78"/>
            </w:rPr>
            <w:t xml:space="preserve"> </w:t>
          </w:r>
          <w:r>
            <w:tab/>
          </w:r>
          <w:hyperlink w:anchor="bookmark9" w:history="1">
            <w:r>
              <w:rPr>
                <w:rFonts w:ascii="Times New Roman" w:eastAsia="Times New Roman" w:hAnsi="Times New Roman" w:cs="Times New Roman"/>
                <w:spacing w:val="-5"/>
              </w:rPr>
              <w:t>11</w:t>
            </w:r>
          </w:hyperlink>
        </w:p>
        <w:p>
          <w:pPr>
            <w:pStyle w:val="BodyText"/>
            <w:tabs>
              <w:tab w:val="right" w:leader="dot" w:pos="10315"/>
            </w:tabs>
            <w:spacing w:before="50" w:line="227" w:lineRule="auto"/>
            <w:ind w:left="307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4"/>
            </w:rPr>
            <w:t xml:space="preserve">3.2   </w:t>
          </w:r>
          <w:r>
            <w:rPr>
              <w:spacing w:val="-4"/>
            </w:rPr>
            <w:t>申万一级行业估值</w:t>
          </w:r>
          <w:r>
            <w:rPr>
              <w:spacing w:val="-51"/>
            </w:rPr>
            <w:t xml:space="preserve"> </w:t>
          </w:r>
          <w:r>
            <w:tab/>
          </w:r>
          <w:hyperlink w:anchor="bookmark10" w:history="1">
            <w:r>
              <w:rPr>
                <w:rFonts w:ascii="Times New Roman" w:eastAsia="Times New Roman" w:hAnsi="Times New Roman" w:cs="Times New Roman"/>
                <w:spacing w:val="-5"/>
              </w:rPr>
              <w:t>11</w:t>
            </w:r>
          </w:hyperlink>
        </w:p>
        <w:p>
          <w:pPr>
            <w:pStyle w:val="BodyText"/>
            <w:tabs>
              <w:tab w:val="right" w:leader="dot" w:pos="10285"/>
            </w:tabs>
            <w:spacing w:before="44" w:line="224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5"/>
            </w:rPr>
            <w:t>4</w:t>
          </w:r>
          <w:r>
            <w:rPr>
              <w:rFonts w:ascii="Times New Roman" w:eastAsia="Times New Roman" w:hAnsi="Times New Roman" w:cs="Times New Roman"/>
              <w:b/>
              <w:bCs/>
              <w:spacing w:val="5"/>
            </w:rPr>
            <w:t xml:space="preserve">  </w:t>
          </w:r>
          <w:r>
            <w:rPr>
              <w:b/>
              <w:bCs/>
              <w:spacing w:val="-5"/>
            </w:rPr>
            <w:t>政策分析</w:t>
          </w:r>
          <w:r>
            <w:rPr>
              <w:spacing w:val="-60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11" w:history="1"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12</w:t>
            </w:r>
          </w:hyperlink>
        </w:p>
        <w:p>
          <w:pPr>
            <w:pStyle w:val="BodyText"/>
            <w:tabs>
              <w:tab w:val="right" w:leader="dot" w:pos="10285"/>
            </w:tabs>
            <w:spacing w:before="60" w:line="227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</w:rPr>
            <w:t xml:space="preserve">5  </w:t>
          </w:r>
          <w:r>
            <w:rPr>
              <w:b/>
              <w:bCs/>
            </w:rPr>
            <w:t>大势研判与行业配置建议</w:t>
          </w:r>
          <w:r>
            <w:rPr>
              <w:spacing w:val="-71"/>
            </w:rPr>
            <w:t xml:space="preserve"> </w:t>
          </w:r>
          <w:r>
            <w:tab/>
          </w:r>
          <w:r>
            <w:rPr>
              <w:spacing w:val="-41"/>
            </w:rPr>
            <w:t xml:space="preserve"> </w:t>
          </w:r>
          <w:hyperlink w:anchor="bookmark12" w:history="1">
            <w:r>
              <w:rPr>
                <w:rFonts w:ascii="Times New Roman" w:eastAsia="Times New Roman" w:hAnsi="Times New Roman" w:cs="Times New Roman"/>
                <w:spacing w:val="-7"/>
              </w:rPr>
              <w:t>14</w:t>
            </w:r>
          </w:hyperlink>
        </w:p>
        <w:p>
          <w:pPr>
            <w:pStyle w:val="BodyText"/>
            <w:tabs>
              <w:tab w:val="right" w:leader="dot" w:pos="10285"/>
            </w:tabs>
            <w:spacing w:before="45" w:line="230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1"/>
            </w:rPr>
            <w:t>6</w:t>
          </w:r>
          <w:r>
            <w:rPr>
              <w:rFonts w:ascii="Times New Roman" w:eastAsia="Times New Roman" w:hAnsi="Times New Roman" w:cs="Times New Roman"/>
              <w:b/>
              <w:bCs/>
              <w:spacing w:val="11"/>
            </w:rPr>
            <w:t xml:space="preserve">  </w:t>
          </w:r>
          <w:r>
            <w:rPr>
              <w:b/>
              <w:bCs/>
              <w:spacing w:val="-1"/>
            </w:rPr>
            <w:t>风险提示</w:t>
          </w:r>
          <w:r>
            <w:rPr>
              <w:spacing w:val="-82"/>
            </w:rPr>
            <w:t xml:space="preserve"> </w:t>
          </w:r>
          <w:r>
            <w:tab/>
          </w:r>
          <w:r>
            <w:rPr>
              <w:spacing w:val="-47"/>
            </w:rPr>
            <w:t xml:space="preserve"> </w:t>
          </w:r>
          <w:hyperlink w:anchor="bookmark13" w:history="1"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14</w:t>
            </w:r>
          </w:hyperlink>
        </w:p>
        <w:p>
          <w:pPr>
            <w:spacing w:line="307" w:lineRule="auto"/>
            <w:rPr>
              <w:rFonts w:ascii="Arial"/>
              <w:sz w:val="21"/>
            </w:rPr>
          </w:pPr>
        </w:p>
        <w:p>
          <w:pPr>
            <w:spacing w:line="307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10275"/>
            </w:tabs>
            <w:spacing w:before="69" w:line="226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spacing w:val="20"/>
            </w:rPr>
            <w:t>图表1:</w:t>
          </w:r>
          <w:r>
            <w:rPr>
              <w:spacing w:val="69"/>
            </w:rPr>
            <w:t xml:space="preserve"> </w:t>
          </w:r>
          <w:r>
            <w:rPr>
              <w:spacing w:val="20"/>
            </w:rPr>
            <w:t>主要国际指数月度涨跌幅(%)</w:t>
          </w:r>
          <w:r>
            <w:tab/>
          </w:r>
          <w:hyperlink w:anchor="bookmark14" w:history="1">
            <w:r>
              <w:rPr>
                <w:rFonts w:ascii="Times New Roman" w:eastAsia="Times New Roman" w:hAnsi="Times New Roman" w:cs="Times New Roman"/>
              </w:rPr>
              <w:t>3</w:t>
            </w:r>
          </w:hyperlink>
        </w:p>
        <w:p>
          <w:pPr>
            <w:pStyle w:val="BodyText"/>
            <w:tabs>
              <w:tab w:val="right" w:leader="dot" w:pos="10200"/>
            </w:tabs>
            <w:spacing w:before="63" w:line="226" w:lineRule="auto"/>
            <w:ind w:left="2670"/>
            <w:rPr>
              <w:rFonts w:ascii="Times New Roman" w:eastAsia="Times New Roman" w:hAnsi="Times New Roman" w:cs="Times New Roman"/>
            </w:rPr>
          </w:pPr>
          <w:r>
            <w:rPr>
              <w:spacing w:val="24"/>
            </w:rPr>
            <w:t>图表2:</w:t>
          </w:r>
          <w:r>
            <w:rPr>
              <w:spacing w:val="88"/>
            </w:rPr>
            <w:t xml:space="preserve"> </w:t>
          </w:r>
          <w:r>
            <w:rPr>
              <w:spacing w:val="24"/>
            </w:rPr>
            <w:t>主要</w:t>
          </w:r>
          <w:r>
            <w:rPr>
              <w:rFonts w:ascii="Times New Roman" w:eastAsia="Times New Roman" w:hAnsi="Times New Roman" w:cs="Times New Roman"/>
              <w:spacing w:val="24"/>
            </w:rPr>
            <w:t xml:space="preserve">A </w:t>
          </w:r>
          <w:r>
            <w:rPr>
              <w:spacing w:val="24"/>
            </w:rPr>
            <w:t>股指数月度涨跌幅(%)</w:t>
          </w:r>
          <w:r>
            <w:tab/>
          </w:r>
          <w:hyperlink w:anchor="bookmark15" w:history="1">
            <w:r>
              <w:rPr>
                <w:rFonts w:ascii="Times New Roman" w:eastAsia="Times New Roman" w:hAnsi="Times New Roman" w:cs="Times New Roman"/>
                <w:spacing w:val="20"/>
              </w:rPr>
              <w:t>4</w:t>
            </w:r>
          </w:hyperlink>
        </w:p>
        <w:p>
          <w:pPr>
            <w:pStyle w:val="BodyText"/>
            <w:tabs>
              <w:tab w:val="right" w:leader="dot" w:pos="10240"/>
            </w:tabs>
            <w:spacing w:before="52" w:line="226" w:lineRule="auto"/>
            <w:ind w:left="2660"/>
            <w:rPr>
              <w:rFonts w:ascii="Times New Roman" w:eastAsia="Times New Roman" w:hAnsi="Times New Roman" w:cs="Times New Roman"/>
            </w:rPr>
          </w:pPr>
          <w:r>
            <w:rPr>
              <w:spacing w:val="18"/>
            </w:rPr>
            <w:t>图表3:</w:t>
          </w:r>
          <w:r>
            <w:rPr>
              <w:spacing w:val="95"/>
            </w:rPr>
            <w:t xml:space="preserve"> </w:t>
          </w:r>
          <w:r>
            <w:rPr>
              <w:spacing w:val="18"/>
            </w:rPr>
            <w:t>申万一级行业月度涨跌幅(%)</w:t>
          </w:r>
          <w:r>
            <w:tab/>
          </w:r>
          <w:hyperlink w:anchor="bookmark16" w:history="1">
            <w:r>
              <w:rPr>
                <w:rFonts w:ascii="Times New Roman" w:eastAsia="Times New Roman" w:hAnsi="Times New Roman" w:cs="Times New Roman"/>
                <w:spacing w:val="3"/>
              </w:rPr>
              <w:t>4</w:t>
            </w:r>
          </w:hyperlink>
        </w:p>
        <w:p>
          <w:pPr>
            <w:pStyle w:val="BodyText"/>
            <w:tabs>
              <w:tab w:val="right" w:leader="dot" w:pos="10300"/>
            </w:tabs>
            <w:spacing w:before="53" w:line="225" w:lineRule="auto"/>
            <w:ind w:left="2660"/>
            <w:rPr>
              <w:rFonts w:ascii="Times New Roman" w:eastAsia="Times New Roman" w:hAnsi="Times New Roman" w:cs="Times New Roman"/>
            </w:rPr>
          </w:pPr>
          <w:r>
            <w:rPr>
              <w:spacing w:val="16"/>
            </w:rPr>
            <w:t>图表4:</w:t>
          </w:r>
          <w:r>
            <w:rPr>
              <w:spacing w:val="83"/>
            </w:rPr>
            <w:t xml:space="preserve"> </w:t>
          </w:r>
          <w:r>
            <w:rPr>
              <w:spacing w:val="16"/>
            </w:rPr>
            <w:t>中信和申万风格指数月度涨跌幅(%)</w:t>
          </w:r>
          <w:r>
            <w:tab/>
          </w:r>
          <w:r>
            <w:rPr>
              <w:spacing w:val="-71"/>
            </w:rPr>
            <w:t xml:space="preserve"> </w:t>
          </w:r>
          <w:hyperlink w:anchor="bookmark17" w:history="1">
            <w:r>
              <w:rPr>
                <w:rFonts w:ascii="Times New Roman" w:eastAsia="Times New Roman" w:hAnsi="Times New Roman" w:cs="Times New Roman"/>
              </w:rPr>
              <w:t>4</w:t>
            </w:r>
          </w:hyperlink>
        </w:p>
        <w:p>
          <w:pPr>
            <w:pStyle w:val="BodyText"/>
            <w:tabs>
              <w:tab w:val="right" w:leader="dot" w:pos="10265"/>
            </w:tabs>
            <w:spacing w:before="54" w:line="225" w:lineRule="auto"/>
            <w:ind w:left="2660"/>
            <w:rPr>
              <w:rFonts w:ascii="Times New Roman" w:eastAsia="Times New Roman" w:hAnsi="Times New Roman" w:cs="Times New Roman"/>
            </w:rPr>
          </w:pPr>
          <w:r>
            <w:rPr>
              <w:spacing w:val="14"/>
            </w:rPr>
            <w:t>图表5:</w:t>
          </w:r>
          <w:r>
            <w:rPr>
              <w:spacing w:val="6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14"/>
            </w:rPr>
            <w:t>R</w:t>
          </w:r>
          <w:r>
            <w:rPr>
              <w:spacing w:val="14"/>
            </w:rPr>
            <w:t>007加权利率、</w:t>
          </w:r>
          <w:r>
            <w:rPr>
              <w:rFonts w:ascii="Times New Roman" w:eastAsia="Times New Roman" w:hAnsi="Times New Roman" w:cs="Times New Roman"/>
            </w:rPr>
            <w:t>DR</w:t>
          </w:r>
          <w:r>
            <w:rPr>
              <w:spacing w:val="14"/>
            </w:rPr>
            <w:t>007利率、</w:t>
          </w:r>
          <w:r>
            <w:rPr>
              <w:rFonts w:ascii="Times New Roman" w:eastAsia="Times New Roman" w:hAnsi="Times New Roman" w:cs="Times New Roman"/>
            </w:rPr>
            <w:t>SHIBOR</w:t>
          </w:r>
          <w:r>
            <w:rPr>
              <w:rFonts w:ascii="Times New Roman" w:eastAsia="Times New Roman" w:hAnsi="Times New Roman" w:cs="Times New Roman"/>
              <w:spacing w:val="49"/>
              <w:w w:val="101"/>
            </w:rPr>
            <w:t xml:space="preserve"> </w:t>
          </w:r>
          <w:r>
            <w:rPr>
              <w:spacing w:val="14"/>
            </w:rPr>
            <w:t>一</w:t>
          </w:r>
          <w:r>
            <w:rPr>
              <w:spacing w:val="-54"/>
            </w:rPr>
            <w:t xml:space="preserve"> </w:t>
          </w:r>
          <w:r>
            <w:rPr>
              <w:spacing w:val="14"/>
            </w:rPr>
            <w:t>周利率(%)</w:t>
          </w:r>
          <w:r>
            <w:tab/>
          </w:r>
          <w:hyperlink w:anchor="bookmark18" w:history="1">
            <w:r>
              <w:rPr>
                <w:rFonts w:ascii="Times New Roman" w:eastAsia="Times New Roman" w:hAnsi="Times New Roman" w:cs="Times New Roman"/>
              </w:rPr>
              <w:t>5</w:t>
            </w:r>
          </w:hyperlink>
        </w:p>
        <w:p>
          <w:pPr>
            <w:pStyle w:val="BodyText"/>
            <w:tabs>
              <w:tab w:val="right" w:leader="dot" w:pos="10295"/>
            </w:tabs>
            <w:spacing w:before="63" w:line="224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spacing w:val="-9"/>
            </w:rPr>
            <w:t>图</w:t>
          </w:r>
          <w:r>
            <w:rPr>
              <w:spacing w:val="-28"/>
            </w:rPr>
            <w:t xml:space="preserve"> </w:t>
          </w:r>
          <w:r>
            <w:rPr>
              <w:spacing w:val="-9"/>
            </w:rPr>
            <w:t>表</w:t>
          </w:r>
          <w:r>
            <w:rPr>
              <w:spacing w:val="-35"/>
            </w:rPr>
            <w:t xml:space="preserve"> </w:t>
          </w:r>
          <w:r>
            <w:rPr>
              <w:spacing w:val="-9"/>
            </w:rPr>
            <w:t>6</w:t>
          </w:r>
          <w:r>
            <w:rPr>
              <w:spacing w:val="-9"/>
            </w:rPr>
            <w:t xml:space="preserve"> </w:t>
          </w:r>
          <w:r>
            <w:rPr>
              <w:spacing w:val="-9"/>
            </w:rPr>
            <w:t>:</w:t>
          </w:r>
          <w:r>
            <w:rPr>
              <w:spacing w:val="-39"/>
            </w:rPr>
            <w:t xml:space="preserve"> </w:t>
          </w:r>
          <w:r>
            <w:rPr>
              <w:spacing w:val="-9"/>
            </w:rPr>
            <w:t>5</w:t>
          </w:r>
          <w:r>
            <w:rPr>
              <w:spacing w:val="-33"/>
            </w:rPr>
            <w:t xml:space="preserve"> </w:t>
          </w:r>
          <w:r>
            <w:rPr>
              <w:spacing w:val="-9"/>
            </w:rPr>
            <w:t>年</w:t>
          </w:r>
          <w:r>
            <w:rPr>
              <w:spacing w:val="-34"/>
            </w:rPr>
            <w:t xml:space="preserve"> </w:t>
          </w:r>
          <w:r>
            <w:rPr>
              <w:spacing w:val="-9"/>
            </w:rPr>
            <w:t>期</w:t>
          </w:r>
          <w:r>
            <w:rPr>
              <w:rFonts w:ascii="Times New Roman" w:eastAsia="Times New Roman" w:hAnsi="Times New Roman" w:cs="Times New Roman"/>
              <w:spacing w:val="-9"/>
            </w:rPr>
            <w:t xml:space="preserve">LPR </w:t>
          </w:r>
          <w:r>
            <w:rPr>
              <w:spacing w:val="-9"/>
            </w:rPr>
            <w:t>和</w:t>
          </w:r>
          <w:r>
            <w:rPr>
              <w:spacing w:val="-36"/>
            </w:rPr>
            <w:t xml:space="preserve"> </w:t>
          </w:r>
          <w:r>
            <w:rPr>
              <w:spacing w:val="-9"/>
            </w:rPr>
            <w:t>1</w:t>
          </w:r>
          <w:r>
            <w:rPr>
              <w:spacing w:val="-46"/>
            </w:rPr>
            <w:t xml:space="preserve"> </w:t>
          </w:r>
          <w:r>
            <w:rPr>
              <w:spacing w:val="-9"/>
            </w:rPr>
            <w:t>年</w:t>
          </w:r>
          <w:r>
            <w:rPr>
              <w:spacing w:val="-47"/>
            </w:rPr>
            <w:t xml:space="preserve"> </w:t>
          </w:r>
          <w:r>
            <w:rPr>
              <w:spacing w:val="-9"/>
            </w:rPr>
            <w:t>期</w:t>
          </w:r>
          <w:r>
            <w:rPr>
              <w:rFonts w:ascii="Times New Roman" w:eastAsia="Times New Roman" w:hAnsi="Times New Roman" w:cs="Times New Roman"/>
              <w:spacing w:val="-9"/>
            </w:rPr>
            <w:t>LPR</w:t>
          </w:r>
          <w:r>
            <w:rPr>
              <w:rFonts w:ascii="Times New Roman" w:eastAsia="Times New Roman" w:hAnsi="Times New Roman" w:cs="Times New Roman"/>
              <w:spacing w:val="14"/>
              <w:w w:val="101"/>
            </w:rPr>
            <w:t xml:space="preserve"> </w:t>
          </w:r>
          <w:r>
            <w:rPr>
              <w:spacing w:val="-9"/>
            </w:rPr>
            <w:t>走</w:t>
          </w:r>
          <w:r>
            <w:rPr>
              <w:spacing w:val="-9"/>
            </w:rPr>
            <w:t xml:space="preserve"> </w:t>
          </w:r>
          <w:r>
            <w:rPr>
              <w:spacing w:val="-9"/>
            </w:rPr>
            <w:t>势</w:t>
          </w:r>
          <w:r>
            <w:rPr>
              <w:spacing w:val="30"/>
            </w:rPr>
            <w:t xml:space="preserve"> </w:t>
          </w:r>
          <w:r>
            <w:rPr>
              <w:spacing w:val="-9"/>
            </w:rPr>
            <w:t>(</w:t>
          </w:r>
          <w:r>
            <w:rPr>
              <w:spacing w:val="-9"/>
            </w:rPr>
            <w:t xml:space="preserve"> </w:t>
          </w:r>
          <w:r>
            <w:rPr>
              <w:spacing w:val="-9"/>
            </w:rPr>
            <w:t>%</w:t>
          </w:r>
          <w:r>
            <w:rPr>
              <w:spacing w:val="-9"/>
            </w:rPr>
            <w:t xml:space="preserve"> </w:t>
          </w:r>
          <w:r>
            <w:rPr>
              <w:spacing w:val="-9"/>
            </w:rPr>
            <w:t>)</w:t>
          </w:r>
          <w:r>
            <w:tab/>
          </w:r>
          <w:r>
            <w:rPr>
              <w:spacing w:val="-31"/>
            </w:rPr>
            <w:t xml:space="preserve"> </w:t>
          </w:r>
          <w:hyperlink w:anchor="bookmark19" w:history="1">
            <w:r>
              <w:rPr>
                <w:rFonts w:ascii="Times New Roman" w:eastAsia="Times New Roman" w:hAnsi="Times New Roman" w:cs="Times New Roman"/>
              </w:rPr>
              <w:t>6</w:t>
            </w:r>
          </w:hyperlink>
        </w:p>
        <w:p>
          <w:pPr>
            <w:pStyle w:val="BodyText"/>
            <w:tabs>
              <w:tab w:val="right" w:leader="dot" w:pos="10295"/>
            </w:tabs>
            <w:spacing w:before="56" w:line="225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spacing w:val="17"/>
            </w:rPr>
            <w:t>图表7:</w:t>
          </w:r>
          <w:r>
            <w:rPr>
              <w:spacing w:val="61"/>
            </w:rPr>
            <w:t xml:space="preserve"> </w:t>
          </w:r>
          <w:r>
            <w:rPr>
              <w:spacing w:val="17"/>
            </w:rPr>
            <w:t>银行间质押式回购成交量(亿元)</w:t>
          </w:r>
          <w:r>
            <w:tab/>
          </w:r>
          <w:hyperlink w:anchor="bookmark20" w:history="1">
            <w:r>
              <w:rPr>
                <w:rFonts w:ascii="Times New Roman" w:eastAsia="Times New Roman" w:hAnsi="Times New Roman" w:cs="Times New Roman"/>
              </w:rPr>
              <w:t>6</w:t>
            </w:r>
          </w:hyperlink>
        </w:p>
        <w:p>
          <w:pPr>
            <w:pStyle w:val="BodyText"/>
            <w:tabs>
              <w:tab w:val="right" w:leader="dot" w:pos="10237"/>
            </w:tabs>
            <w:spacing w:before="44" w:line="225" w:lineRule="auto"/>
            <w:ind w:left="2660"/>
            <w:rPr>
              <w:rFonts w:ascii="Times New Roman" w:eastAsia="Times New Roman" w:hAnsi="Times New Roman" w:cs="Times New Roman"/>
            </w:rPr>
          </w:pPr>
          <w:r>
            <w:rPr>
              <w:spacing w:val="17"/>
            </w:rPr>
            <w:t>图表8:</w:t>
          </w:r>
          <w:r>
            <w:rPr>
              <w:spacing w:val="61"/>
            </w:rPr>
            <w:t xml:space="preserve"> </w:t>
          </w:r>
          <w:r>
            <w:rPr>
              <w:spacing w:val="17"/>
            </w:rPr>
            <w:t>重要股东单月净增持市值(亿元)</w:t>
          </w:r>
          <w:r>
            <w:tab/>
          </w:r>
          <w:hyperlink w:anchor="bookmark21" w:history="1">
            <w:r>
              <w:rPr>
                <w:rFonts w:ascii="Times New Roman" w:eastAsia="Times New Roman" w:hAnsi="Times New Roman" w:cs="Times New Roman"/>
              </w:rPr>
              <w:t>7</w:t>
            </w:r>
          </w:hyperlink>
        </w:p>
        <w:p>
          <w:pPr>
            <w:pStyle w:val="BodyText"/>
            <w:tabs>
              <w:tab w:val="right" w:leader="dot" w:pos="10237"/>
            </w:tabs>
            <w:spacing w:before="64" w:line="225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spacing w:val="7"/>
            </w:rPr>
            <w:t>图</w:t>
          </w:r>
          <w:r>
            <w:rPr>
              <w:spacing w:val="-40"/>
            </w:rPr>
            <w:t xml:space="preserve"> </w:t>
          </w:r>
          <w:r>
            <w:rPr>
              <w:spacing w:val="7"/>
            </w:rPr>
            <w:t>表</w:t>
          </w:r>
          <w:r>
            <w:rPr>
              <w:spacing w:val="-50"/>
            </w:rPr>
            <w:t xml:space="preserve"> </w:t>
          </w:r>
          <w:r>
            <w:rPr>
              <w:spacing w:val="7"/>
            </w:rPr>
            <w:t>9</w:t>
          </w:r>
          <w:r>
            <w:rPr>
              <w:spacing w:val="-16"/>
            </w:rPr>
            <w:t xml:space="preserve"> </w:t>
          </w:r>
          <w:r>
            <w:rPr>
              <w:spacing w:val="7"/>
            </w:rPr>
            <w:t>:</w:t>
          </w:r>
          <w:r>
            <w:rPr>
              <w:spacing w:val="-1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7"/>
            </w:rPr>
            <w:t xml:space="preserve">A  </w:t>
          </w:r>
          <w:r>
            <w:rPr>
              <w:spacing w:val="7"/>
            </w:rPr>
            <w:t>股月度限售股解禁规模(亿元)</w:t>
          </w:r>
          <w:r>
            <w:tab/>
          </w:r>
          <w:hyperlink w:anchor="bookmark22" w:history="1">
            <w:r>
              <w:rPr>
                <w:rFonts w:ascii="Times New Roman" w:eastAsia="Times New Roman" w:hAnsi="Times New Roman" w:cs="Times New Roman"/>
              </w:rPr>
              <w:t>7</w:t>
            </w:r>
          </w:hyperlink>
        </w:p>
        <w:p>
          <w:pPr>
            <w:pStyle w:val="BodyText"/>
            <w:tabs>
              <w:tab w:val="right" w:leader="dot" w:pos="10232"/>
            </w:tabs>
            <w:spacing w:before="58" w:line="228" w:lineRule="auto"/>
            <w:ind w:left="2650"/>
            <w:rPr>
              <w:rFonts w:ascii="Times New Roman" w:eastAsia="Times New Roman" w:hAnsi="Times New Roman" w:cs="Times New Roman"/>
            </w:rPr>
          </w:pPr>
          <w:r>
            <w:rPr>
              <w:spacing w:val="17"/>
            </w:rPr>
            <w:t>图表10:</w:t>
          </w:r>
          <w:r>
            <w:rPr>
              <w:spacing w:val="72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17"/>
            </w:rPr>
            <w:t xml:space="preserve">A </w:t>
          </w:r>
          <w:r>
            <w:rPr>
              <w:spacing w:val="17"/>
            </w:rPr>
            <w:t>股日成交额(亿元)</w:t>
          </w:r>
          <w:r>
            <w:tab/>
          </w:r>
          <w:r>
            <w:rPr>
              <w:spacing w:val="-52"/>
            </w:rPr>
            <w:t xml:space="preserve"> </w:t>
          </w:r>
          <w:hyperlink w:anchor="bookmark23" w:history="1">
            <w:r>
              <w:rPr>
                <w:rFonts w:ascii="Times New Roman" w:eastAsia="Times New Roman" w:hAnsi="Times New Roman" w:cs="Times New Roman"/>
              </w:rPr>
              <w:t>8</w:t>
            </w:r>
          </w:hyperlink>
        </w:p>
        <w:p>
          <w:pPr>
            <w:pStyle w:val="BodyText"/>
            <w:tabs>
              <w:tab w:val="right" w:leader="dot" w:pos="10281"/>
            </w:tabs>
            <w:spacing w:before="50" w:line="231" w:lineRule="auto"/>
            <w:ind w:left="2679"/>
            <w:rPr>
              <w:rFonts w:ascii="Times New Roman" w:eastAsia="Times New Roman" w:hAnsi="Times New Roman" w:cs="Times New Roman"/>
            </w:rPr>
          </w:pPr>
          <w:r>
            <w:rPr>
              <w:spacing w:val="6"/>
              <w:position w:val="2"/>
            </w:rPr>
            <w:t>图表</w:t>
          </w:r>
          <w:r>
            <w:rPr>
              <w:spacing w:val="6"/>
              <w:position w:val="2"/>
            </w:rPr>
            <w:t xml:space="preserve"> </w:t>
          </w:r>
          <w:r>
            <w:rPr>
              <w:spacing w:val="6"/>
              <w:position w:val="2"/>
            </w:rPr>
            <w:t>11:</w:t>
          </w:r>
          <w:r>
            <w:rPr>
              <w:spacing w:val="112"/>
              <w:position w:val="2"/>
            </w:rPr>
            <w:t xml:space="preserve"> </w:t>
          </w:r>
          <w:r>
            <w:rPr>
              <w:spacing w:val="6"/>
            </w:rPr>
            <w:t>新成立基金偏股型基金份额(亿份)</w:t>
          </w:r>
          <w:r>
            <w:tab/>
          </w:r>
          <w:r>
            <w:rPr>
              <w:spacing w:val="-41"/>
            </w:rPr>
            <w:t xml:space="preserve"> </w:t>
          </w:r>
          <w:hyperlink w:anchor="bookmark24" w:history="1">
            <w:r>
              <w:rPr>
                <w:rFonts w:ascii="Times New Roman" w:eastAsia="Times New Roman" w:hAnsi="Times New Roman" w:cs="Times New Roman"/>
              </w:rPr>
              <w:t>8</w:t>
            </w:r>
          </w:hyperlink>
        </w:p>
        <w:p>
          <w:pPr>
            <w:pStyle w:val="BodyText"/>
            <w:tabs>
              <w:tab w:val="right" w:leader="dot" w:pos="10275"/>
            </w:tabs>
            <w:spacing w:before="17" w:line="233" w:lineRule="auto"/>
            <w:ind w:left="2679"/>
            <w:rPr>
              <w:rFonts w:ascii="Times New Roman" w:eastAsia="Times New Roman" w:hAnsi="Times New Roman" w:cs="Times New Roman"/>
            </w:rPr>
          </w:pPr>
          <w:r>
            <w:rPr>
              <w:spacing w:val="5"/>
            </w:rPr>
            <w:t>图表</w:t>
          </w:r>
          <w:r>
            <w:rPr>
              <w:spacing w:val="5"/>
            </w:rPr>
            <w:t xml:space="preserve"> </w:t>
          </w:r>
          <w:r>
            <w:rPr>
              <w:spacing w:val="5"/>
            </w:rPr>
            <w:t>12:</w:t>
          </w:r>
          <w:r>
            <w:rPr>
              <w:spacing w:val="93"/>
            </w:rPr>
            <w:t xml:space="preserve"> </w:t>
          </w:r>
          <w:r>
            <w:rPr>
              <w:spacing w:val="5"/>
            </w:rPr>
            <w:t>北向资金月度净流入额(亿元)</w:t>
          </w:r>
          <w:r>
            <w:tab/>
          </w:r>
          <w:hyperlink w:anchor="bookmark25" w:history="1">
            <w:r>
              <w:rPr>
                <w:rFonts w:ascii="Times New Roman" w:eastAsia="Times New Roman" w:hAnsi="Times New Roman" w:cs="Times New Roman"/>
              </w:rPr>
              <w:t>9</w:t>
            </w:r>
          </w:hyperlink>
        </w:p>
        <w:p>
          <w:pPr>
            <w:pStyle w:val="BodyText"/>
            <w:tabs>
              <w:tab w:val="right" w:leader="dot" w:pos="10235"/>
            </w:tabs>
            <w:spacing w:before="45" w:line="233" w:lineRule="auto"/>
            <w:ind w:left="2679"/>
            <w:rPr>
              <w:rFonts w:ascii="Times New Roman" w:eastAsia="Times New Roman" w:hAnsi="Times New Roman" w:cs="Times New Roman"/>
            </w:rPr>
          </w:pPr>
          <w:r>
            <w:rPr>
              <w:spacing w:val="4"/>
              <w:position w:val="1"/>
            </w:rPr>
            <w:t>图表</w:t>
          </w:r>
          <w:r>
            <w:rPr>
              <w:spacing w:val="4"/>
              <w:position w:val="1"/>
            </w:rPr>
            <w:t xml:space="preserve"> </w:t>
          </w:r>
          <w:r>
            <w:rPr>
              <w:spacing w:val="4"/>
              <w:position w:val="1"/>
            </w:rPr>
            <w:t>13:</w:t>
          </w:r>
          <w:r>
            <w:rPr>
              <w:spacing w:val="4"/>
              <w:position w:val="1"/>
            </w:rPr>
            <w:t xml:space="preserve">  </w:t>
          </w:r>
          <w:r>
            <w:rPr>
              <w:spacing w:val="4"/>
            </w:rPr>
            <w:t>一级行业北向资金月度净流入额(亿元)</w:t>
          </w:r>
          <w:r>
            <w:tab/>
          </w:r>
          <w:r>
            <w:rPr>
              <w:spacing w:val="-52"/>
            </w:rPr>
            <w:t xml:space="preserve"> </w:t>
          </w:r>
          <w:hyperlink w:anchor="bookmark26" w:history="1">
            <w:r>
              <w:rPr>
                <w:rFonts w:ascii="Times New Roman" w:eastAsia="Times New Roman" w:hAnsi="Times New Roman" w:cs="Times New Roman"/>
              </w:rPr>
              <w:t>9</w:t>
            </w:r>
          </w:hyperlink>
        </w:p>
        <w:p>
          <w:pPr>
            <w:pStyle w:val="BodyText"/>
            <w:tabs>
              <w:tab w:val="right" w:leader="dot" w:pos="10265"/>
            </w:tabs>
            <w:spacing w:before="46" w:line="228" w:lineRule="auto"/>
            <w:ind w:left="2679"/>
            <w:rPr>
              <w:rFonts w:ascii="Times New Roman" w:eastAsia="Times New Roman" w:hAnsi="Times New Roman" w:cs="Times New Roman"/>
            </w:rPr>
          </w:pPr>
          <w:r>
            <w:rPr>
              <w:spacing w:val="8"/>
            </w:rPr>
            <w:t>图表</w:t>
          </w:r>
          <w:r>
            <w:rPr>
              <w:spacing w:val="8"/>
            </w:rPr>
            <w:t xml:space="preserve"> </w:t>
          </w:r>
          <w:r>
            <w:rPr>
              <w:spacing w:val="8"/>
            </w:rPr>
            <w:t>14:</w:t>
          </w:r>
          <w:r>
            <w:rPr>
              <w:spacing w:val="111"/>
            </w:rPr>
            <w:t xml:space="preserve"> </w:t>
          </w:r>
          <w:r>
            <w:rPr>
              <w:spacing w:val="8"/>
            </w:rPr>
            <w:t>主要宽幅指数周平均换手率(%)</w:t>
          </w:r>
          <w:r>
            <w:tab/>
          </w:r>
          <w:r>
            <w:rPr>
              <w:spacing w:val="-71"/>
            </w:rPr>
            <w:t xml:space="preserve"> </w:t>
          </w:r>
          <w:hyperlink w:anchor="bookmark27" w:history="1">
            <w:r>
              <w:rPr>
                <w:rFonts w:ascii="Times New Roman" w:eastAsia="Times New Roman" w:hAnsi="Times New Roman" w:cs="Times New Roman"/>
                <w:spacing w:val="-7"/>
              </w:rPr>
              <w:t>10</w:t>
            </w:r>
          </w:hyperlink>
        </w:p>
        <w:p>
          <w:pPr>
            <w:pStyle w:val="BodyText"/>
            <w:tabs>
              <w:tab w:val="right" w:leader="dot" w:pos="10265"/>
            </w:tabs>
            <w:spacing w:before="60" w:line="221" w:lineRule="auto"/>
            <w:ind w:left="2679"/>
            <w:rPr>
              <w:rFonts w:ascii="Times New Roman" w:eastAsia="Times New Roman" w:hAnsi="Times New Roman" w:cs="Times New Roman"/>
            </w:rPr>
          </w:pPr>
          <w:r>
            <w:rPr>
              <w:spacing w:val="12"/>
            </w:rPr>
            <w:t>图表</w:t>
          </w:r>
          <w:r>
            <w:rPr>
              <w:spacing w:val="12"/>
            </w:rPr>
            <w:t xml:space="preserve"> </w:t>
          </w:r>
          <w:r>
            <w:rPr>
              <w:spacing w:val="12"/>
            </w:rPr>
            <w:t>15:</w:t>
          </w:r>
          <w:r>
            <w:rPr>
              <w:spacing w:val="94"/>
            </w:rPr>
            <w:t xml:space="preserve"> </w:t>
          </w:r>
          <w:r>
            <w:rPr>
              <w:spacing w:val="12"/>
            </w:rPr>
            <w:t>两融余额(亿元)与两融交易额(亿元</w:t>
          </w:r>
          <w:r>
            <w:rPr>
              <w:spacing w:val="11"/>
            </w:rPr>
            <w:t>，右轴)</w:t>
          </w:r>
          <w:r>
            <w:tab/>
          </w:r>
          <w:hyperlink w:anchor="bookmark28" w:history="1">
            <w:r>
              <w:rPr>
                <w:rFonts w:ascii="Times New Roman" w:eastAsia="Times New Roman" w:hAnsi="Times New Roman" w:cs="Times New Roman"/>
                <w:spacing w:val="-8"/>
              </w:rPr>
              <w:t>10</w:t>
            </w:r>
          </w:hyperlink>
        </w:p>
        <w:p>
          <w:pPr>
            <w:pStyle w:val="BodyText"/>
            <w:tabs>
              <w:tab w:val="right" w:leader="dot" w:pos="10325"/>
            </w:tabs>
            <w:spacing w:before="59" w:line="228" w:lineRule="auto"/>
            <w:ind w:left="2660"/>
            <w:rPr>
              <w:rFonts w:ascii="Times New Roman" w:eastAsia="Times New Roman" w:hAnsi="Times New Roman" w:cs="Times New Roman"/>
            </w:rPr>
          </w:pPr>
          <w:r>
            <w:rPr>
              <w:spacing w:val="15"/>
              <w:position w:val="1"/>
            </w:rPr>
            <w:t>图表16:</w:t>
          </w:r>
          <w:r>
            <w:rPr>
              <w:spacing w:val="9"/>
              <w:position w:val="1"/>
            </w:rPr>
            <w:t xml:space="preserve">  </w:t>
          </w:r>
          <w:r>
            <w:rPr>
              <w:spacing w:val="15"/>
            </w:rPr>
            <w:t>主要宽幅指数当前估值水平(%)</w:t>
          </w:r>
          <w:r>
            <w:tab/>
          </w:r>
          <w:r>
            <w:rPr>
              <w:spacing w:val="-41"/>
            </w:rPr>
            <w:t xml:space="preserve"> </w:t>
          </w:r>
          <w:hyperlink w:anchor="bookmark29" w:history="1">
            <w:r>
              <w:rPr>
                <w:rFonts w:ascii="Times New Roman" w:eastAsia="Times New Roman" w:hAnsi="Times New Roman" w:cs="Times New Roman"/>
                <w:spacing w:val="-13"/>
              </w:rPr>
              <w:t>11</w:t>
            </w:r>
          </w:hyperlink>
        </w:p>
        <w:p>
          <w:pPr>
            <w:pStyle w:val="BodyText"/>
            <w:tabs>
              <w:tab w:val="right" w:leader="dot" w:pos="10295"/>
            </w:tabs>
            <w:spacing w:before="25" w:line="224" w:lineRule="auto"/>
            <w:ind w:left="2650"/>
            <w:rPr>
              <w:rFonts w:ascii="Times New Roman" w:eastAsia="Times New Roman" w:hAnsi="Times New Roman" w:cs="Times New Roman"/>
            </w:rPr>
            <w:sectPr>
              <w:headerReference w:type="default" r:id="rId12"/>
              <w:footerReference w:type="default" r:id="rId13"/>
              <w:pgSz w:w="11900" w:h="16840"/>
              <w:pgMar w:top="400" w:right="874" w:bottom="759" w:left="699" w:header="0" w:footer="493" w:gutter="0"/>
              <w:pgNumType w:start="4"/>
              <w:cols w:space="708"/>
            </w:sectPr>
          </w:pPr>
          <w:r>
            <w:rPr>
              <w:spacing w:val="9"/>
            </w:rPr>
            <w:t>图表17:</w:t>
          </w:r>
          <w:r>
            <w:rPr>
              <w:spacing w:val="77"/>
            </w:rPr>
            <w:t xml:space="preserve"> </w:t>
          </w:r>
          <w:r>
            <w:rPr>
              <w:spacing w:val="9"/>
            </w:rPr>
            <w:t>申万一级行业当前估值水平</w:t>
          </w:r>
          <w:r>
            <w:rPr>
              <w:spacing w:val="-87"/>
            </w:rPr>
            <w:t xml:space="preserve"> </w:t>
          </w:r>
          <w:r>
            <w:tab/>
          </w:r>
          <w:r>
            <w:rPr>
              <w:spacing w:val="-11"/>
            </w:rPr>
            <w:t xml:space="preserve"> </w:t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7"/>
              </w:rPr>
              <w:t>12</w:t>
            </w:r>
          </w:hyperlink>
        </w:p>
      </w:sdtContent>
    </w:sdt>
    <w:sdt>
      <w:sdtPr>
        <w:rPr>
          <w:rFonts w:ascii="Times New Roman" w:eastAsia="Times New Roman" w:hAnsi="Times New Roman" w:cs="Times New Roman"/>
          <w:sz w:val="21"/>
          <w:szCs w:val="21"/>
        </w:rPr>
        <w:id w:val="104962232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1"/>
          <w:szCs w:val="21"/>
        </w:rPr>
      </w:sdtEndPr>
      <w:sdtContent>
        <w:p>
          <w:pPr>
            <w:pStyle w:val="BodyText"/>
            <w:tabs>
              <w:tab w:val="right" w:leader="dot" w:pos="10285"/>
            </w:tabs>
            <w:spacing w:before="88" w:line="226" w:lineRule="auto"/>
            <w:ind w:left="2660"/>
            <w:rPr>
              <w:rFonts w:ascii="Times New Roman" w:eastAsia="Times New Roman" w:hAnsi="Times New Roman" w:cs="Times New Roman"/>
            </w:rPr>
          </w:pPr>
          <w:r>
            <w:rPr>
              <w:spacing w:val="33"/>
            </w:rPr>
            <w:t>图表18:2月财经要闻</w:t>
          </w:r>
          <w:r>
            <w:tab/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5"/>
              </w:rPr>
              <w:t>13</w:t>
            </w:r>
          </w:hyperlink>
        </w:p>
      </w:sdtContent>
    </w:sdt>
    <w:p>
      <w:pPr>
        <w:spacing w:line="226" w:lineRule="auto"/>
        <w:rPr>
          <w:rFonts w:ascii="Times New Roman" w:eastAsia="Times New Roman" w:hAnsi="Times New Roman" w:cs="Times New Roman"/>
        </w:rPr>
        <w:sectPr>
          <w:headerReference w:type="default" r:id="rId14"/>
          <w:footerReference w:type="default" r:id="rId15"/>
          <w:type w:val="nextPage"/>
          <w:pgSz w:w="11900" w:h="16840"/>
          <w:pgMar w:top="400" w:right="874" w:bottom="759" w:left="699" w:header="0" w:footer="493" w:gutter="0"/>
          <w:pgNumType w:start="5"/>
          <w:cols w:space="708"/>
          <w:titlePg w:val="0"/>
        </w:sectPr>
      </w:pPr>
    </w:p>
    <w:p>
      <w:pPr>
        <w:pStyle w:val="BodyText"/>
        <w:spacing w:before="305" w:line="227" w:lineRule="auto"/>
        <w:ind w:left="2684"/>
        <w:rPr>
          <w:sz w:val="28"/>
          <w:szCs w:val="28"/>
        </w:rPr>
      </w:pPr>
      <w:r>
        <w:pict>
          <v:rect id="_x0000_s1031" style="width:372pt;height:0.5pt;margin-top:531.5pt;margin-left:174.5pt;mso-position-horizontal-relative:page;mso-position-vertical-relative:page;position:absolute;z-index:251668480" o:allowincell="f" filled="t" fillcolor="black" stroked="f"/>
        </w:pict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2216170</wp:posOffset>
            </wp:positionH>
            <wp:positionV relativeFrom="page">
              <wp:posOffset>3346478</wp:posOffset>
            </wp:positionV>
            <wp:extent cx="4724398" cy="63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2439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bookmark14"/>
      <w:bookmarkEnd w:id="0"/>
      <w:bookmarkStart w:id="1" w:name="bookmark1"/>
      <w:bookmarkEnd w:id="1"/>
      <w:bookmarkStart w:id="2" w:name="bookmark2"/>
      <w:bookmarkEnd w:id="2"/>
      <w:bookmarkStart w:id="3" w:name="bookmark3"/>
      <w:bookmarkEnd w:id="3"/>
      <w:r>
        <w:rPr>
          <w:b/>
          <w:bCs/>
          <w:spacing w:val="-14"/>
          <w:sz w:val="28"/>
          <w:szCs w:val="28"/>
        </w:rPr>
        <w:t>1</w:t>
      </w:r>
      <w:r>
        <w:rPr>
          <w:spacing w:val="18"/>
          <w:sz w:val="28"/>
          <w:szCs w:val="28"/>
        </w:rPr>
        <w:t xml:space="preserve">  </w:t>
      </w:r>
      <w:r>
        <w:rPr>
          <w:b/>
          <w:bCs/>
          <w:spacing w:val="-14"/>
          <w:sz w:val="28"/>
          <w:szCs w:val="28"/>
        </w:rPr>
        <w:t>市场行情回顾</w:t>
      </w:r>
    </w:p>
    <w:p>
      <w:pPr>
        <w:pStyle w:val="BodyText"/>
        <w:spacing w:before="144" w:line="227" w:lineRule="auto"/>
        <w:ind w:left="2682"/>
        <w:outlineLvl w:val="0"/>
        <w:rPr>
          <w:sz w:val="24"/>
          <w:szCs w:val="24"/>
        </w:rPr>
      </w:pPr>
      <w:r>
        <w:rPr>
          <w:b/>
          <w:bCs/>
          <w:spacing w:val="-8"/>
          <w:sz w:val="24"/>
          <w:szCs w:val="24"/>
        </w:rPr>
        <w:t>1.1</w:t>
      </w:r>
      <w:r>
        <w:rPr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</w:rPr>
        <w:t>国际市场：欧美股市调整后再度上扬</w:t>
      </w:r>
    </w:p>
    <w:p>
      <w:pPr>
        <w:pStyle w:val="BodyText"/>
        <w:spacing w:before="179" w:line="266" w:lineRule="auto"/>
        <w:ind w:left="2670" w:firstLine="9"/>
      </w:pPr>
      <w:r>
        <w:rPr>
          <w:spacing w:val="-4"/>
        </w:rPr>
        <w:t>1月公布的美国通胀数据显示，</w:t>
      </w:r>
      <w:r>
        <w:rPr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CPI</w:t>
      </w:r>
      <w:r>
        <w:rPr>
          <w:spacing w:val="-4"/>
        </w:rPr>
        <w:t>与核心</w:t>
      </w:r>
      <w:r>
        <w:rPr>
          <w:rFonts w:ascii="Times New Roman" w:eastAsia="Times New Roman" w:hAnsi="Times New Roman" w:cs="Times New Roman"/>
          <w:spacing w:val="-4"/>
        </w:rPr>
        <w:t>CPI</w:t>
      </w:r>
      <w:r>
        <w:rPr>
          <w:spacing w:val="-4"/>
        </w:rPr>
        <w:t>环比均较前值回升，通胀回落速率有所</w:t>
      </w:r>
      <w:r>
        <w:t xml:space="preserve">  </w:t>
      </w:r>
      <w:r>
        <w:rPr>
          <w:spacing w:val="-3"/>
        </w:rPr>
        <w:t>放缓。劳动力市场表现依然韧性十足，初请失业金人数继续回落。最新</w:t>
      </w:r>
      <w:r>
        <w:rPr>
          <w:spacing w:val="-4"/>
        </w:rPr>
        <w:t>公布的美联储</w:t>
      </w:r>
      <w:r>
        <w:rPr>
          <w:spacing w:val="-4"/>
        </w:rPr>
        <w:t xml:space="preserve"> </w:t>
      </w:r>
      <w:r>
        <w:rPr>
          <w:spacing w:val="-6"/>
        </w:rPr>
        <w:t>议息会议纪要中，大多数与会官员担心过早放</w:t>
      </w:r>
      <w:r>
        <w:rPr>
          <w:spacing w:val="-7"/>
        </w:rPr>
        <w:t>松货币政策立场的风险。纪要公布当天，</w:t>
      </w:r>
      <w:r>
        <w:t xml:space="preserve"> </w:t>
      </w:r>
      <w:r>
        <w:rPr>
          <w:spacing w:val="-2"/>
        </w:rPr>
        <w:t>根据芝商所</w:t>
      </w:r>
      <w:r>
        <w:rPr>
          <w:rFonts w:ascii="Times New Roman" w:eastAsia="Times New Roman" w:hAnsi="Times New Roman" w:cs="Times New Roman"/>
          <w:spacing w:val="-2"/>
        </w:rPr>
        <w:t>Fed Watch</w:t>
      </w:r>
      <w:r>
        <w:rPr>
          <w:spacing w:val="-2"/>
        </w:rPr>
        <w:t>数据，交易员预计美联储在3</w:t>
      </w:r>
      <w:r>
        <w:rPr>
          <w:spacing w:val="-3"/>
        </w:rPr>
        <w:t>月降息的概率仅为6.5%。市场对降</w:t>
      </w:r>
      <w:r>
        <w:t xml:space="preserve">  </w:t>
      </w:r>
      <w:r>
        <w:rPr>
          <w:spacing w:val="-3"/>
        </w:rPr>
        <w:t>息预期有所推迟。在通胀数据出现反弹、联储纪要打</w:t>
      </w:r>
      <w:r>
        <w:rPr>
          <w:spacing w:val="-4"/>
        </w:rPr>
        <w:t>压降息预期下，欧美股市一度调</w:t>
      </w:r>
      <w:r>
        <w:t xml:space="preserve">  </w:t>
      </w:r>
      <w:r>
        <w:rPr>
          <w:spacing w:val="-8"/>
        </w:rPr>
        <w:t>整，但</w:t>
      </w:r>
      <w:r>
        <w:rPr>
          <w:rFonts w:ascii="Times New Roman" w:eastAsia="Times New Roman" w:hAnsi="Times New Roman" w:cs="Times New Roman"/>
          <w:spacing w:val="-8"/>
        </w:rPr>
        <w:t>OpenAI</w:t>
      </w:r>
      <w:r>
        <w:rPr>
          <w:spacing w:val="-8"/>
        </w:rPr>
        <w:t>发布新模型</w:t>
      </w:r>
      <w:r>
        <w:rPr>
          <w:rFonts w:ascii="Times New Roman" w:eastAsia="Times New Roman" w:hAnsi="Times New Roman" w:cs="Times New Roman"/>
          <w:spacing w:val="-8"/>
        </w:rPr>
        <w:t>Sora,</w:t>
      </w:r>
      <w:r>
        <w:rPr>
          <w:rFonts w:ascii="Times New Roman" w:eastAsia="Times New Roman" w:hAnsi="Times New Roman" w:cs="Times New Roman"/>
          <w:spacing w:val="61"/>
          <w:w w:val="101"/>
        </w:rPr>
        <w:t xml:space="preserve"> </w:t>
      </w:r>
      <w:r>
        <w:rPr>
          <w:spacing w:val="-8"/>
        </w:rPr>
        <w:t>再次掀起科技热潮，同时英伟达业绩数据超预期强劲，</w:t>
      </w:r>
      <w:r>
        <w:t xml:space="preserve">  </w:t>
      </w:r>
      <w:r>
        <w:rPr>
          <w:spacing w:val="-5"/>
        </w:rPr>
        <w:t>带动美股再度上扬。</w:t>
      </w:r>
    </w:p>
    <w:p>
      <w:pPr>
        <w:pStyle w:val="BodyText"/>
        <w:spacing w:before="232" w:line="256" w:lineRule="auto"/>
        <w:ind w:left="2679" w:right="93"/>
      </w:pPr>
      <w:r>
        <w:rPr>
          <w:spacing w:val="2"/>
        </w:rPr>
        <w:t>2024年2月1日至26日，主要国际指数全部上涨，</w:t>
      </w:r>
      <w:r>
        <w:rPr>
          <w:spacing w:val="1"/>
        </w:rPr>
        <w:t>其中日经225(8.12%)涨幅最大，恒</w:t>
      </w:r>
      <w:r>
        <w:t xml:space="preserve"> </w:t>
      </w:r>
      <w:r>
        <w:rPr>
          <w:spacing w:val="9"/>
        </w:rPr>
        <w:t>生指数(7.42%)紧随其后。</w:t>
      </w:r>
    </w:p>
    <w:p>
      <w:pPr>
        <w:pStyle w:val="BodyText"/>
        <w:spacing w:before="224" w:line="226" w:lineRule="auto"/>
        <w:ind w:left="2920"/>
      </w:pPr>
      <w:r>
        <w:rPr>
          <w:spacing w:val="18"/>
        </w:rPr>
        <w:t>图表1:主要国际指数月度涨跌幅(%)</w:t>
      </w:r>
    </w:p>
    <w:p>
      <w:pPr>
        <w:spacing w:before="77" w:line="4850" w:lineRule="exact"/>
        <w:ind w:firstLine="2850"/>
      </w:pPr>
      <w:r>
        <w:rPr>
          <w:position w:val="-97"/>
        </w:rPr>
        <w:drawing>
          <wp:inline distT="0" distB="0" distL="0" distR="0">
            <wp:extent cx="4629110" cy="307980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29110" cy="30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0" w:line="211" w:lineRule="auto"/>
        <w:ind w:left="2915"/>
        <w:rPr>
          <w:sz w:val="22"/>
          <w:szCs w:val="22"/>
        </w:rPr>
      </w:pPr>
      <w:r>
        <w:rPr>
          <w:i/>
          <w:iCs/>
          <w:spacing w:val="-22"/>
          <w:w w:val="93"/>
          <w:sz w:val="22"/>
          <w:szCs w:val="22"/>
        </w:rPr>
        <w:t>资料来源：同花顺，万联证券研究所</w:t>
      </w:r>
    </w:p>
    <w:p>
      <w:pPr>
        <w:spacing w:before="57" w:line="211" w:lineRule="auto"/>
        <w:ind w:left="2916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i/>
          <w:iCs/>
          <w:spacing w:val="-25"/>
          <w:w w:val="98"/>
          <w:sz w:val="22"/>
          <w:szCs w:val="22"/>
        </w:rPr>
        <w:t>注：数据截至2024年2月26日</w:t>
      </w:r>
    </w:p>
    <w:p>
      <w:pPr>
        <w:spacing w:line="322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pStyle w:val="BodyText"/>
        <w:spacing w:before="68" w:line="220" w:lineRule="auto"/>
        <w:ind w:left="2683"/>
        <w:outlineLvl w:val="1"/>
      </w:pPr>
      <w:r>
        <w:rPr>
          <w:b/>
          <w:bCs/>
          <w:spacing w:val="17"/>
        </w:rPr>
        <w:t>1.2</w:t>
      </w:r>
      <w:r>
        <w:rPr>
          <w:spacing w:val="74"/>
        </w:rPr>
        <w:t xml:space="preserve"> </w:t>
      </w:r>
      <w:r>
        <w:rPr>
          <w:b/>
          <w:bCs/>
          <w:spacing w:val="17"/>
        </w:rPr>
        <w:t>A</w:t>
      </w:r>
      <w:r>
        <w:rPr>
          <w:spacing w:val="-53"/>
        </w:rPr>
        <w:t xml:space="preserve"> </w:t>
      </w:r>
      <w:r>
        <w:rPr>
          <w:b/>
          <w:bCs/>
          <w:spacing w:val="17"/>
        </w:rPr>
        <w:t>股市场：政策持续发力，</w:t>
      </w:r>
      <w:r>
        <w:rPr>
          <w:spacing w:val="-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7"/>
        </w:rPr>
        <w:t>A</w:t>
      </w:r>
      <w:r>
        <w:rPr>
          <w:rFonts w:ascii="Times New Roman" w:eastAsia="Times New Roman" w:hAnsi="Times New Roman" w:cs="Times New Roman"/>
          <w:b/>
          <w:bCs/>
          <w:spacing w:val="40"/>
          <w:w w:val="101"/>
        </w:rPr>
        <w:t xml:space="preserve"> </w:t>
      </w:r>
      <w:r>
        <w:rPr>
          <w:b/>
          <w:bCs/>
          <w:spacing w:val="17"/>
        </w:rPr>
        <w:t>股实现低位回升</w:t>
      </w:r>
    </w:p>
    <w:p>
      <w:pPr>
        <w:pStyle w:val="BodyText"/>
        <w:spacing w:before="193" w:line="266" w:lineRule="auto"/>
        <w:ind w:left="2679" w:right="79"/>
        <w:sectPr>
          <w:headerReference w:type="default" r:id="rId18"/>
          <w:footerReference w:type="default" r:id="rId19"/>
          <w:pgSz w:w="11900" w:h="16840"/>
          <w:pgMar w:top="899" w:right="794" w:bottom="759" w:left="699" w:header="280" w:footer="493" w:gutter="0"/>
          <w:pgNumType w:start="6"/>
          <w:cols w:space="708"/>
        </w:sectPr>
      </w:pPr>
      <w:r>
        <w:rPr>
          <w:spacing w:val="-3"/>
        </w:rPr>
        <w:t>2月初</w:t>
      </w:r>
      <w:r>
        <w:rPr>
          <w:rFonts w:ascii="Times New Roman" w:eastAsia="Times New Roman" w:hAnsi="Times New Roman" w:cs="Times New Roman"/>
          <w:spacing w:val="-3"/>
        </w:rPr>
        <w:t>A</w:t>
      </w:r>
      <w:r>
        <w:rPr>
          <w:spacing w:val="-3"/>
        </w:rPr>
        <w:t>股市场交投热度继续下滑、投资者心态较为悲观，</w:t>
      </w:r>
      <w:r>
        <w:rPr>
          <w:rFonts w:ascii="Times New Roman" w:eastAsia="Times New Roman" w:hAnsi="Times New Roman" w:cs="Times New Roman"/>
          <w:spacing w:val="-3"/>
        </w:rPr>
        <w:t>A</w:t>
      </w:r>
      <w:r>
        <w:rPr>
          <w:spacing w:val="-3"/>
        </w:rPr>
        <w:t>股主要指数下挫至2</w:t>
      </w:r>
      <w:r>
        <w:rPr>
          <w:spacing w:val="-4"/>
        </w:rPr>
        <w:t>020年</w:t>
      </w:r>
      <w:r>
        <w:t xml:space="preserve"> </w:t>
      </w:r>
      <w:r>
        <w:rPr>
          <w:spacing w:val="-10"/>
        </w:rPr>
        <w:t>以来低位。证监会多次发声提振市场情绪，利好举措频频落地。促进资本</w:t>
      </w:r>
      <w:r>
        <w:rPr>
          <w:spacing w:val="-11"/>
        </w:rPr>
        <w:t>市场稳信心、</w:t>
      </w:r>
      <w:r>
        <w:t xml:space="preserve"> </w:t>
      </w:r>
      <w:r>
        <w:rPr>
          <w:spacing w:val="-2"/>
        </w:rPr>
        <w:t>稳预期，强化对违法违规行为的监管，呵护市场情绪意图明显。多家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spacing w:val="-2"/>
        </w:rPr>
        <w:t>股公司也宣布</w:t>
      </w:r>
      <w:r>
        <w:rPr>
          <w:spacing w:val="7"/>
        </w:rPr>
        <w:t xml:space="preserve"> </w:t>
      </w:r>
      <w:r>
        <w:rPr>
          <w:spacing w:val="-1"/>
        </w:rPr>
        <w:t>股份回购计划。在利好政策的带动下，市场情绪得到提振，资金回流</w:t>
      </w:r>
      <w:r>
        <w:rPr>
          <w:rFonts w:ascii="SimSun" w:eastAsia="SimSun" w:hAnsi="SimSun" w:cs="SimSun"/>
          <w:spacing w:val="-1"/>
        </w:rPr>
        <w:t>A</w:t>
      </w:r>
      <w:r>
        <w:rPr>
          <w:spacing w:val="-1"/>
        </w:rPr>
        <w:t>股市场。全国</w:t>
      </w:r>
      <w:r>
        <w:rPr>
          <w:spacing w:val="6"/>
        </w:rPr>
        <w:t xml:space="preserve"> </w:t>
      </w:r>
      <w:r>
        <w:rPr>
          <w:spacing w:val="-4"/>
        </w:rPr>
        <w:t>各地已召开两会，政策信号积极，预计更多的产业政策及支持举措将落地，推</w:t>
      </w:r>
      <w:r>
        <w:rPr>
          <w:spacing w:val="-5"/>
        </w:rPr>
        <w:t>动经济</w:t>
      </w:r>
      <w:r>
        <w:t xml:space="preserve"> </w:t>
      </w:r>
      <w:r>
        <w:rPr>
          <w:spacing w:val="-4"/>
        </w:rPr>
        <w:t>进一步企稳回升。从金融数据看，社融增长好于预期，信贷投放加快。后续资本市场</w:t>
      </w:r>
      <w:r>
        <w:rPr>
          <w:spacing w:val="13"/>
        </w:rPr>
        <w:t xml:space="preserve"> </w:t>
      </w:r>
      <w:r>
        <w:rPr>
          <w:spacing w:val="-2"/>
        </w:rPr>
        <w:t>利好政策效果逐步显现，有望带动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spacing w:val="-2"/>
        </w:rPr>
        <w:t>股市场投资者预期逐步改善。从配置角度看，当</w:t>
      </w:r>
      <w:r>
        <w:rPr>
          <w:spacing w:val="7"/>
        </w:rPr>
        <w:t xml:space="preserve"> </w:t>
      </w:r>
      <w:r>
        <w:rPr>
          <w:spacing w:val="-2"/>
        </w:rPr>
        <w:t>前</w:t>
      </w:r>
      <w:r>
        <w:rPr>
          <w:rFonts w:ascii="SimSun" w:eastAsia="SimSun" w:hAnsi="SimSun" w:cs="SimSun"/>
          <w:spacing w:val="-2"/>
        </w:rPr>
        <w:t>A</w:t>
      </w:r>
      <w:r>
        <w:rPr>
          <w:spacing w:val="-2"/>
        </w:rPr>
        <w:t>股市场估值仍处低位、业绩表现有望逐季回升，</w:t>
      </w:r>
      <w:r>
        <w:rPr>
          <w:spacing w:val="-3"/>
        </w:rPr>
        <w:t>配置性价比较高。</w:t>
      </w:r>
    </w:p>
    <w:p>
      <w:pPr>
        <w:pStyle w:val="BodyText"/>
        <w:spacing w:before="250" w:line="246" w:lineRule="auto"/>
        <w:ind w:left="2679" w:right="80"/>
      </w:pPr>
      <w:r>
        <w:rPr>
          <w:spacing w:val="-1"/>
        </w:rPr>
        <w:t>截至2月26日收盘，上证综指收报2977.02点，较1月末上涨6.76%。分结构看，本月</w:t>
      </w:r>
      <w:r>
        <w:rPr>
          <w:rFonts w:ascii="SimSun" w:eastAsia="SimSun" w:hAnsi="SimSun" w:cs="SimSun"/>
          <w:spacing w:val="-1"/>
        </w:rPr>
        <w:t>A</w:t>
      </w:r>
      <w:r>
        <w:rPr>
          <w:rFonts w:ascii="SimSun" w:eastAsia="SimSun" w:hAnsi="SimSun" w:cs="SimSun"/>
          <w:spacing w:val="12"/>
        </w:rPr>
        <w:t xml:space="preserve"> </w:t>
      </w:r>
      <w:r>
        <w:rPr>
          <w:spacing w:val="5"/>
        </w:rPr>
        <w:t>股主要股指集体上涨。其中科创50(12.</w:t>
      </w:r>
      <w:r>
        <w:rPr>
          <w:spacing w:val="4"/>
        </w:rPr>
        <w:t>21%)涨幅最大，创业板指、中证500、沪深</w:t>
      </w:r>
    </w:p>
    <w:p>
      <w:pPr>
        <w:spacing w:line="246" w:lineRule="auto"/>
        <w:sectPr>
          <w:headerReference w:type="default" r:id="rId20"/>
          <w:footerReference w:type="default" r:id="rId21"/>
          <w:type w:val="nextPage"/>
          <w:pgSz w:w="11900" w:h="16840"/>
          <w:pgMar w:top="899" w:right="794" w:bottom="759" w:left="699" w:header="280" w:footer="493" w:gutter="0"/>
          <w:pgNumType w:start="7"/>
          <w:cols w:space="708"/>
          <w:titlePg w:val="0"/>
        </w:sectPr>
      </w:pPr>
    </w:p>
    <w:p>
      <w:pPr>
        <w:pStyle w:val="BodyText"/>
        <w:spacing w:before="201" w:line="230" w:lineRule="auto"/>
        <w:ind w:left="2679"/>
        <w:rPr>
          <w:sz w:val="20"/>
          <w:szCs w:val="20"/>
        </w:rPr>
      </w:pP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2235212</wp:posOffset>
            </wp:positionH>
            <wp:positionV relativeFrom="page">
              <wp:posOffset>965186</wp:posOffset>
            </wp:positionV>
            <wp:extent cx="4749788" cy="641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49788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2089144</wp:posOffset>
            </wp:positionH>
            <wp:positionV relativeFrom="page">
              <wp:posOffset>5283181</wp:posOffset>
            </wp:positionV>
            <wp:extent cx="4933941" cy="641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33941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20"/>
          <w:szCs w:val="20"/>
        </w:rPr>
        <w:t>300、</w:t>
      </w:r>
      <w:r>
        <w:rPr>
          <w:spacing w:val="-28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上证50分别上涨11.33%、10.61%、7.40</w:t>
      </w:r>
      <w:r>
        <w:rPr>
          <w:spacing w:val="2"/>
          <w:sz w:val="20"/>
          <w:szCs w:val="20"/>
        </w:rPr>
        <w:t>%、6.18%。</w:t>
      </w:r>
    </w:p>
    <w:p>
      <w:pPr>
        <w:pStyle w:val="BodyText"/>
        <w:spacing w:before="256" w:line="190" w:lineRule="auto"/>
        <w:ind w:left="2979"/>
        <w:rPr>
          <w:sz w:val="20"/>
          <w:szCs w:val="20"/>
        </w:rPr>
      </w:pPr>
      <w:r>
        <w:rPr>
          <w:spacing w:val="25"/>
          <w:sz w:val="20"/>
          <w:szCs w:val="20"/>
        </w:rPr>
        <w:t>图表2:主要</w:t>
      </w:r>
      <w:r>
        <w:rPr>
          <w:rFonts w:ascii="Times New Roman" w:eastAsia="Times New Roman" w:hAnsi="Times New Roman" w:cs="Times New Roman"/>
          <w:spacing w:val="25"/>
          <w:sz w:val="20"/>
          <w:szCs w:val="20"/>
        </w:rPr>
        <w:t>A</w:t>
      </w:r>
      <w:r>
        <w:rPr>
          <w:spacing w:val="25"/>
          <w:sz w:val="20"/>
          <w:szCs w:val="20"/>
        </w:rPr>
        <w:t>股指数月度涨跌幅(%)</w:t>
      </w:r>
    </w:p>
    <w:p>
      <w:pPr>
        <w:spacing w:line="4447" w:lineRule="exact"/>
        <w:ind w:firstLine="2790"/>
      </w:pPr>
      <w:r>
        <w:rPr>
          <w:position w:val="-88"/>
        </w:rPr>
        <w:drawing>
          <wp:inline distT="0" distB="0" distL="0" distR="0">
            <wp:extent cx="4794220" cy="2824122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94220" cy="282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0" w:line="211" w:lineRule="auto"/>
        <w:ind w:left="2976"/>
      </w:pPr>
      <w:r>
        <w:rPr>
          <w:i/>
          <w:iCs/>
          <w:spacing w:val="-22"/>
          <w:w w:val="97"/>
        </w:rPr>
        <w:t>资料来源：同花顺，万联证券研究所</w:t>
      </w:r>
    </w:p>
    <w:p>
      <w:pPr>
        <w:spacing w:before="76" w:line="213" w:lineRule="auto"/>
        <w:ind w:left="2975"/>
        <w:rPr>
          <w:rFonts w:ascii="FangSong" w:eastAsia="FangSong" w:hAnsi="FangSong" w:cs="FangSong"/>
          <w:sz w:val="21"/>
          <w:szCs w:val="21"/>
        </w:rPr>
      </w:pPr>
      <w:r>
        <w:rPr>
          <w:rFonts w:ascii="FangSong" w:eastAsia="FangSong" w:hAnsi="FangSong" w:cs="FangSong"/>
          <w:i/>
          <w:iCs/>
          <w:spacing w:val="-21"/>
          <w:sz w:val="21"/>
          <w:szCs w:val="21"/>
        </w:rPr>
        <w:t>注：数据截至2024年2月26日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65" w:line="264" w:lineRule="auto"/>
        <w:ind w:left="2679" w:right="19"/>
        <w:rPr>
          <w:sz w:val="20"/>
          <w:szCs w:val="20"/>
        </w:rPr>
      </w:pPr>
      <w:r>
        <w:rPr>
          <w:spacing w:val="-2"/>
          <w:sz w:val="20"/>
          <w:szCs w:val="20"/>
        </w:rPr>
        <w:t>分行业看，截至2月26日，2月申万一级行业普遍上涨，通信(15.48%)、计算机(14.31%)、</w:t>
      </w:r>
      <w:r>
        <w:rPr>
          <w:spacing w:val="7"/>
          <w:sz w:val="20"/>
          <w:szCs w:val="20"/>
        </w:rPr>
        <w:t xml:space="preserve"> </w:t>
      </w:r>
      <w:r>
        <w:rPr>
          <w:spacing w:val="12"/>
          <w:sz w:val="20"/>
          <w:szCs w:val="20"/>
        </w:rPr>
        <w:t>电子(12.44%)等板块涨幅居前。仅综合板块下跌0.11%。</w:t>
      </w:r>
    </w:p>
    <w:p>
      <w:pPr>
        <w:pStyle w:val="BodyText"/>
        <w:spacing w:before="245" w:line="190" w:lineRule="auto"/>
        <w:ind w:left="2760"/>
        <w:rPr>
          <w:sz w:val="20"/>
          <w:szCs w:val="20"/>
        </w:rPr>
      </w:pPr>
      <w:r>
        <w:rPr>
          <w:spacing w:val="21"/>
          <w:sz w:val="20"/>
          <w:szCs w:val="20"/>
        </w:rPr>
        <w:t>图表3:申万</w:t>
      </w:r>
      <w:r>
        <w:rPr>
          <w:spacing w:val="-56"/>
          <w:sz w:val="20"/>
          <w:szCs w:val="20"/>
        </w:rPr>
        <w:t xml:space="preserve"> </w:t>
      </w:r>
      <w:r>
        <w:rPr>
          <w:spacing w:val="21"/>
          <w:sz w:val="20"/>
          <w:szCs w:val="20"/>
        </w:rPr>
        <w:t>一</w:t>
      </w:r>
      <w:r>
        <w:rPr>
          <w:spacing w:val="-56"/>
          <w:sz w:val="20"/>
          <w:szCs w:val="20"/>
        </w:rPr>
        <w:t xml:space="preserve"> </w:t>
      </w:r>
      <w:r>
        <w:rPr>
          <w:spacing w:val="21"/>
          <w:sz w:val="20"/>
          <w:szCs w:val="20"/>
        </w:rPr>
        <w:t>级行业月度涨跌幅(%)</w:t>
      </w:r>
    </w:p>
    <w:p>
      <w:pPr>
        <w:spacing w:line="3767" w:lineRule="exact"/>
        <w:ind w:firstLine="2580"/>
      </w:pPr>
      <w:r>
        <w:rPr>
          <w:position w:val="-75"/>
        </w:rPr>
        <w:drawing>
          <wp:inline distT="0" distB="0" distL="0" distR="0">
            <wp:extent cx="4972025" cy="2392323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72025" cy="239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38" w:line="210" w:lineRule="auto"/>
        <w:ind w:left="275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i/>
          <w:iCs/>
          <w:spacing w:val="-22"/>
          <w:w w:val="97"/>
          <w:sz w:val="21"/>
          <w:szCs w:val="21"/>
        </w:rPr>
        <w:t>资料来源：同花顺，万联证券研究所</w:t>
      </w:r>
    </w:p>
    <w:p>
      <w:pPr>
        <w:spacing w:before="61" w:line="211" w:lineRule="auto"/>
        <w:ind w:left="275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i/>
          <w:iCs/>
          <w:spacing w:val="-21"/>
          <w:sz w:val="21"/>
          <w:szCs w:val="21"/>
        </w:rPr>
        <w:t>注：数据截至2024年2月26日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65" w:line="270" w:lineRule="auto"/>
        <w:ind w:left="2679" w:right="119"/>
        <w:jc w:val="both"/>
        <w:rPr>
          <w:sz w:val="20"/>
          <w:szCs w:val="20"/>
        </w:rPr>
        <w:sectPr>
          <w:headerReference w:type="default" r:id="rId26"/>
          <w:footerReference w:type="default" r:id="rId27"/>
          <w:pgSz w:w="11900" w:h="16840"/>
          <w:pgMar w:top="899" w:right="800" w:bottom="759" w:left="689" w:header="280" w:footer="494" w:gutter="0"/>
          <w:pgNumType w:start="8"/>
          <w:cols w:space="708"/>
        </w:sectPr>
      </w:pPr>
      <w:r>
        <w:rPr>
          <w:spacing w:val="13"/>
          <w:sz w:val="20"/>
          <w:szCs w:val="20"/>
        </w:rPr>
        <w:t>按风格划分，2月五大风格指数集体上涨，其中成长风格指数(1</w:t>
      </w:r>
      <w:r>
        <w:rPr>
          <w:spacing w:val="12"/>
          <w:sz w:val="20"/>
          <w:szCs w:val="20"/>
        </w:rPr>
        <w:t>1.03%)涨幅居前，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周期风格指数(8.13%)次之。按规模划分，2月小盘指数(10.75%)、中盘指数(10.54%)、</w:t>
      </w:r>
      <w:r>
        <w:rPr>
          <w:spacing w:val="8"/>
          <w:sz w:val="20"/>
          <w:szCs w:val="20"/>
        </w:rPr>
        <w:t xml:space="preserve"> </w:t>
      </w:r>
    </w:p>
    <w:p>
      <w:pPr>
        <w:pStyle w:val="BodyText"/>
        <w:spacing w:before="65" w:line="270" w:lineRule="auto"/>
        <w:ind w:left="2679" w:right="119"/>
        <w:jc w:val="both"/>
        <w:rPr>
          <w:sz w:val="20"/>
          <w:szCs w:val="20"/>
        </w:rPr>
      </w:pPr>
      <w:r>
        <w:rPr>
          <w:spacing w:val="4"/>
          <w:sz w:val="20"/>
          <w:szCs w:val="20"/>
        </w:rPr>
        <w:t>大盘指数(7.39%)大幅回升。按业绩划分，三大指数均转为上涨，微利股指数(9.96%)</w:t>
      </w:r>
      <w:r>
        <w:rPr>
          <w:spacing w:val="10"/>
          <w:sz w:val="20"/>
          <w:szCs w:val="20"/>
        </w:rPr>
        <w:t xml:space="preserve"> </w:t>
      </w:r>
      <w:r>
        <w:rPr>
          <w:spacing w:val="12"/>
          <w:sz w:val="20"/>
          <w:szCs w:val="20"/>
        </w:rPr>
        <w:t>涨幅居前，绩优股指数)(职引损股指数(6.03%)次之。</w:t>
      </w:r>
    </w:p>
    <w:p>
      <w:pPr>
        <w:pStyle w:val="BodyText"/>
        <w:spacing w:before="192" w:line="304" w:lineRule="exact"/>
        <w:ind w:firstLine="1120"/>
      </w:pPr>
      <w:r>
        <w:rPr>
          <w:position w:val="-6"/>
        </w:rPr>
        <w:pict>
          <v:group id="_x0000_i1032" style="width:457.55pt;height:15.25pt;mso-position-horizontal-relative:char;mso-position-vertical-relative:line" coordorigin="0,0" coordsize="9150,305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width:9150;height:296;position:absolute" filled="f" stroked="f">
              <v:imagedata r:id="rId28" o:title=""/>
            </v:shape>
            <v:shape id="_x0000_s1034" type="#_x0000_t202" style="width:9190;height:3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5" w:line="225" w:lineRule="auto"/>
                      <w:ind w:left="170"/>
                      <w:rPr>
                        <w:rFonts w:ascii="KaiTi" w:eastAsia="KaiTi" w:hAnsi="KaiTi" w:cs="KaiTi"/>
                        <w:sz w:val="20"/>
                        <w:szCs w:val="20"/>
                      </w:rPr>
                    </w:pP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图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表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KaiTi" w:eastAsia="KaiTi" w:hAnsi="KaiTi" w:cs="KaiTi"/>
                        <w:spacing w:val="3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:</w:t>
                    </w:r>
                    <w:r>
                      <w:rPr>
                        <w:rFonts w:ascii="KaiTi" w:eastAsia="KaiTi" w:hAnsi="KaiTi" w:cs="KaiTi"/>
                        <w:spacing w:val="19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中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信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和</w:t>
                    </w:r>
                    <w:r>
                      <w:rPr>
                        <w:rFonts w:ascii="KaiTi" w:eastAsia="KaiTi" w:hAnsi="KaiTi" w:cs="KaiTi"/>
                        <w:spacing w:val="19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申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万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风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格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指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数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月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度</w:t>
                    </w:r>
                    <w:r>
                      <w:rPr>
                        <w:rFonts w:ascii="KaiTi" w:eastAsia="KaiTi" w:hAnsi="KaiTi" w:cs="KaiTi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涨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跌</w:t>
                    </w:r>
                    <w:r>
                      <w:rPr>
                        <w:rFonts w:ascii="KaiTi" w:eastAsia="KaiTi" w:hAnsi="KaiTi" w:cs="KaiTi"/>
                        <w:spacing w:val="7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幅</w:t>
                    </w:r>
                    <w:r>
                      <w:rPr>
                        <w:rFonts w:ascii="KaiTi" w:eastAsia="KaiTi" w:hAnsi="KaiTi" w:cs="KaiTi"/>
                        <w:spacing w:val="3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%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11"/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04" w:lineRule="exact"/>
        <w:sectPr>
          <w:headerReference w:type="default" r:id="rId29"/>
          <w:footerReference w:type="default" r:id="rId30"/>
          <w:type w:val="nextPage"/>
          <w:pgSz w:w="11900" w:h="16840"/>
          <w:pgMar w:top="899" w:right="800" w:bottom="759" w:left="689" w:header="280" w:footer="494" w:gutter="0"/>
          <w:pgNumType w:start="9"/>
          <w:cols w:space="708"/>
          <w:titlePg w:val="0"/>
        </w:sectPr>
      </w:pPr>
    </w:p>
    <w:p>
      <w:pPr>
        <w:pStyle w:val="BodyText"/>
        <w:spacing w:before="168" w:line="222" w:lineRule="auto"/>
        <w:ind w:left="6927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38160</wp:posOffset>
            </wp:positionH>
            <wp:positionV relativeFrom="paragraph">
              <wp:posOffset>233452</wp:posOffset>
            </wp:positionV>
            <wp:extent cx="6410374" cy="6667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10374" cy="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2216170</wp:posOffset>
            </wp:positionH>
            <wp:positionV relativeFrom="page">
              <wp:posOffset>6356350</wp:posOffset>
            </wp:positionV>
            <wp:extent cx="4813264" cy="63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1326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444473</wp:posOffset>
            </wp:positionH>
            <wp:positionV relativeFrom="page">
              <wp:posOffset>177831</wp:posOffset>
            </wp:positionV>
            <wp:extent cx="1498605" cy="393624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98605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" w:name="bookmark18"/>
      <w:bookmarkEnd w:id="10"/>
      <w:bookmarkStart w:id="11" w:name="bookmark4"/>
      <w:bookmarkEnd w:id="11"/>
      <w:bookmarkStart w:id="12" w:name="bookmark5"/>
      <w:bookmarkEnd w:id="12"/>
      <w:r>
        <w:rPr>
          <w:b/>
          <w:bCs/>
          <w:spacing w:val="-11"/>
        </w:rPr>
        <w:t>证</w:t>
      </w:r>
      <w:r>
        <w:rPr>
          <w:spacing w:val="-11"/>
        </w:rPr>
        <w:t xml:space="preserve"> </w:t>
      </w:r>
      <w:r>
        <w:rPr>
          <w:b/>
          <w:bCs/>
          <w:spacing w:val="-11"/>
        </w:rPr>
        <w:t>券</w:t>
      </w:r>
      <w:r>
        <w:rPr>
          <w:spacing w:val="-11"/>
        </w:rPr>
        <w:t xml:space="preserve"> </w:t>
      </w:r>
      <w:r>
        <w:rPr>
          <w:b/>
          <w:bCs/>
          <w:spacing w:val="-11"/>
        </w:rPr>
        <w:t>研</w:t>
      </w:r>
      <w:r>
        <w:rPr>
          <w:spacing w:val="28"/>
        </w:rPr>
        <w:t xml:space="preserve"> </w:t>
      </w:r>
      <w:r>
        <w:rPr>
          <w:b/>
          <w:bCs/>
          <w:spacing w:val="-11"/>
        </w:rPr>
        <w:t>究</w:t>
      </w:r>
      <w:r>
        <w:rPr>
          <w:spacing w:val="3"/>
        </w:rPr>
        <w:t xml:space="preserve"> </w:t>
      </w:r>
      <w:r>
        <w:rPr>
          <w:b/>
          <w:bCs/>
          <w:spacing w:val="-11"/>
        </w:rPr>
        <w:t>报</w:t>
      </w:r>
      <w:r>
        <w:rPr>
          <w:spacing w:val="2"/>
        </w:rPr>
        <w:t xml:space="preserve"> </w:t>
      </w:r>
      <w:r>
        <w:rPr>
          <w:b/>
          <w:bCs/>
          <w:spacing w:val="-11"/>
        </w:rPr>
        <w:t>告</w:t>
      </w:r>
      <w:r>
        <w:rPr>
          <w:spacing w:val="41"/>
        </w:rPr>
        <w:t xml:space="preserve"> </w:t>
      </w:r>
      <w:r>
        <w:rPr>
          <w:b/>
          <w:bCs/>
          <w:spacing w:val="-11"/>
        </w:rPr>
        <w:t>|</w:t>
      </w:r>
      <w:r>
        <w:rPr>
          <w:spacing w:val="9"/>
        </w:rPr>
        <w:t xml:space="preserve"> </w:t>
      </w:r>
      <w:r>
        <w:rPr>
          <w:b/>
          <w:bCs/>
          <w:spacing w:val="-11"/>
        </w:rPr>
        <w:t>策</w:t>
      </w:r>
      <w:r>
        <w:rPr>
          <w:spacing w:val="6"/>
        </w:rPr>
        <w:t xml:space="preserve"> </w:t>
      </w:r>
      <w:r>
        <w:rPr>
          <w:b/>
          <w:bCs/>
          <w:spacing w:val="-11"/>
        </w:rPr>
        <w:t>略</w:t>
      </w:r>
      <w:r>
        <w:rPr>
          <w:spacing w:val="3"/>
        </w:rPr>
        <w:t xml:space="preserve"> </w:t>
      </w:r>
      <w:r>
        <w:rPr>
          <w:b/>
          <w:bCs/>
          <w:spacing w:val="-11"/>
        </w:rPr>
        <w:t>报</w:t>
      </w:r>
      <w:r>
        <w:rPr>
          <w:spacing w:val="2"/>
        </w:rPr>
        <w:t xml:space="preserve"> </w:t>
      </w:r>
      <w:r>
        <w:rPr>
          <w:b/>
          <w:bCs/>
          <w:spacing w:val="-11"/>
        </w:rPr>
        <w:t>告</w:t>
      </w:r>
    </w:p>
    <w:p>
      <w:pPr>
        <w:spacing w:before="2"/>
      </w:pPr>
    </w:p>
    <w:tbl>
      <w:tblPr>
        <w:tblStyle w:val="TableNormal0"/>
        <w:tblW w:w="8819" w:type="dxa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35"/>
        <w:gridCol w:w="779"/>
        <w:gridCol w:w="829"/>
        <w:gridCol w:w="679"/>
        <w:gridCol w:w="769"/>
        <w:gridCol w:w="679"/>
        <w:gridCol w:w="699"/>
        <w:gridCol w:w="769"/>
        <w:gridCol w:w="729"/>
        <w:gridCol w:w="759"/>
        <w:gridCol w:w="759"/>
        <w:gridCol w:w="834"/>
      </w:tblGrid>
      <w:tr>
        <w:tblPrEx>
          <w:tblW w:w="8819" w:type="dxa"/>
          <w:tblInd w:w="12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34"/>
        </w:trPr>
        <w:tc>
          <w:tcPr>
            <w:tcW w:w="8819" w:type="dxa"/>
            <w:gridSpan w:val="12"/>
            <w:shd w:val="clear" w:color="auto" w:fill="9F031E"/>
            <w:vAlign w:val="top"/>
          </w:tcPr>
          <w:p>
            <w:pPr>
              <w:spacing w:before="68" w:line="221" w:lineRule="auto"/>
              <w:ind w:left="5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13"/>
                <w:sz w:val="13"/>
                <w:szCs w:val="13"/>
              </w:rPr>
              <w:t>分美</w:t>
            </w:r>
            <w:r>
              <w:rPr>
                <w:rFonts w:ascii="SimSun" w:eastAsia="SimSun" w:hAnsi="SimSun" w:cs="SimSun"/>
                <w:color w:val="FFFFFF"/>
                <w:spacing w:val="9"/>
                <w:sz w:val="13"/>
                <w:szCs w:val="13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13"/>
                <w:sz w:val="13"/>
                <w:szCs w:val="13"/>
              </w:rPr>
              <w:t>指数</w:t>
            </w:r>
            <w:r>
              <w:rPr>
                <w:rFonts w:ascii="SimSun" w:eastAsia="SimSun" w:hAnsi="SimSun" w:cs="SimSun"/>
                <w:color w:val="FFFFFF"/>
                <w:spacing w:val="13"/>
                <w:sz w:val="13"/>
                <w:szCs w:val="13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13"/>
                <w:sz w:val="13"/>
                <w:szCs w:val="13"/>
              </w:rPr>
              <w:t>2023年5月2023年6月2023年7月2023年8月</w:t>
            </w:r>
            <w:r>
              <w:rPr>
                <w:rFonts w:ascii="SimSun" w:eastAsia="SimSun" w:hAnsi="SimSun" w:cs="SimSun"/>
                <w:color w:val="FFFFFF"/>
                <w:spacing w:val="13"/>
                <w:sz w:val="13"/>
                <w:szCs w:val="13"/>
              </w:rPr>
              <w:t>2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13"/>
                <w:sz w:val="13"/>
                <w:szCs w:val="13"/>
              </w:rPr>
              <w:t>023年9月</w:t>
            </w:r>
            <w:r>
              <w:rPr>
                <w:rFonts w:ascii="SimSun" w:eastAsia="SimSun" w:hAnsi="SimSun" w:cs="SimSun"/>
                <w:color w:val="FFFFFF"/>
                <w:spacing w:val="13"/>
                <w:sz w:val="13"/>
                <w:szCs w:val="13"/>
              </w:rPr>
              <w:t>2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12"/>
                <w:sz w:val="13"/>
                <w:szCs w:val="13"/>
              </w:rPr>
              <w:t>023年10月2023年11月2023年12月</w:t>
            </w:r>
            <w:r>
              <w:rPr>
                <w:rFonts w:ascii="SimSun" w:eastAsia="SimSun" w:hAnsi="SimSun" w:cs="SimSun"/>
                <w:color w:val="FFFFFF"/>
                <w:spacing w:val="12"/>
                <w:sz w:val="13"/>
                <w:szCs w:val="13"/>
              </w:rPr>
              <w:t>2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12"/>
                <w:sz w:val="13"/>
                <w:szCs w:val="13"/>
              </w:rPr>
              <w:t>024年1月</w:t>
            </w:r>
            <w:r>
              <w:rPr>
                <w:rFonts w:ascii="SimSun" w:eastAsia="SimSun" w:hAnsi="SimSun" w:cs="SimSun"/>
                <w:color w:val="FFFFFF"/>
                <w:spacing w:val="19"/>
                <w:sz w:val="13"/>
                <w:szCs w:val="13"/>
              </w:rPr>
              <w:t xml:space="preserve">  </w:t>
            </w:r>
            <w:r>
              <w:rPr>
                <w:rFonts w:ascii="SimSun" w:eastAsia="SimSun" w:hAnsi="SimSun" w:cs="SimSun"/>
                <w:color w:val="FFFFFF"/>
                <w:spacing w:val="12"/>
                <w:sz w:val="13"/>
                <w:szCs w:val="13"/>
              </w:rPr>
              <w:t>2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12"/>
                <w:sz w:val="13"/>
                <w:szCs w:val="13"/>
              </w:rPr>
              <w:t>024年2月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0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spacing w:before="42" w:line="219" w:lineRule="auto"/>
              <w:ind w:left="12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风格</w:t>
            </w:r>
          </w:p>
        </w:tc>
        <w:tc>
          <w:tcPr>
            <w:tcW w:w="779" w:type="dxa"/>
            <w:vAlign w:val="top"/>
          </w:tcPr>
          <w:p>
            <w:pPr>
              <w:spacing w:before="17" w:line="203" w:lineRule="auto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金融</w:t>
            </w:r>
          </w:p>
        </w:tc>
        <w:tc>
          <w:tcPr>
            <w:tcW w:w="829" w:type="dxa"/>
            <w:shd w:val="clear" w:color="auto" w:fill="B5DEBF"/>
            <w:vAlign w:val="top"/>
          </w:tcPr>
          <w:p>
            <w:pPr>
              <w:spacing w:before="49" w:line="111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-3.66</w:t>
            </w:r>
          </w:p>
        </w:tc>
        <w:tc>
          <w:tcPr>
            <w:tcW w:w="679" w:type="dxa"/>
            <w:shd w:val="clear" w:color="auto" w:fill="EEF8F6"/>
            <w:vAlign w:val="top"/>
          </w:tcPr>
          <w:p>
            <w:pPr>
              <w:spacing w:before="49" w:line="111" w:lineRule="exact"/>
              <w:ind w:left="16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-0.50</w:t>
            </w:r>
          </w:p>
        </w:tc>
        <w:tc>
          <w:tcPr>
            <w:tcW w:w="1448" w:type="dxa"/>
            <w:gridSpan w:val="2"/>
            <w:shd w:val="clear" w:color="auto" w:fill="F3686A"/>
            <w:vAlign w:val="top"/>
          </w:tcPr>
          <w:p>
            <w:pPr>
              <w:spacing w:before="49" w:line="157" w:lineRule="auto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 xml:space="preserve">12.21      </w:t>
            </w:r>
            <w:r>
              <w:rPr>
                <w:rFonts w:ascii="SimSun" w:eastAsia="SimSun" w:hAnsi="SimSun" w:cs="SimSun"/>
                <w:color w:val="00CA43"/>
                <w:spacing w:val="-2"/>
                <w:sz w:val="13"/>
                <w:szCs w:val="13"/>
              </w:rPr>
              <w:t>-6.02</w:t>
            </w:r>
          </w:p>
        </w:tc>
        <w:tc>
          <w:tcPr>
            <w:tcW w:w="699" w:type="dxa"/>
            <w:vAlign w:val="top"/>
          </w:tcPr>
          <w:p>
            <w:pPr>
              <w:spacing w:before="49" w:line="157" w:lineRule="auto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-0.10</w:t>
            </w:r>
          </w:p>
        </w:tc>
        <w:tc>
          <w:tcPr>
            <w:tcW w:w="769" w:type="dxa"/>
            <w:shd w:val="clear" w:color="auto" w:fill="BEE2CA"/>
            <w:vAlign w:val="top"/>
          </w:tcPr>
          <w:p>
            <w:pPr>
              <w:spacing w:before="49" w:line="157" w:lineRule="auto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9D2F"/>
                <w:spacing w:val="-1"/>
                <w:sz w:val="13"/>
                <w:szCs w:val="13"/>
              </w:rPr>
              <w:t>-3.21</w:t>
            </w:r>
          </w:p>
        </w:tc>
        <w:tc>
          <w:tcPr>
            <w:tcW w:w="729" w:type="dxa"/>
            <w:shd w:val="clear" w:color="auto" w:fill="C7E6D1"/>
            <w:vAlign w:val="top"/>
          </w:tcPr>
          <w:p>
            <w:pPr>
              <w:spacing w:before="49" w:line="111" w:lineRule="exact"/>
              <w:ind w:left="19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-2.68</w:t>
            </w:r>
          </w:p>
        </w:tc>
        <w:tc>
          <w:tcPr>
            <w:tcW w:w="759" w:type="dxa"/>
            <w:shd w:val="clear" w:color="auto" w:fill="95D3A7"/>
            <w:vAlign w:val="top"/>
          </w:tcPr>
          <w:p>
            <w:pPr>
              <w:spacing w:before="49" w:line="111" w:lineRule="exact"/>
              <w:ind w:left="24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-2.3</w:t>
            </w:r>
          </w:p>
        </w:tc>
        <w:tc>
          <w:tcPr>
            <w:tcW w:w="759" w:type="dxa"/>
            <w:shd w:val="clear" w:color="auto" w:fill="F8E1E4"/>
            <w:vAlign w:val="top"/>
          </w:tcPr>
          <w:p>
            <w:pPr>
              <w:spacing w:before="49" w:line="111" w:lineRule="exact"/>
              <w:ind w:left="24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B4989C"/>
                <w:spacing w:val="-2"/>
                <w:position w:val="-1"/>
                <w:sz w:val="13"/>
                <w:szCs w:val="13"/>
              </w:rPr>
              <w:t>0.40</w:t>
            </w:r>
          </w:p>
        </w:tc>
        <w:tc>
          <w:tcPr>
            <w:tcW w:w="834" w:type="dxa"/>
            <w:shd w:val="clear" w:color="auto" w:fill="F6C8CB"/>
            <w:vAlign w:val="top"/>
          </w:tcPr>
          <w:p>
            <w:pPr>
              <w:spacing w:before="49" w:line="157" w:lineRule="auto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4.10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0"/>
        </w:trPr>
        <w:tc>
          <w:tcPr>
            <w:tcW w:w="53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17" w:line="203" w:lineRule="auto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周期</w:t>
            </w:r>
          </w:p>
        </w:tc>
        <w:tc>
          <w:tcPr>
            <w:tcW w:w="829" w:type="dxa"/>
            <w:shd w:val="clear" w:color="auto" w:fill="A8D8B5"/>
            <w:vAlign w:val="top"/>
          </w:tcPr>
          <w:p>
            <w:pPr>
              <w:spacing w:before="49" w:line="157" w:lineRule="auto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-4.41</w:t>
            </w:r>
          </w:p>
        </w:tc>
        <w:tc>
          <w:tcPr>
            <w:tcW w:w="679" w:type="dxa"/>
            <w:shd w:val="clear" w:color="auto" w:fill="F6C6C9"/>
            <w:vAlign w:val="top"/>
          </w:tcPr>
          <w:p>
            <w:pPr>
              <w:spacing w:before="49" w:line="157" w:lineRule="auto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4.11</w:t>
            </w:r>
          </w:p>
        </w:tc>
        <w:tc>
          <w:tcPr>
            <w:tcW w:w="769" w:type="dxa"/>
            <w:shd w:val="clear" w:color="auto" w:fill="F8C4C5"/>
            <w:vAlign w:val="top"/>
          </w:tcPr>
          <w:p>
            <w:pPr>
              <w:spacing w:before="49" w:line="111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4.65</w:t>
            </w:r>
          </w:p>
        </w:tc>
        <w:tc>
          <w:tcPr>
            <w:tcW w:w="679" w:type="dxa"/>
            <w:shd w:val="clear" w:color="auto" w:fill="8DCD9D"/>
            <w:vAlign w:val="top"/>
          </w:tcPr>
          <w:p>
            <w:pPr>
              <w:spacing w:before="49" w:line="111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-5.93</w:t>
            </w:r>
          </w:p>
        </w:tc>
        <w:tc>
          <w:tcPr>
            <w:tcW w:w="699" w:type="dxa"/>
            <w:vAlign w:val="top"/>
          </w:tcPr>
          <w:p>
            <w:pPr>
              <w:spacing w:before="49" w:line="157" w:lineRule="auto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0.81</w:t>
            </w:r>
          </w:p>
        </w:tc>
        <w:tc>
          <w:tcPr>
            <w:tcW w:w="769" w:type="dxa"/>
            <w:shd w:val="clear" w:color="auto" w:fill="DFEDE4"/>
            <w:vAlign w:val="top"/>
          </w:tcPr>
          <w:p>
            <w:pPr>
              <w:spacing w:before="49" w:line="157" w:lineRule="auto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-1.60</w:t>
            </w:r>
          </w:p>
        </w:tc>
        <w:tc>
          <w:tcPr>
            <w:tcW w:w="729" w:type="dxa"/>
            <w:vAlign w:val="top"/>
          </w:tcPr>
          <w:p>
            <w:pPr>
              <w:spacing w:before="49" w:line="111" w:lineRule="exact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0.70</w:t>
            </w:r>
          </w:p>
        </w:tc>
        <w:tc>
          <w:tcPr>
            <w:tcW w:w="759" w:type="dxa"/>
            <w:shd w:val="clear" w:color="auto" w:fill="A7D7B5"/>
            <w:vAlign w:val="top"/>
          </w:tcPr>
          <w:p>
            <w:pPr>
              <w:spacing w:before="49" w:line="111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-2.00</w:t>
            </w:r>
          </w:p>
        </w:tc>
        <w:tc>
          <w:tcPr>
            <w:tcW w:w="759" w:type="dxa"/>
            <w:shd w:val="clear" w:color="auto" w:fill="ADDAB7"/>
            <w:vAlign w:val="top"/>
          </w:tcPr>
          <w:p>
            <w:pPr>
              <w:spacing w:before="49" w:line="157" w:lineRule="auto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-11.21</w:t>
            </w:r>
          </w:p>
        </w:tc>
        <w:tc>
          <w:tcPr>
            <w:tcW w:w="834" w:type="dxa"/>
            <w:shd w:val="clear" w:color="auto" w:fill="F99597"/>
            <w:vAlign w:val="top"/>
          </w:tcPr>
          <w:p>
            <w:pPr>
              <w:spacing w:before="49" w:line="157" w:lineRule="auto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8.13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69"/>
        </w:trPr>
        <w:tc>
          <w:tcPr>
            <w:tcW w:w="53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17" w:line="201" w:lineRule="auto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消要</w:t>
            </w:r>
          </w:p>
        </w:tc>
        <w:tc>
          <w:tcPr>
            <w:tcW w:w="829" w:type="dxa"/>
            <w:shd w:val="clear" w:color="auto" w:fill="91CFA0"/>
            <w:vAlign w:val="top"/>
          </w:tcPr>
          <w:p>
            <w:pPr>
              <w:spacing w:before="49" w:line="110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-5.67</w:t>
            </w:r>
          </w:p>
        </w:tc>
        <w:tc>
          <w:tcPr>
            <w:tcW w:w="679" w:type="dxa"/>
            <w:shd w:val="clear" w:color="auto" w:fill="FCEFF3"/>
            <w:vAlign w:val="top"/>
          </w:tcPr>
          <w:p>
            <w:pPr>
              <w:spacing w:before="49" w:line="110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1.07</w:t>
            </w:r>
          </w:p>
        </w:tc>
        <w:tc>
          <w:tcPr>
            <w:tcW w:w="769" w:type="dxa"/>
            <w:shd w:val="clear" w:color="auto" w:fill="F9CED0"/>
            <w:vAlign w:val="top"/>
          </w:tcPr>
          <w:p>
            <w:pPr>
              <w:spacing w:before="49" w:line="110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3.88</w:t>
            </w:r>
          </w:p>
        </w:tc>
        <w:tc>
          <w:tcPr>
            <w:tcW w:w="679" w:type="dxa"/>
            <w:shd w:val="clear" w:color="auto" w:fill="97D1A9"/>
            <w:vAlign w:val="top"/>
          </w:tcPr>
          <w:p>
            <w:pPr>
              <w:spacing w:before="49" w:line="110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-5.38</w:t>
            </w:r>
          </w:p>
        </w:tc>
        <w:tc>
          <w:tcPr>
            <w:tcW w:w="699" w:type="dxa"/>
            <w:vAlign w:val="top"/>
          </w:tcPr>
          <w:p>
            <w:pPr>
              <w:spacing w:before="49" w:line="110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-0.03</w:t>
            </w:r>
          </w:p>
        </w:tc>
        <w:tc>
          <w:tcPr>
            <w:tcW w:w="769" w:type="dxa"/>
            <w:shd w:val="clear" w:color="auto" w:fill="DAEBE1"/>
            <w:vAlign w:val="top"/>
          </w:tcPr>
          <w:p>
            <w:pPr>
              <w:spacing w:before="49" w:line="110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-1.86</w:t>
            </w:r>
          </w:p>
        </w:tc>
        <w:tc>
          <w:tcPr>
            <w:tcW w:w="729" w:type="dxa"/>
            <w:shd w:val="clear" w:color="auto" w:fill="FBE7E8"/>
            <w:vAlign w:val="top"/>
          </w:tcPr>
          <w:p>
            <w:pPr>
              <w:spacing w:before="49" w:line="110" w:lineRule="exact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1.82</w:t>
            </w:r>
          </w:p>
        </w:tc>
        <w:tc>
          <w:tcPr>
            <w:tcW w:w="759" w:type="dxa"/>
            <w:shd w:val="clear" w:color="auto" w:fill="61BD7B"/>
            <w:vAlign w:val="top"/>
          </w:tcPr>
          <w:p>
            <w:pPr>
              <w:spacing w:before="49" w:line="110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-3.5%</w:t>
            </w:r>
          </w:p>
        </w:tc>
        <w:tc>
          <w:tcPr>
            <w:tcW w:w="759" w:type="dxa"/>
            <w:shd w:val="clear" w:color="auto" w:fill="ABD6B7"/>
            <w:vAlign w:val="top"/>
          </w:tcPr>
          <w:p>
            <w:pPr>
              <w:spacing w:before="49" w:line="110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-11.80</w:t>
            </w:r>
          </w:p>
        </w:tc>
        <w:tc>
          <w:tcPr>
            <w:tcW w:w="834" w:type="dxa"/>
            <w:shd w:val="clear" w:color="auto" w:fill="FB9D9F"/>
            <w:vAlign w:val="top"/>
          </w:tcPr>
          <w:p>
            <w:pPr>
              <w:spacing w:before="49" w:line="110" w:lineRule="exact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1.42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9"/>
        </w:trPr>
        <w:tc>
          <w:tcPr>
            <w:tcW w:w="53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28" w:line="200" w:lineRule="auto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成长</w:t>
            </w:r>
          </w:p>
        </w:tc>
        <w:tc>
          <w:tcPr>
            <w:tcW w:w="829" w:type="dxa"/>
            <w:shd w:val="clear" w:color="auto" w:fill="DFEEE3"/>
            <w:vAlign w:val="top"/>
          </w:tcPr>
          <w:p>
            <w:pPr>
              <w:spacing w:before="60" w:line="109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-1.49</w:t>
            </w:r>
          </w:p>
        </w:tc>
        <w:tc>
          <w:tcPr>
            <w:tcW w:w="679" w:type="dxa"/>
            <w:shd w:val="clear" w:color="auto" w:fill="FBE1E6"/>
            <w:vAlign w:val="top"/>
          </w:tcPr>
          <w:p>
            <w:pPr>
              <w:spacing w:before="60" w:line="109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1.87</w:t>
            </w:r>
          </w:p>
        </w:tc>
        <w:tc>
          <w:tcPr>
            <w:tcW w:w="769" w:type="dxa"/>
            <w:shd w:val="clear" w:color="auto" w:fill="CCE3CE"/>
            <w:vAlign w:val="top"/>
          </w:tcPr>
          <w:p>
            <w:pPr>
              <w:spacing w:before="60" w:line="109" w:lineRule="exact"/>
              <w:ind w:left="21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-2.68</w:t>
            </w:r>
          </w:p>
        </w:tc>
        <w:tc>
          <w:tcPr>
            <w:tcW w:w="679" w:type="dxa"/>
            <w:shd w:val="clear" w:color="auto" w:fill="98CFA6"/>
            <w:vAlign w:val="top"/>
          </w:tcPr>
          <w:p>
            <w:pPr>
              <w:spacing w:before="60" w:line="109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-5.46</w:t>
            </w:r>
          </w:p>
        </w:tc>
        <w:tc>
          <w:tcPr>
            <w:tcW w:w="699" w:type="dxa"/>
            <w:shd w:val="clear" w:color="auto" w:fill="C3E3CE"/>
            <w:vAlign w:val="top"/>
          </w:tcPr>
          <w:p>
            <w:pPr>
              <w:spacing w:before="60" w:line="109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9737"/>
                <w:spacing w:val="-1"/>
                <w:position w:val="-1"/>
                <w:sz w:val="13"/>
                <w:szCs w:val="13"/>
              </w:rPr>
              <w:t>-3.11</w:t>
            </w:r>
          </w:p>
        </w:tc>
        <w:tc>
          <w:tcPr>
            <w:tcW w:w="769" w:type="dxa"/>
            <w:shd w:val="clear" w:color="auto" w:fill="D5E9DB"/>
            <w:vAlign w:val="top"/>
          </w:tcPr>
          <w:p>
            <w:pPr>
              <w:spacing w:before="60" w:line="109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-2.12</w:t>
            </w:r>
          </w:p>
        </w:tc>
        <w:tc>
          <w:tcPr>
            <w:tcW w:w="729" w:type="dxa"/>
            <w:vAlign w:val="top"/>
          </w:tcPr>
          <w:p>
            <w:pPr>
              <w:spacing w:before="60" w:line="109" w:lineRule="exact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0.49</w:t>
            </w:r>
          </w:p>
        </w:tc>
        <w:tc>
          <w:tcPr>
            <w:tcW w:w="759" w:type="dxa"/>
            <w:shd w:val="clear" w:color="auto" w:fill="C3E0CA"/>
            <w:vAlign w:val="top"/>
          </w:tcPr>
          <w:p>
            <w:pPr>
              <w:spacing w:before="60" w:line="109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9436"/>
                <w:spacing w:val="-1"/>
                <w:position w:val="-1"/>
                <w:sz w:val="13"/>
                <w:szCs w:val="13"/>
              </w:rPr>
              <w:t>-1.35</w:t>
            </w:r>
          </w:p>
        </w:tc>
        <w:tc>
          <w:tcPr>
            <w:tcW w:w="759" w:type="dxa"/>
            <w:shd w:val="clear" w:color="auto" w:fill="6FC082"/>
            <w:vAlign w:val="top"/>
          </w:tcPr>
          <w:p>
            <w:pPr>
              <w:spacing w:before="60" w:line="109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-20.20</w:t>
            </w:r>
          </w:p>
        </w:tc>
        <w:tc>
          <w:tcPr>
            <w:tcW w:w="834" w:type="dxa"/>
            <w:shd w:val="clear" w:color="auto" w:fill="F76F70"/>
            <w:vAlign w:val="top"/>
          </w:tcPr>
          <w:p>
            <w:pPr>
              <w:spacing w:before="60" w:line="109" w:lineRule="exact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11.03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0"/>
        </w:trPr>
        <w:tc>
          <w:tcPr>
            <w:tcW w:w="53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18" w:line="201" w:lineRule="auto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稳定</w:t>
            </w:r>
          </w:p>
        </w:tc>
        <w:tc>
          <w:tcPr>
            <w:tcW w:w="829" w:type="dxa"/>
            <w:shd w:val="clear" w:color="auto" w:fill="DBEBE0"/>
            <w:vAlign w:val="top"/>
          </w:tcPr>
          <w:p>
            <w:pPr>
              <w:spacing w:before="51" w:line="108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-1.74</w:t>
            </w:r>
          </w:p>
        </w:tc>
        <w:tc>
          <w:tcPr>
            <w:tcW w:w="679" w:type="dxa"/>
            <w:shd w:val="clear" w:color="auto" w:fill="D9EADD"/>
            <w:vAlign w:val="top"/>
          </w:tcPr>
          <w:p>
            <w:pPr>
              <w:spacing w:before="51" w:line="108" w:lineRule="exact"/>
              <w:ind w:left="16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-1.93</w:t>
            </w:r>
          </w:p>
        </w:tc>
        <w:tc>
          <w:tcPr>
            <w:tcW w:w="769" w:type="dxa"/>
            <w:shd w:val="clear" w:color="auto" w:fill="FADADC"/>
            <w:vAlign w:val="top"/>
          </w:tcPr>
          <w:p>
            <w:pPr>
              <w:spacing w:before="51" w:line="108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2.69</w:t>
            </w:r>
          </w:p>
        </w:tc>
        <w:tc>
          <w:tcPr>
            <w:tcW w:w="679" w:type="dxa"/>
            <w:shd w:val="clear" w:color="auto" w:fill="90CEA0"/>
            <w:vAlign w:val="top"/>
          </w:tcPr>
          <w:p>
            <w:pPr>
              <w:spacing w:before="51" w:line="108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-5.78</w:t>
            </w:r>
          </w:p>
        </w:tc>
        <w:tc>
          <w:tcPr>
            <w:tcW w:w="699" w:type="dxa"/>
            <w:vAlign w:val="top"/>
          </w:tcPr>
          <w:p>
            <w:pPr>
              <w:spacing w:before="51" w:line="108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-0.43</w:t>
            </w:r>
          </w:p>
        </w:tc>
        <w:tc>
          <w:tcPr>
            <w:tcW w:w="769" w:type="dxa"/>
            <w:shd w:val="clear" w:color="auto" w:fill="C4DFCA"/>
            <w:vAlign w:val="top"/>
          </w:tcPr>
          <w:p>
            <w:pPr>
              <w:spacing w:before="51" w:line="108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9D2A"/>
                <w:spacing w:val="-1"/>
                <w:position w:val="-1"/>
                <w:sz w:val="13"/>
                <w:szCs w:val="13"/>
              </w:rPr>
              <w:t>-3.19</w:t>
            </w:r>
          </w:p>
        </w:tc>
        <w:tc>
          <w:tcPr>
            <w:tcW w:w="729" w:type="dxa"/>
            <w:vAlign w:val="top"/>
          </w:tcPr>
          <w:p>
            <w:pPr>
              <w:spacing w:before="51" w:line="108" w:lineRule="exact"/>
              <w:ind w:left="19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-0.26</w:t>
            </w:r>
          </w:p>
        </w:tc>
        <w:tc>
          <w:tcPr>
            <w:tcW w:w="759" w:type="dxa"/>
            <w:vAlign w:val="top"/>
          </w:tcPr>
          <w:p>
            <w:pPr>
              <w:spacing w:before="51" w:line="108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-0.26</w:t>
            </w:r>
          </w:p>
        </w:tc>
        <w:tc>
          <w:tcPr>
            <w:tcW w:w="759" w:type="dxa"/>
            <w:shd w:val="clear" w:color="auto" w:fill="F7D1D6"/>
            <w:vAlign w:val="top"/>
          </w:tcPr>
          <w:p>
            <w:pPr>
              <w:spacing w:before="51" w:line="108" w:lineRule="exact"/>
              <w:ind w:left="24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0.60</w:t>
            </w:r>
          </w:p>
        </w:tc>
        <w:tc>
          <w:tcPr>
            <w:tcW w:w="834" w:type="dxa"/>
            <w:shd w:val="clear" w:color="auto" w:fill="FAE2E5"/>
            <w:vAlign w:val="top"/>
          </w:tcPr>
          <w:p>
            <w:pPr>
              <w:spacing w:before="51" w:line="108" w:lineRule="exact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1.78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9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>
            <w:pPr>
              <w:spacing w:before="218" w:line="219" w:lineRule="auto"/>
              <w:ind w:left="12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规模</w:t>
            </w:r>
          </w:p>
        </w:tc>
        <w:tc>
          <w:tcPr>
            <w:tcW w:w="779" w:type="dxa"/>
            <w:vAlign w:val="top"/>
          </w:tcPr>
          <w:p>
            <w:pPr>
              <w:spacing w:before="28" w:line="200" w:lineRule="auto"/>
              <w:ind w:left="11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大盘指数</w:t>
            </w:r>
          </w:p>
        </w:tc>
        <w:tc>
          <w:tcPr>
            <w:tcW w:w="829" w:type="dxa"/>
            <w:shd w:val="clear" w:color="auto" w:fill="90CF9F"/>
            <w:vAlign w:val="top"/>
          </w:tcPr>
          <w:p>
            <w:pPr>
              <w:spacing w:before="61" w:line="108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-5.86</w:t>
            </w:r>
          </w:p>
        </w:tc>
        <w:tc>
          <w:tcPr>
            <w:tcW w:w="679" w:type="dxa"/>
            <w:shd w:val="clear" w:color="auto" w:fill="FBE8E8"/>
            <w:vAlign w:val="top"/>
          </w:tcPr>
          <w:p>
            <w:pPr>
              <w:spacing w:before="61" w:line="108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1.48</w:t>
            </w:r>
          </w:p>
        </w:tc>
        <w:tc>
          <w:tcPr>
            <w:tcW w:w="769" w:type="dxa"/>
            <w:shd w:val="clear" w:color="auto" w:fill="F9C0C1"/>
            <w:vAlign w:val="top"/>
          </w:tcPr>
          <w:p>
            <w:pPr>
              <w:spacing w:before="61" w:line="108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4.88</w:t>
            </w:r>
          </w:p>
        </w:tc>
        <w:tc>
          <w:tcPr>
            <w:tcW w:w="679" w:type="dxa"/>
            <w:shd w:val="clear" w:color="auto" w:fill="86C795"/>
            <w:vAlign w:val="top"/>
          </w:tcPr>
          <w:p>
            <w:pPr>
              <w:spacing w:before="61" w:line="108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-6.42</w:t>
            </w:r>
          </w:p>
        </w:tc>
        <w:tc>
          <w:tcPr>
            <w:tcW w:w="699" w:type="dxa"/>
            <w:shd w:val="clear" w:color="auto" w:fill="D7EBDE"/>
            <w:vAlign w:val="top"/>
          </w:tcPr>
          <w:p>
            <w:pPr>
              <w:spacing w:before="61" w:line="108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-2.07</w:t>
            </w:r>
          </w:p>
        </w:tc>
        <w:tc>
          <w:tcPr>
            <w:tcW w:w="769" w:type="dxa"/>
            <w:shd w:val="clear" w:color="auto" w:fill="C2E0CB"/>
            <w:vAlign w:val="top"/>
          </w:tcPr>
          <w:p>
            <w:pPr>
              <w:spacing w:before="61" w:line="108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A542"/>
                <w:spacing w:val="-1"/>
                <w:position w:val="-1"/>
                <w:sz w:val="13"/>
                <w:szCs w:val="13"/>
              </w:rPr>
              <w:t>-3.20</w:t>
            </w:r>
          </w:p>
        </w:tc>
        <w:tc>
          <w:tcPr>
            <w:tcW w:w="729" w:type="dxa"/>
            <w:shd w:val="clear" w:color="auto" w:fill="CFE7D8"/>
            <w:vAlign w:val="top"/>
          </w:tcPr>
          <w:p>
            <w:pPr>
              <w:spacing w:before="61" w:line="108" w:lineRule="exact"/>
              <w:ind w:left="19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-2.37</w:t>
            </w:r>
          </w:p>
        </w:tc>
        <w:tc>
          <w:tcPr>
            <w:tcW w:w="759" w:type="dxa"/>
            <w:shd w:val="clear" w:color="auto" w:fill="C1DFC9"/>
            <w:vAlign w:val="top"/>
          </w:tcPr>
          <w:p>
            <w:pPr>
              <w:spacing w:before="61" w:line="108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9E44"/>
                <w:spacing w:val="-1"/>
                <w:position w:val="-1"/>
                <w:sz w:val="13"/>
                <w:szCs w:val="13"/>
              </w:rPr>
              <w:t>-1.42</w:t>
            </w:r>
          </w:p>
        </w:tc>
        <w:tc>
          <w:tcPr>
            <w:tcW w:w="759" w:type="dxa"/>
            <w:shd w:val="clear" w:color="auto" w:fill="D3E8D7"/>
            <w:vAlign w:val="top"/>
          </w:tcPr>
          <w:p>
            <w:pPr>
              <w:spacing w:before="61" w:line="108" w:lineRule="exact"/>
              <w:ind w:left="20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-6.09</w:t>
            </w:r>
          </w:p>
        </w:tc>
        <w:tc>
          <w:tcPr>
            <w:tcW w:w="834" w:type="dxa"/>
            <w:shd w:val="clear" w:color="auto" w:fill="F99CA3"/>
            <w:vAlign w:val="top"/>
          </w:tcPr>
          <w:p>
            <w:pPr>
              <w:spacing w:before="61" w:line="108" w:lineRule="exact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1.39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9"/>
        </w:trPr>
        <w:tc>
          <w:tcPr>
            <w:tcW w:w="53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28" w:line="199" w:lineRule="auto"/>
              <w:ind w:left="11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>中盘指数</w:t>
            </w:r>
          </w:p>
        </w:tc>
        <w:tc>
          <w:tcPr>
            <w:tcW w:w="829" w:type="dxa"/>
            <w:shd w:val="clear" w:color="auto" w:fill="AAD7B6"/>
            <w:vAlign w:val="top"/>
          </w:tcPr>
          <w:p>
            <w:pPr>
              <w:spacing w:before="62" w:line="107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-4.31</w:t>
            </w:r>
          </w:p>
        </w:tc>
        <w:tc>
          <w:tcPr>
            <w:tcW w:w="679" w:type="dxa"/>
            <w:vAlign w:val="top"/>
          </w:tcPr>
          <w:p>
            <w:pPr>
              <w:spacing w:before="62" w:line="107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0.64</w:t>
            </w:r>
          </w:p>
        </w:tc>
        <w:tc>
          <w:tcPr>
            <w:tcW w:w="769" w:type="dxa"/>
            <w:shd w:val="clear" w:color="auto" w:fill="F8E5E9"/>
            <w:vAlign w:val="top"/>
          </w:tcPr>
          <w:p>
            <w:pPr>
              <w:spacing w:before="62" w:line="107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1.88</w:t>
            </w:r>
          </w:p>
        </w:tc>
        <w:tc>
          <w:tcPr>
            <w:tcW w:w="679" w:type="dxa"/>
            <w:shd w:val="clear" w:color="auto" w:fill="83CB95"/>
            <w:vAlign w:val="top"/>
          </w:tcPr>
          <w:p>
            <w:pPr>
              <w:spacing w:before="62" w:line="107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-6.35</w:t>
            </w:r>
          </w:p>
        </w:tc>
        <w:tc>
          <w:tcPr>
            <w:tcW w:w="699" w:type="dxa"/>
            <w:shd w:val="clear" w:color="auto" w:fill="E7F4EE"/>
            <w:vAlign w:val="top"/>
          </w:tcPr>
          <w:p>
            <w:pPr>
              <w:spacing w:before="62" w:line="107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-1.00</w:t>
            </w:r>
          </w:p>
        </w:tc>
        <w:tc>
          <w:tcPr>
            <w:tcW w:w="769" w:type="dxa"/>
            <w:shd w:val="clear" w:color="auto" w:fill="C4E4CF"/>
            <w:vAlign w:val="top"/>
          </w:tcPr>
          <w:p>
            <w:pPr>
              <w:spacing w:before="62" w:line="107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A33C"/>
                <w:spacing w:val="-1"/>
                <w:position w:val="-1"/>
                <w:sz w:val="13"/>
                <w:szCs w:val="13"/>
              </w:rPr>
              <w:t>-2.95</w:t>
            </w:r>
          </w:p>
        </w:tc>
        <w:tc>
          <w:tcPr>
            <w:tcW w:w="729" w:type="dxa"/>
            <w:vAlign w:val="top"/>
          </w:tcPr>
          <w:p>
            <w:pPr>
              <w:spacing w:before="62" w:line="107" w:lineRule="exact"/>
              <w:ind w:left="19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-0.50</w:t>
            </w:r>
          </w:p>
        </w:tc>
        <w:tc>
          <w:tcPr>
            <w:tcW w:w="759" w:type="dxa"/>
            <w:shd w:val="clear" w:color="auto" w:fill="87CC97"/>
            <w:vAlign w:val="top"/>
          </w:tcPr>
          <w:p>
            <w:pPr>
              <w:spacing w:before="62" w:line="107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-2.67</w:t>
            </w:r>
          </w:p>
        </w:tc>
        <w:tc>
          <w:tcPr>
            <w:tcW w:w="759" w:type="dxa"/>
            <w:shd w:val="clear" w:color="auto" w:fill="A2D7B1"/>
            <w:vAlign w:val="top"/>
          </w:tcPr>
          <w:p>
            <w:pPr>
              <w:spacing w:before="62" w:line="107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-12.82</w:t>
            </w:r>
          </w:p>
        </w:tc>
        <w:tc>
          <w:tcPr>
            <w:tcW w:w="834" w:type="dxa"/>
            <w:shd w:val="clear" w:color="auto" w:fill="F77678"/>
            <w:vAlign w:val="top"/>
          </w:tcPr>
          <w:p>
            <w:pPr>
              <w:spacing w:before="62" w:line="107" w:lineRule="exact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10.54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80"/>
        </w:trPr>
        <w:tc>
          <w:tcPr>
            <w:tcW w:w="53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30" w:line="198" w:lineRule="auto"/>
              <w:ind w:left="11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小盘指数</w:t>
            </w:r>
          </w:p>
        </w:tc>
        <w:tc>
          <w:tcPr>
            <w:tcW w:w="829" w:type="dxa"/>
            <w:shd w:val="clear" w:color="auto" w:fill="CFE8D8"/>
            <w:vAlign w:val="top"/>
          </w:tcPr>
          <w:p>
            <w:pPr>
              <w:spacing w:before="63" w:line="106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-2.49</w:t>
            </w:r>
          </w:p>
        </w:tc>
        <w:tc>
          <w:tcPr>
            <w:tcW w:w="679" w:type="dxa"/>
            <w:vAlign w:val="top"/>
          </w:tcPr>
          <w:p>
            <w:pPr>
              <w:spacing w:before="63" w:line="106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0.36</w:t>
            </w:r>
          </w:p>
        </w:tc>
        <w:tc>
          <w:tcPr>
            <w:tcW w:w="769" w:type="dxa"/>
            <w:vAlign w:val="top"/>
          </w:tcPr>
          <w:p>
            <w:pPr>
              <w:spacing w:before="63" w:line="106" w:lineRule="exact"/>
              <w:ind w:left="21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-0.55</w:t>
            </w:r>
          </w:p>
        </w:tc>
        <w:tc>
          <w:tcPr>
            <w:tcW w:w="679" w:type="dxa"/>
            <w:shd w:val="clear" w:color="auto" w:fill="89CB9B"/>
            <w:vAlign w:val="top"/>
          </w:tcPr>
          <w:p>
            <w:pPr>
              <w:spacing w:before="63" w:line="106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-6.20</w:t>
            </w:r>
          </w:p>
        </w:tc>
        <w:tc>
          <w:tcPr>
            <w:tcW w:w="699" w:type="dxa"/>
            <w:vAlign w:val="top"/>
          </w:tcPr>
          <w:p>
            <w:pPr>
              <w:spacing w:before="63" w:line="106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-0.18</w:t>
            </w:r>
          </w:p>
        </w:tc>
        <w:tc>
          <w:tcPr>
            <w:tcW w:w="769" w:type="dxa"/>
            <w:shd w:val="clear" w:color="auto" w:fill="D6EBDD"/>
            <w:vAlign w:val="top"/>
          </w:tcPr>
          <w:p>
            <w:pPr>
              <w:spacing w:before="63" w:line="106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-2.08</w:t>
            </w:r>
          </w:p>
        </w:tc>
        <w:tc>
          <w:tcPr>
            <w:tcW w:w="729" w:type="dxa"/>
            <w:shd w:val="clear" w:color="auto" w:fill="FAEDEE"/>
            <w:vAlign w:val="top"/>
          </w:tcPr>
          <w:p>
            <w:pPr>
              <w:spacing w:before="63" w:line="106" w:lineRule="exact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1.26</w:t>
            </w:r>
          </w:p>
        </w:tc>
        <w:tc>
          <w:tcPr>
            <w:tcW w:w="759" w:type="dxa"/>
            <w:shd w:val="clear" w:color="auto" w:fill="8BCC9D"/>
            <w:vAlign w:val="top"/>
          </w:tcPr>
          <w:p>
            <w:pPr>
              <w:spacing w:before="63" w:line="106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-2.63</w:t>
            </w:r>
          </w:p>
        </w:tc>
        <w:tc>
          <w:tcPr>
            <w:tcW w:w="759" w:type="dxa"/>
            <w:shd w:val="clear" w:color="auto" w:fill="84C896"/>
            <w:vAlign w:val="top"/>
          </w:tcPr>
          <w:p>
            <w:pPr>
              <w:spacing w:before="63" w:line="106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-17.26</w:t>
            </w:r>
          </w:p>
        </w:tc>
        <w:tc>
          <w:tcPr>
            <w:tcW w:w="834" w:type="dxa"/>
            <w:shd w:val="clear" w:color="auto" w:fill="F77377"/>
            <w:vAlign w:val="top"/>
          </w:tcPr>
          <w:p>
            <w:pPr>
              <w:spacing w:before="63" w:line="106" w:lineRule="exact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10.75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0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>
            <w:pPr>
              <w:spacing w:before="210" w:line="220" w:lineRule="auto"/>
              <w:ind w:left="12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业绩</w:t>
            </w:r>
          </w:p>
        </w:tc>
        <w:tc>
          <w:tcPr>
            <w:tcW w:w="779" w:type="dxa"/>
            <w:vAlign w:val="top"/>
          </w:tcPr>
          <w:p>
            <w:pPr>
              <w:spacing w:before="19" w:line="199" w:lineRule="auto"/>
              <w:ind w:left="5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亏损最指数</w:t>
            </w:r>
          </w:p>
        </w:tc>
        <w:tc>
          <w:tcPr>
            <w:tcW w:w="829" w:type="dxa"/>
            <w:shd w:val="clear" w:color="auto" w:fill="C5E5D0"/>
            <w:vAlign w:val="top"/>
          </w:tcPr>
          <w:p>
            <w:pPr>
              <w:spacing w:before="53" w:line="106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9632"/>
                <w:spacing w:val="-1"/>
                <w:position w:val="-1"/>
                <w:sz w:val="13"/>
                <w:szCs w:val="13"/>
              </w:rPr>
              <w:t>-2.82</w:t>
            </w:r>
          </w:p>
        </w:tc>
        <w:tc>
          <w:tcPr>
            <w:tcW w:w="679" w:type="dxa"/>
            <w:vAlign w:val="top"/>
          </w:tcPr>
          <w:p>
            <w:pPr>
              <w:spacing w:before="53" w:line="106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0.56</w:t>
            </w:r>
          </w:p>
        </w:tc>
        <w:tc>
          <w:tcPr>
            <w:tcW w:w="769" w:type="dxa"/>
            <w:shd w:val="clear" w:color="auto" w:fill="FAD9D9"/>
            <w:vAlign w:val="top"/>
          </w:tcPr>
          <w:p>
            <w:pPr>
              <w:spacing w:before="53" w:line="106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3.04</w:t>
            </w:r>
          </w:p>
        </w:tc>
        <w:tc>
          <w:tcPr>
            <w:tcW w:w="679" w:type="dxa"/>
            <w:shd w:val="clear" w:color="auto" w:fill="97D0A7"/>
            <w:vAlign w:val="top"/>
          </w:tcPr>
          <w:p>
            <w:pPr>
              <w:spacing w:before="53" w:line="106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-5.34</w:t>
            </w:r>
          </w:p>
        </w:tc>
        <w:tc>
          <w:tcPr>
            <w:tcW w:w="699" w:type="dxa"/>
            <w:vAlign w:val="top"/>
          </w:tcPr>
          <w:p>
            <w:pPr>
              <w:spacing w:before="53" w:line="106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-0.43</w:t>
            </w:r>
          </w:p>
        </w:tc>
        <w:tc>
          <w:tcPr>
            <w:tcW w:w="769" w:type="dxa"/>
            <w:shd w:val="clear" w:color="auto" w:fill="FBEAEB"/>
            <w:vAlign w:val="top"/>
          </w:tcPr>
          <w:p>
            <w:pPr>
              <w:spacing w:before="53" w:line="106" w:lineRule="exact"/>
              <w:ind w:left="24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1.56</w:t>
            </w:r>
          </w:p>
        </w:tc>
        <w:tc>
          <w:tcPr>
            <w:tcW w:w="729" w:type="dxa"/>
            <w:shd w:val="clear" w:color="auto" w:fill="FAD9DD"/>
            <w:vAlign w:val="top"/>
          </w:tcPr>
          <w:p>
            <w:pPr>
              <w:spacing w:before="53" w:line="106" w:lineRule="exact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A88C8F"/>
                <w:spacing w:val="-2"/>
                <w:position w:val="-1"/>
                <w:sz w:val="13"/>
                <w:szCs w:val="13"/>
              </w:rPr>
              <w:t>2.86</w:t>
            </w:r>
          </w:p>
        </w:tc>
        <w:tc>
          <w:tcPr>
            <w:tcW w:w="759" w:type="dxa"/>
            <w:shd w:val="clear" w:color="auto" w:fill="6DBF82"/>
            <w:vAlign w:val="top"/>
          </w:tcPr>
          <w:p>
            <w:pPr>
              <w:spacing w:before="53" w:line="106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-3.35</w:t>
            </w:r>
          </w:p>
        </w:tc>
        <w:tc>
          <w:tcPr>
            <w:tcW w:w="759" w:type="dxa"/>
            <w:shd w:val="clear" w:color="auto" w:fill="73C287"/>
            <w:vAlign w:val="top"/>
          </w:tcPr>
          <w:p>
            <w:pPr>
              <w:spacing w:before="53" w:line="106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-19.51</w:t>
            </w:r>
          </w:p>
        </w:tc>
        <w:tc>
          <w:tcPr>
            <w:tcW w:w="834" w:type="dxa"/>
            <w:shd w:val="clear" w:color="auto" w:fill="F7AFB2"/>
            <w:vAlign w:val="top"/>
          </w:tcPr>
          <w:p>
            <w:pPr>
              <w:spacing w:before="53" w:line="106" w:lineRule="exact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6.03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69"/>
        </w:trPr>
        <w:tc>
          <w:tcPr>
            <w:tcW w:w="53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20" w:line="197" w:lineRule="auto"/>
              <w:ind w:left="5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微利股指数</w:t>
            </w:r>
          </w:p>
        </w:tc>
        <w:tc>
          <w:tcPr>
            <w:tcW w:w="829" w:type="dxa"/>
            <w:vAlign w:val="top"/>
          </w:tcPr>
          <w:p>
            <w:pPr>
              <w:spacing w:before="53" w:line="106" w:lineRule="exact"/>
              <w:ind w:left="27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0.79</w:t>
            </w:r>
          </w:p>
        </w:tc>
        <w:tc>
          <w:tcPr>
            <w:tcW w:w="679" w:type="dxa"/>
            <w:shd w:val="clear" w:color="auto" w:fill="F9D3D7"/>
            <w:vAlign w:val="top"/>
          </w:tcPr>
          <w:p>
            <w:pPr>
              <w:spacing w:before="53" w:line="106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3.31</w:t>
            </w:r>
          </w:p>
        </w:tc>
        <w:tc>
          <w:tcPr>
            <w:tcW w:w="769" w:type="dxa"/>
            <w:shd w:val="clear" w:color="auto" w:fill="F9E1E2"/>
            <w:vAlign w:val="top"/>
          </w:tcPr>
          <w:p>
            <w:pPr>
              <w:spacing w:before="53" w:line="106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2.24</w:t>
            </w:r>
          </w:p>
        </w:tc>
        <w:tc>
          <w:tcPr>
            <w:tcW w:w="679" w:type="dxa"/>
            <w:shd w:val="clear" w:color="auto" w:fill="6FC088"/>
            <w:vAlign w:val="top"/>
          </w:tcPr>
          <w:p>
            <w:pPr>
              <w:spacing w:before="53" w:line="106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-7.59</w:t>
            </w:r>
          </w:p>
        </w:tc>
        <w:tc>
          <w:tcPr>
            <w:tcW w:w="699" w:type="dxa"/>
            <w:shd w:val="clear" w:color="auto" w:fill="DFF0E7"/>
            <w:vAlign w:val="top"/>
          </w:tcPr>
          <w:p>
            <w:pPr>
              <w:spacing w:before="53" w:line="106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-1.43</w:t>
            </w:r>
          </w:p>
        </w:tc>
        <w:tc>
          <w:tcPr>
            <w:tcW w:w="769" w:type="dxa"/>
            <w:shd w:val="clear" w:color="auto" w:fill="FAECF1"/>
            <w:vAlign w:val="top"/>
          </w:tcPr>
          <w:p>
            <w:pPr>
              <w:spacing w:before="53" w:line="106" w:lineRule="exact"/>
              <w:ind w:left="24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1.17</w:t>
            </w:r>
          </w:p>
        </w:tc>
        <w:tc>
          <w:tcPr>
            <w:tcW w:w="729" w:type="dxa"/>
            <w:vAlign w:val="top"/>
          </w:tcPr>
          <w:p>
            <w:pPr>
              <w:spacing w:before="53" w:line="106" w:lineRule="exact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0.24</w:t>
            </w:r>
          </w:p>
        </w:tc>
        <w:tc>
          <w:tcPr>
            <w:tcW w:w="759" w:type="dxa"/>
            <w:shd w:val="clear" w:color="auto" w:fill="D1EADA"/>
            <w:vAlign w:val="top"/>
          </w:tcPr>
          <w:p>
            <w:pPr>
              <w:spacing w:before="53" w:line="106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-0.96</w:t>
            </w:r>
          </w:p>
        </w:tc>
        <w:tc>
          <w:tcPr>
            <w:tcW w:w="759" w:type="dxa"/>
            <w:shd w:val="clear" w:color="auto" w:fill="81C895"/>
            <w:vAlign w:val="top"/>
          </w:tcPr>
          <w:p>
            <w:pPr>
              <w:spacing w:before="53" w:line="106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-17.47</w:t>
            </w:r>
          </w:p>
        </w:tc>
        <w:tc>
          <w:tcPr>
            <w:tcW w:w="834" w:type="dxa"/>
            <w:shd w:val="clear" w:color="auto" w:fill="F77D81"/>
            <w:vAlign w:val="top"/>
          </w:tcPr>
          <w:p>
            <w:pPr>
              <w:spacing w:before="53" w:line="106" w:lineRule="exact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9.96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80"/>
        </w:trPr>
        <w:tc>
          <w:tcPr>
            <w:tcW w:w="53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31" w:line="197" w:lineRule="auto"/>
              <w:ind w:left="5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绩优股指数</w:t>
            </w:r>
          </w:p>
        </w:tc>
        <w:tc>
          <w:tcPr>
            <w:tcW w:w="829" w:type="dxa"/>
            <w:shd w:val="clear" w:color="auto" w:fill="62BB78"/>
            <w:vAlign w:val="top"/>
          </w:tcPr>
          <w:p>
            <w:pPr>
              <w:spacing w:before="64" w:line="106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-8.29</w:t>
            </w:r>
          </w:p>
        </w:tc>
        <w:tc>
          <w:tcPr>
            <w:tcW w:w="679" w:type="dxa"/>
            <w:vAlign w:val="top"/>
          </w:tcPr>
          <w:p>
            <w:pPr>
              <w:spacing w:before="64" w:line="106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0.73</w:t>
            </w:r>
          </w:p>
        </w:tc>
        <w:tc>
          <w:tcPr>
            <w:tcW w:w="769" w:type="dxa"/>
            <w:shd w:val="clear" w:color="auto" w:fill="F9C5C7"/>
            <w:vAlign w:val="top"/>
          </w:tcPr>
          <w:p>
            <w:pPr>
              <w:spacing w:before="64" w:line="106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4.29</w:t>
            </w:r>
          </w:p>
        </w:tc>
        <w:tc>
          <w:tcPr>
            <w:tcW w:w="679" w:type="dxa"/>
            <w:shd w:val="clear" w:color="auto" w:fill="86CA9A"/>
            <w:vAlign w:val="top"/>
          </w:tcPr>
          <w:p>
            <w:pPr>
              <w:spacing w:before="64" w:line="106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-6.32</w:t>
            </w:r>
          </w:p>
        </w:tc>
        <w:tc>
          <w:tcPr>
            <w:tcW w:w="699" w:type="dxa"/>
            <w:shd w:val="clear" w:color="auto" w:fill="D1EAD9"/>
            <w:vAlign w:val="top"/>
          </w:tcPr>
          <w:p>
            <w:pPr>
              <w:spacing w:before="64" w:line="106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-2.25</w:t>
            </w:r>
          </w:p>
        </w:tc>
        <w:tc>
          <w:tcPr>
            <w:tcW w:w="769" w:type="dxa"/>
            <w:shd w:val="clear" w:color="auto" w:fill="A6D8B5"/>
            <w:vAlign w:val="top"/>
          </w:tcPr>
          <w:p>
            <w:pPr>
              <w:spacing w:before="64" w:line="106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-4.61</w:t>
            </w:r>
          </w:p>
        </w:tc>
        <w:tc>
          <w:tcPr>
            <w:tcW w:w="729" w:type="dxa"/>
            <w:vAlign w:val="top"/>
          </w:tcPr>
          <w:p>
            <w:pPr>
              <w:spacing w:before="64" w:line="106" w:lineRule="exact"/>
              <w:ind w:left="19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-0.39</w:t>
            </w:r>
          </w:p>
        </w:tc>
        <w:tc>
          <w:tcPr>
            <w:tcW w:w="759" w:type="dxa"/>
            <w:shd w:val="clear" w:color="auto" w:fill="97CEA7"/>
            <w:vAlign w:val="top"/>
          </w:tcPr>
          <w:p>
            <w:pPr>
              <w:spacing w:before="64" w:line="106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-2.38</w:t>
            </w:r>
          </w:p>
        </w:tc>
        <w:tc>
          <w:tcPr>
            <w:tcW w:w="759" w:type="dxa"/>
            <w:shd w:val="clear" w:color="auto" w:fill="ACDABA"/>
            <w:vAlign w:val="top"/>
          </w:tcPr>
          <w:p>
            <w:pPr>
              <w:spacing w:before="64" w:line="106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-11.11</w:t>
            </w:r>
          </w:p>
        </w:tc>
        <w:tc>
          <w:tcPr>
            <w:tcW w:w="834" w:type="dxa"/>
            <w:shd w:val="clear" w:color="auto" w:fill="F78588"/>
            <w:vAlign w:val="top"/>
          </w:tcPr>
          <w:p>
            <w:pPr>
              <w:spacing w:before="64" w:line="106" w:lineRule="exact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9.21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9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18" w:lineRule="auto"/>
              <w:ind w:left="12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估值</w:t>
            </w:r>
          </w:p>
        </w:tc>
        <w:tc>
          <w:tcPr>
            <w:tcW w:w="779" w:type="dxa"/>
            <w:vAlign w:val="top"/>
          </w:tcPr>
          <w:p>
            <w:pPr>
              <w:spacing w:before="30" w:line="196" w:lineRule="auto"/>
              <w:jc w:val="right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高市盟率指数</w:t>
            </w:r>
          </w:p>
        </w:tc>
        <w:tc>
          <w:tcPr>
            <w:tcW w:w="829" w:type="dxa"/>
            <w:shd w:val="clear" w:color="auto" w:fill="D4ECDE"/>
            <w:vAlign w:val="top"/>
          </w:tcPr>
          <w:p>
            <w:pPr>
              <w:spacing w:before="64" w:line="105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-1.97</w:t>
            </w:r>
          </w:p>
        </w:tc>
        <w:tc>
          <w:tcPr>
            <w:tcW w:w="679" w:type="dxa"/>
            <w:vAlign w:val="top"/>
          </w:tcPr>
          <w:p>
            <w:pPr>
              <w:spacing w:before="64" w:line="105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0.02</w:t>
            </w:r>
          </w:p>
        </w:tc>
        <w:tc>
          <w:tcPr>
            <w:tcW w:w="769" w:type="dxa"/>
            <w:shd w:val="clear" w:color="auto" w:fill="BFE2CB"/>
            <w:vAlign w:val="top"/>
          </w:tcPr>
          <w:p>
            <w:pPr>
              <w:spacing w:before="64" w:line="105" w:lineRule="exact"/>
              <w:ind w:left="21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A12B"/>
                <w:spacing w:val="-1"/>
                <w:position w:val="-1"/>
                <w:sz w:val="13"/>
                <w:szCs w:val="13"/>
              </w:rPr>
              <w:t>-3.23</w:t>
            </w:r>
          </w:p>
        </w:tc>
        <w:tc>
          <w:tcPr>
            <w:tcW w:w="679" w:type="dxa"/>
            <w:shd w:val="clear" w:color="auto" w:fill="89CB9C"/>
            <w:vAlign w:val="top"/>
          </w:tcPr>
          <w:p>
            <w:pPr>
              <w:spacing w:before="64" w:line="105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-6.06</w:t>
            </w:r>
          </w:p>
        </w:tc>
        <w:tc>
          <w:tcPr>
            <w:tcW w:w="699" w:type="dxa"/>
            <w:shd w:val="clear" w:color="auto" w:fill="D4ECDE"/>
            <w:vAlign w:val="top"/>
          </w:tcPr>
          <w:p>
            <w:pPr>
              <w:spacing w:before="64" w:line="105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-2.07</w:t>
            </w:r>
          </w:p>
        </w:tc>
        <w:tc>
          <w:tcPr>
            <w:tcW w:w="769" w:type="dxa"/>
            <w:vAlign w:val="top"/>
          </w:tcPr>
          <w:p>
            <w:pPr>
              <w:spacing w:before="64" w:line="105" w:lineRule="exact"/>
              <w:ind w:left="24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0.33</w:t>
            </w:r>
          </w:p>
        </w:tc>
        <w:tc>
          <w:tcPr>
            <w:tcW w:w="729" w:type="dxa"/>
            <w:shd w:val="clear" w:color="auto" w:fill="FAEEF0"/>
            <w:vAlign w:val="top"/>
          </w:tcPr>
          <w:p>
            <w:pPr>
              <w:spacing w:before="64" w:line="105" w:lineRule="exact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1.02</w:t>
            </w:r>
          </w:p>
        </w:tc>
        <w:tc>
          <w:tcPr>
            <w:tcW w:w="759" w:type="dxa"/>
            <w:shd w:val="clear" w:color="auto" w:fill="7EC890"/>
            <w:vAlign w:val="top"/>
          </w:tcPr>
          <w:p>
            <w:pPr>
              <w:spacing w:before="64" w:line="105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-2.90</w:t>
            </w:r>
          </w:p>
        </w:tc>
        <w:tc>
          <w:tcPr>
            <w:tcW w:w="759" w:type="dxa"/>
            <w:shd w:val="clear" w:color="auto" w:fill="62BC79"/>
            <w:vAlign w:val="top"/>
          </w:tcPr>
          <w:p>
            <w:pPr>
              <w:spacing w:before="64" w:line="105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-21.78</w:t>
            </w:r>
          </w:p>
        </w:tc>
        <w:tc>
          <w:tcPr>
            <w:tcW w:w="834" w:type="dxa"/>
            <w:shd w:val="clear" w:color="auto" w:fill="F8676B"/>
            <w:vAlign w:val="top"/>
          </w:tcPr>
          <w:p>
            <w:pPr>
              <w:spacing w:before="64" w:line="105" w:lineRule="exact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11.56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9"/>
        </w:trPr>
        <w:tc>
          <w:tcPr>
            <w:tcW w:w="53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32" w:line="194" w:lineRule="auto"/>
              <w:jc w:val="right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中市盈率指数</w:t>
            </w:r>
          </w:p>
        </w:tc>
        <w:tc>
          <w:tcPr>
            <w:tcW w:w="829" w:type="dxa"/>
            <w:shd w:val="clear" w:color="auto" w:fill="B6DCC0"/>
            <w:vAlign w:val="top"/>
          </w:tcPr>
          <w:p>
            <w:pPr>
              <w:spacing w:before="65" w:line="104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-3.79</w:t>
            </w:r>
          </w:p>
        </w:tc>
        <w:tc>
          <w:tcPr>
            <w:tcW w:w="679" w:type="dxa"/>
            <w:shd w:val="clear" w:color="auto" w:fill="FBE1E5"/>
            <w:vAlign w:val="top"/>
          </w:tcPr>
          <w:p>
            <w:pPr>
              <w:spacing w:before="65" w:line="104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2.20</w:t>
            </w:r>
          </w:p>
        </w:tc>
        <w:tc>
          <w:tcPr>
            <w:tcW w:w="769" w:type="dxa"/>
            <w:shd w:val="clear" w:color="auto" w:fill="FBDEE2"/>
            <w:vAlign w:val="top"/>
          </w:tcPr>
          <w:p>
            <w:pPr>
              <w:spacing w:before="65" w:line="104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AA8F94"/>
                <w:spacing w:val="-2"/>
                <w:position w:val="-1"/>
                <w:sz w:val="13"/>
                <w:szCs w:val="13"/>
              </w:rPr>
              <w:t>2.47</w:t>
            </w:r>
          </w:p>
        </w:tc>
        <w:tc>
          <w:tcPr>
            <w:tcW w:w="679" w:type="dxa"/>
            <w:shd w:val="clear" w:color="auto" w:fill="B3DDBF"/>
            <w:vAlign w:val="top"/>
          </w:tcPr>
          <w:p>
            <w:pPr>
              <w:spacing w:before="65" w:line="104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-3.95</w:t>
            </w:r>
          </w:p>
        </w:tc>
        <w:tc>
          <w:tcPr>
            <w:tcW w:w="699" w:type="dxa"/>
            <w:shd w:val="clear" w:color="auto" w:fill="E4F0EA"/>
            <w:vAlign w:val="top"/>
          </w:tcPr>
          <w:p>
            <w:pPr>
              <w:spacing w:before="65" w:line="104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-1.24</w:t>
            </w:r>
          </w:p>
        </w:tc>
        <w:tc>
          <w:tcPr>
            <w:tcW w:w="769" w:type="dxa"/>
            <w:shd w:val="clear" w:color="auto" w:fill="C7E4D2"/>
            <w:vAlign w:val="top"/>
          </w:tcPr>
          <w:p>
            <w:pPr>
              <w:spacing w:before="65" w:line="104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9A3E"/>
                <w:spacing w:val="-1"/>
                <w:position w:val="-1"/>
                <w:sz w:val="13"/>
                <w:szCs w:val="13"/>
              </w:rPr>
              <w:t>-2.87</w:t>
            </w:r>
          </w:p>
        </w:tc>
        <w:tc>
          <w:tcPr>
            <w:tcW w:w="729" w:type="dxa"/>
            <w:vAlign w:val="top"/>
          </w:tcPr>
          <w:p>
            <w:pPr>
              <w:spacing w:before="65" w:line="104" w:lineRule="exact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0.13</w:t>
            </w:r>
          </w:p>
        </w:tc>
        <w:tc>
          <w:tcPr>
            <w:tcW w:w="759" w:type="dxa"/>
            <w:shd w:val="clear" w:color="auto" w:fill="87CA9A"/>
            <w:vAlign w:val="top"/>
          </w:tcPr>
          <w:p>
            <w:pPr>
              <w:spacing w:before="65" w:line="104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-2.73</w:t>
            </w:r>
          </w:p>
        </w:tc>
        <w:tc>
          <w:tcPr>
            <w:tcW w:w="759" w:type="dxa"/>
            <w:shd w:val="clear" w:color="auto" w:fill="9DD5AC"/>
            <w:vAlign w:val="top"/>
          </w:tcPr>
          <w:p>
            <w:pPr>
              <w:spacing w:before="65" w:line="104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-13.30</w:t>
            </w:r>
          </w:p>
        </w:tc>
        <w:tc>
          <w:tcPr>
            <w:tcW w:w="834" w:type="dxa"/>
            <w:shd w:val="clear" w:color="auto" w:fill="F6888B"/>
            <w:vAlign w:val="top"/>
          </w:tcPr>
          <w:p>
            <w:pPr>
              <w:spacing w:before="65" w:line="104" w:lineRule="exact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9.16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80"/>
        </w:trPr>
        <w:tc>
          <w:tcPr>
            <w:tcW w:w="53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33" w:line="194" w:lineRule="auto"/>
              <w:jc w:val="right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4"/>
                <w:sz w:val="13"/>
                <w:szCs w:val="13"/>
              </w:rPr>
              <w:t>低市盈率指数</w:t>
            </w:r>
          </w:p>
        </w:tc>
        <w:tc>
          <w:tcPr>
            <w:tcW w:w="829" w:type="dxa"/>
            <w:shd w:val="clear" w:color="auto" w:fill="8DCE9D"/>
            <w:vAlign w:val="top"/>
          </w:tcPr>
          <w:p>
            <w:pPr>
              <w:spacing w:before="66" w:line="103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-5.99</w:t>
            </w:r>
          </w:p>
        </w:tc>
        <w:tc>
          <w:tcPr>
            <w:tcW w:w="679" w:type="dxa"/>
            <w:vAlign w:val="top"/>
          </w:tcPr>
          <w:p>
            <w:pPr>
              <w:spacing w:before="66" w:line="103" w:lineRule="exact"/>
              <w:ind w:left="16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-0.96</w:t>
            </w:r>
          </w:p>
        </w:tc>
        <w:tc>
          <w:tcPr>
            <w:tcW w:w="769" w:type="dxa"/>
            <w:shd w:val="clear" w:color="auto" w:fill="F8B5B8"/>
            <w:vAlign w:val="top"/>
          </w:tcPr>
          <w:p>
            <w:pPr>
              <w:spacing w:before="66" w:line="103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5.64</w:t>
            </w:r>
          </w:p>
        </w:tc>
        <w:tc>
          <w:tcPr>
            <w:tcW w:w="679" w:type="dxa"/>
            <w:shd w:val="clear" w:color="auto" w:fill="7BC691"/>
            <w:vAlign w:val="top"/>
          </w:tcPr>
          <w:p>
            <w:pPr>
              <w:spacing w:before="66" w:line="103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-6.83</w:t>
            </w:r>
          </w:p>
        </w:tc>
        <w:tc>
          <w:tcPr>
            <w:tcW w:w="699" w:type="dxa"/>
            <w:shd w:val="clear" w:color="auto" w:fill="F8E9EB"/>
            <w:vAlign w:val="top"/>
          </w:tcPr>
          <w:p>
            <w:pPr>
              <w:spacing w:before="66" w:line="103" w:lineRule="exact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1.45</w:t>
            </w:r>
          </w:p>
        </w:tc>
        <w:tc>
          <w:tcPr>
            <w:tcW w:w="769" w:type="dxa"/>
            <w:shd w:val="clear" w:color="auto" w:fill="9BD2A9"/>
            <w:vAlign w:val="top"/>
          </w:tcPr>
          <w:p>
            <w:pPr>
              <w:spacing w:before="66" w:line="103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-5.14</w:t>
            </w:r>
          </w:p>
        </w:tc>
        <w:tc>
          <w:tcPr>
            <w:tcW w:w="729" w:type="dxa"/>
            <w:shd w:val="clear" w:color="auto" w:fill="D2EADA"/>
            <w:vAlign w:val="top"/>
          </w:tcPr>
          <w:p>
            <w:pPr>
              <w:spacing w:before="66" w:line="103" w:lineRule="exact"/>
              <w:ind w:left="19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-2.14</w:t>
            </w:r>
          </w:p>
        </w:tc>
        <w:tc>
          <w:tcPr>
            <w:tcW w:w="759" w:type="dxa"/>
            <w:vAlign w:val="top"/>
          </w:tcPr>
          <w:p>
            <w:pPr>
              <w:spacing w:before="66" w:line="103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-0.30</w:t>
            </w:r>
          </w:p>
        </w:tc>
        <w:tc>
          <w:tcPr>
            <w:tcW w:w="759" w:type="dxa"/>
            <w:shd w:val="clear" w:color="auto" w:fill="F36969"/>
            <w:vAlign w:val="top"/>
          </w:tcPr>
          <w:p>
            <w:pPr>
              <w:spacing w:before="66" w:line="103" w:lineRule="exact"/>
              <w:ind w:left="24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1.11</w:t>
            </w:r>
          </w:p>
        </w:tc>
        <w:tc>
          <w:tcPr>
            <w:tcW w:w="834" w:type="dxa"/>
            <w:shd w:val="clear" w:color="auto" w:fill="F9B9BE"/>
            <w:vAlign w:val="top"/>
          </w:tcPr>
          <w:p>
            <w:pPr>
              <w:spacing w:before="66" w:line="103" w:lineRule="exact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5.23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69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>
            <w:pPr>
              <w:spacing w:before="242" w:line="218" w:lineRule="auto"/>
              <w:ind w:left="12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股价</w:t>
            </w:r>
          </w:p>
        </w:tc>
        <w:tc>
          <w:tcPr>
            <w:tcW w:w="779" w:type="dxa"/>
            <w:vAlign w:val="top"/>
          </w:tcPr>
          <w:p>
            <w:pPr>
              <w:spacing w:before="22" w:line="194" w:lineRule="auto"/>
              <w:ind w:left="5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高价股指数</w:t>
            </w:r>
          </w:p>
        </w:tc>
        <w:tc>
          <w:tcPr>
            <w:tcW w:w="829" w:type="dxa"/>
            <w:shd w:val="clear" w:color="auto" w:fill="8DCA9A"/>
            <w:vAlign w:val="top"/>
          </w:tcPr>
          <w:p>
            <w:pPr>
              <w:spacing w:before="56" w:line="103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-6.04</w:t>
            </w:r>
          </w:p>
        </w:tc>
        <w:tc>
          <w:tcPr>
            <w:tcW w:w="679" w:type="dxa"/>
            <w:shd w:val="clear" w:color="auto" w:fill="FAE6E8"/>
            <w:vAlign w:val="top"/>
          </w:tcPr>
          <w:p>
            <w:pPr>
              <w:spacing w:before="56" w:line="103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1.70</w:t>
            </w:r>
          </w:p>
        </w:tc>
        <w:tc>
          <w:tcPr>
            <w:tcW w:w="769" w:type="dxa"/>
            <w:shd w:val="clear" w:color="auto" w:fill="F9D6D5"/>
            <w:vAlign w:val="top"/>
          </w:tcPr>
          <w:p>
            <w:pPr>
              <w:spacing w:before="56" w:line="103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3.15</w:t>
            </w:r>
          </w:p>
        </w:tc>
        <w:tc>
          <w:tcPr>
            <w:tcW w:w="679" w:type="dxa"/>
            <w:shd w:val="clear" w:color="auto" w:fill="88CA99"/>
            <w:vAlign w:val="top"/>
          </w:tcPr>
          <w:p>
            <w:pPr>
              <w:spacing w:before="56" w:line="103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-6.30</w:t>
            </w:r>
          </w:p>
        </w:tc>
        <w:tc>
          <w:tcPr>
            <w:tcW w:w="699" w:type="dxa"/>
            <w:shd w:val="clear" w:color="auto" w:fill="BDE1C7"/>
            <w:vAlign w:val="top"/>
          </w:tcPr>
          <w:p>
            <w:pPr>
              <w:spacing w:before="56" w:line="103" w:lineRule="exact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A035"/>
                <w:spacing w:val="-1"/>
                <w:position w:val="-1"/>
                <w:sz w:val="13"/>
                <w:szCs w:val="13"/>
              </w:rPr>
              <w:t>-3.52</w:t>
            </w:r>
          </w:p>
        </w:tc>
        <w:tc>
          <w:tcPr>
            <w:tcW w:w="769" w:type="dxa"/>
            <w:shd w:val="clear" w:color="auto" w:fill="BDE1C4"/>
            <w:vAlign w:val="top"/>
          </w:tcPr>
          <w:p>
            <w:pPr>
              <w:spacing w:before="56" w:line="103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981E"/>
                <w:spacing w:val="-1"/>
                <w:position w:val="-1"/>
                <w:sz w:val="13"/>
                <w:szCs w:val="13"/>
              </w:rPr>
              <w:t>-3.42</w:t>
            </w:r>
          </w:p>
        </w:tc>
        <w:tc>
          <w:tcPr>
            <w:tcW w:w="729" w:type="dxa"/>
            <w:shd w:val="clear" w:color="auto" w:fill="E2EFE6"/>
            <w:vAlign w:val="top"/>
          </w:tcPr>
          <w:p>
            <w:pPr>
              <w:spacing w:before="56" w:line="103" w:lineRule="exact"/>
              <w:ind w:left="19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-1.39</w:t>
            </w:r>
          </w:p>
        </w:tc>
        <w:tc>
          <w:tcPr>
            <w:tcW w:w="759" w:type="dxa"/>
            <w:shd w:val="clear" w:color="auto" w:fill="8CCC9B"/>
            <w:vAlign w:val="top"/>
          </w:tcPr>
          <w:p>
            <w:pPr>
              <w:spacing w:before="56" w:line="103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-2.65</w:t>
            </w:r>
          </w:p>
        </w:tc>
        <w:tc>
          <w:tcPr>
            <w:tcW w:w="759" w:type="dxa"/>
            <w:shd w:val="clear" w:color="auto" w:fill="87CB9A"/>
            <w:vAlign w:val="top"/>
          </w:tcPr>
          <w:p>
            <w:pPr>
              <w:spacing w:before="56" w:line="103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-16.56</w:t>
            </w:r>
          </w:p>
        </w:tc>
        <w:tc>
          <w:tcPr>
            <w:tcW w:w="834" w:type="dxa"/>
            <w:shd w:val="clear" w:color="auto" w:fill="FA7173"/>
            <w:vAlign w:val="top"/>
          </w:tcPr>
          <w:p>
            <w:pPr>
              <w:spacing w:before="56" w:line="103" w:lineRule="exact"/>
              <w:ind w:left="24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3"/>
                <w:szCs w:val="13"/>
              </w:rPr>
              <w:t>10.81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170"/>
        </w:trPr>
        <w:tc>
          <w:tcPr>
            <w:tcW w:w="53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23" w:line="194" w:lineRule="auto"/>
              <w:ind w:left="5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1"/>
                <w:sz w:val="13"/>
                <w:szCs w:val="13"/>
              </w:rPr>
              <w:t>中价酸指数</w:t>
            </w:r>
          </w:p>
        </w:tc>
        <w:tc>
          <w:tcPr>
            <w:tcW w:w="829" w:type="dxa"/>
            <w:shd w:val="clear" w:color="auto" w:fill="AEDBBA"/>
            <w:vAlign w:val="top"/>
          </w:tcPr>
          <w:p>
            <w:pPr>
              <w:spacing w:before="57" w:line="103" w:lineRule="exact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-4.14</w:t>
            </w:r>
          </w:p>
        </w:tc>
        <w:tc>
          <w:tcPr>
            <w:tcW w:w="679" w:type="dxa"/>
            <w:shd w:val="clear" w:color="auto" w:fill="F7DDDE"/>
            <w:vAlign w:val="top"/>
          </w:tcPr>
          <w:p>
            <w:pPr>
              <w:spacing w:before="57" w:line="103" w:lineRule="exact"/>
              <w:ind w:left="20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2.68</w:t>
            </w:r>
          </w:p>
        </w:tc>
        <w:tc>
          <w:tcPr>
            <w:tcW w:w="769" w:type="dxa"/>
            <w:shd w:val="clear" w:color="auto" w:fill="F8D0D4"/>
            <w:vAlign w:val="top"/>
          </w:tcPr>
          <w:p>
            <w:pPr>
              <w:spacing w:before="57" w:line="103" w:lineRule="exact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3.62</w:t>
            </w:r>
          </w:p>
        </w:tc>
        <w:tc>
          <w:tcPr>
            <w:tcW w:w="679" w:type="dxa"/>
            <w:shd w:val="clear" w:color="auto" w:fill="81C996"/>
            <w:vAlign w:val="top"/>
          </w:tcPr>
          <w:p>
            <w:pPr>
              <w:spacing w:before="57" w:line="103" w:lineRule="exact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-6.51</w:t>
            </w:r>
          </w:p>
        </w:tc>
        <w:tc>
          <w:tcPr>
            <w:tcW w:w="699" w:type="dxa"/>
            <w:vAlign w:val="top"/>
          </w:tcPr>
          <w:p>
            <w:pPr>
              <w:spacing w:before="57" w:line="103" w:lineRule="exact"/>
              <w:ind w:left="21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0.65</w:t>
            </w:r>
          </w:p>
        </w:tc>
        <w:tc>
          <w:tcPr>
            <w:tcW w:w="769" w:type="dxa"/>
            <w:shd w:val="clear" w:color="auto" w:fill="E5F1EB"/>
            <w:vAlign w:val="top"/>
          </w:tcPr>
          <w:p>
            <w:pPr>
              <w:spacing w:before="57" w:line="103" w:lineRule="exact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-1.19</w:t>
            </w:r>
          </w:p>
        </w:tc>
        <w:tc>
          <w:tcPr>
            <w:tcW w:w="729" w:type="dxa"/>
            <w:shd w:val="clear" w:color="auto" w:fill="F6D8DA"/>
            <w:vAlign w:val="top"/>
          </w:tcPr>
          <w:p>
            <w:pPr>
              <w:spacing w:before="57" w:line="103" w:lineRule="exact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2.75</w:t>
            </w:r>
          </w:p>
        </w:tc>
        <w:tc>
          <w:tcPr>
            <w:tcW w:w="759" w:type="dxa"/>
            <w:shd w:val="clear" w:color="auto" w:fill="7DC58F"/>
            <w:vAlign w:val="top"/>
          </w:tcPr>
          <w:p>
            <w:pPr>
              <w:spacing w:before="57" w:line="103" w:lineRule="exact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-2.94</w:t>
            </w:r>
          </w:p>
        </w:tc>
        <w:tc>
          <w:tcPr>
            <w:tcW w:w="759" w:type="dxa"/>
            <w:shd w:val="clear" w:color="auto" w:fill="9BD3AA"/>
            <w:vAlign w:val="top"/>
          </w:tcPr>
          <w:p>
            <w:pPr>
              <w:spacing w:before="57" w:line="103" w:lineRule="exact"/>
              <w:ind w:left="17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3"/>
                <w:szCs w:val="13"/>
              </w:rPr>
              <w:t>-13.47</w:t>
            </w:r>
          </w:p>
        </w:tc>
        <w:tc>
          <w:tcPr>
            <w:tcW w:w="834" w:type="dxa"/>
            <w:shd w:val="clear" w:color="auto" w:fill="F89091"/>
            <w:vAlign w:val="top"/>
          </w:tcPr>
          <w:p>
            <w:pPr>
              <w:spacing w:before="57" w:line="103" w:lineRule="exact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3"/>
                <w:szCs w:val="13"/>
              </w:rPr>
              <w:t>8.57</w:t>
            </w:r>
          </w:p>
        </w:tc>
      </w:tr>
      <w:tr>
        <w:tblPrEx>
          <w:tblW w:w="8819" w:type="dxa"/>
          <w:tblInd w:w="1250" w:type="dxa"/>
          <w:tblLayout w:type="fixed"/>
        </w:tblPrEx>
        <w:trPr>
          <w:trHeight w:val="244"/>
        </w:trPr>
        <w:tc>
          <w:tcPr>
            <w:tcW w:w="53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63" w:line="218" w:lineRule="auto"/>
              <w:ind w:left="5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低价股指数</w:t>
            </w:r>
          </w:p>
        </w:tc>
        <w:tc>
          <w:tcPr>
            <w:tcW w:w="829" w:type="dxa"/>
            <w:shd w:val="clear" w:color="auto" w:fill="CCE3CF"/>
            <w:vAlign w:val="top"/>
          </w:tcPr>
          <w:p>
            <w:pPr>
              <w:spacing w:before="97" w:line="183" w:lineRule="auto"/>
              <w:ind w:left="24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-2.59</w:t>
            </w:r>
          </w:p>
        </w:tc>
        <w:tc>
          <w:tcPr>
            <w:tcW w:w="679" w:type="dxa"/>
            <w:vAlign w:val="top"/>
          </w:tcPr>
          <w:p>
            <w:pPr>
              <w:spacing w:before="97" w:line="183" w:lineRule="auto"/>
              <w:ind w:left="161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-0.63</w:t>
            </w:r>
          </w:p>
        </w:tc>
        <w:tc>
          <w:tcPr>
            <w:tcW w:w="769" w:type="dxa"/>
            <w:shd w:val="clear" w:color="auto" w:fill="F78286"/>
            <w:vAlign w:val="top"/>
          </w:tcPr>
          <w:p>
            <w:pPr>
              <w:spacing w:before="97" w:line="183" w:lineRule="auto"/>
              <w:ind w:left="24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9.77</w:t>
            </w:r>
          </w:p>
        </w:tc>
        <w:tc>
          <w:tcPr>
            <w:tcW w:w="679" w:type="dxa"/>
            <w:shd w:val="clear" w:color="auto" w:fill="9BD4AB"/>
            <w:vAlign w:val="top"/>
          </w:tcPr>
          <w:p>
            <w:pPr>
              <w:spacing w:before="97" w:line="184" w:lineRule="auto"/>
              <w:ind w:left="163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-5.13</w:t>
            </w:r>
          </w:p>
        </w:tc>
        <w:tc>
          <w:tcPr>
            <w:tcW w:w="699" w:type="dxa"/>
            <w:vAlign w:val="top"/>
          </w:tcPr>
          <w:p>
            <w:pPr>
              <w:spacing w:before="97" w:line="183" w:lineRule="auto"/>
              <w:ind w:left="1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-0.87</w:t>
            </w:r>
          </w:p>
        </w:tc>
        <w:tc>
          <w:tcPr>
            <w:tcW w:w="769" w:type="dxa"/>
            <w:shd w:val="clear" w:color="auto" w:fill="D8E8DB"/>
            <w:vAlign w:val="top"/>
          </w:tcPr>
          <w:p>
            <w:pPr>
              <w:spacing w:before="97" w:line="184" w:lineRule="auto"/>
              <w:ind w:left="21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-1.02</w:t>
            </w:r>
          </w:p>
        </w:tc>
        <w:tc>
          <w:tcPr>
            <w:tcW w:w="729" w:type="dxa"/>
            <w:vAlign w:val="top"/>
          </w:tcPr>
          <w:p>
            <w:pPr>
              <w:spacing w:before="97" w:line="183" w:lineRule="auto"/>
              <w:ind w:left="226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0.09</w:t>
            </w:r>
          </w:p>
        </w:tc>
        <w:tc>
          <w:tcPr>
            <w:tcW w:w="759" w:type="dxa"/>
            <w:shd w:val="clear" w:color="auto" w:fill="8ECE9D"/>
            <w:vAlign w:val="top"/>
          </w:tcPr>
          <w:p>
            <w:pPr>
              <w:spacing w:before="97" w:line="183" w:lineRule="auto"/>
              <w:ind w:left="207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-2.59</w:t>
            </w:r>
          </w:p>
        </w:tc>
        <w:tc>
          <w:tcPr>
            <w:tcW w:w="759" w:type="dxa"/>
            <w:shd w:val="clear" w:color="auto" w:fill="C5E4CD"/>
            <w:vAlign w:val="top"/>
          </w:tcPr>
          <w:p>
            <w:pPr>
              <w:spacing w:before="97" w:line="184" w:lineRule="auto"/>
              <w:ind w:left="20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color w:val="00A13B"/>
                <w:spacing w:val="-1"/>
                <w:sz w:val="13"/>
                <w:szCs w:val="13"/>
              </w:rPr>
              <w:t>-1.70</w:t>
            </w:r>
          </w:p>
        </w:tc>
        <w:tc>
          <w:tcPr>
            <w:tcW w:w="834" w:type="dxa"/>
            <w:shd w:val="clear" w:color="auto" w:fill="FADFDF"/>
            <w:vAlign w:val="top"/>
          </w:tcPr>
          <w:p>
            <w:pPr>
              <w:spacing w:before="97" w:line="183" w:lineRule="auto"/>
              <w:ind w:left="279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2.30</w:t>
            </w:r>
          </w:p>
        </w:tc>
      </w:tr>
    </w:tbl>
    <w:p>
      <w:pPr>
        <w:pStyle w:val="BodyText"/>
        <w:spacing w:before="55" w:line="211" w:lineRule="auto"/>
        <w:ind w:left="1276"/>
      </w:pPr>
      <w:r>
        <w:rPr>
          <w:i/>
          <w:iCs/>
          <w:spacing w:val="-22"/>
          <w:w w:val="97"/>
        </w:rPr>
        <w:t>资料来源：同花顺，万联证券研究所</w:t>
      </w:r>
    </w:p>
    <w:p>
      <w:pPr>
        <w:pStyle w:val="BodyText"/>
        <w:spacing w:before="62" w:line="214" w:lineRule="auto"/>
        <w:ind w:left="1265"/>
      </w:pPr>
      <w:r>
        <w:rPr>
          <w:i/>
          <w:iCs/>
          <w:spacing w:val="-21"/>
        </w:rPr>
        <w:t>注：数据截至2024年2月26日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91" w:line="473" w:lineRule="exact"/>
        <w:ind w:left="2693"/>
        <w:rPr>
          <w:sz w:val="28"/>
          <w:szCs w:val="28"/>
        </w:rPr>
      </w:pPr>
      <w:r>
        <w:rPr>
          <w:b/>
          <w:bCs/>
          <w:spacing w:val="-6"/>
          <w:position w:val="13"/>
          <w:sz w:val="28"/>
          <w:szCs w:val="28"/>
        </w:rPr>
        <w:t>2</w:t>
      </w:r>
      <w:r>
        <w:rPr>
          <w:spacing w:val="-6"/>
          <w:position w:val="13"/>
          <w:sz w:val="28"/>
          <w:szCs w:val="28"/>
        </w:rPr>
        <w:t xml:space="preserve">  </w:t>
      </w:r>
      <w:r>
        <w:rPr>
          <w:b/>
          <w:bCs/>
          <w:spacing w:val="-6"/>
          <w:position w:val="13"/>
          <w:sz w:val="28"/>
          <w:szCs w:val="28"/>
        </w:rPr>
        <w:t>市场流动性及风险情绪</w:t>
      </w:r>
    </w:p>
    <w:p>
      <w:pPr>
        <w:pStyle w:val="BodyText"/>
        <w:spacing w:before="1" w:line="229" w:lineRule="auto"/>
        <w:ind w:left="2692"/>
        <w:rPr>
          <w:sz w:val="25"/>
          <w:szCs w:val="25"/>
        </w:rPr>
      </w:pPr>
      <w:r>
        <w:rPr>
          <w:b/>
          <w:bCs/>
          <w:spacing w:val="-15"/>
          <w:sz w:val="25"/>
          <w:szCs w:val="25"/>
        </w:rPr>
        <w:t>2.1</w:t>
      </w:r>
      <w:r>
        <w:rPr>
          <w:spacing w:val="-24"/>
          <w:sz w:val="25"/>
          <w:szCs w:val="25"/>
        </w:rPr>
        <w:t xml:space="preserve"> </w:t>
      </w:r>
      <w:r>
        <w:rPr>
          <w:b/>
          <w:bCs/>
          <w:spacing w:val="-15"/>
          <w:sz w:val="25"/>
          <w:szCs w:val="25"/>
        </w:rPr>
        <w:t>宏观流动性指标</w:t>
      </w:r>
    </w:p>
    <w:p>
      <w:pPr>
        <w:pStyle w:val="BodyText"/>
        <w:spacing w:before="197" w:line="277" w:lineRule="auto"/>
        <w:ind w:left="2689" w:right="63"/>
        <w:jc w:val="both"/>
        <w:rPr>
          <w:sz w:val="20"/>
          <w:szCs w:val="20"/>
        </w:rPr>
      </w:pPr>
      <w:r>
        <w:rPr>
          <w:spacing w:val="8"/>
          <w:sz w:val="20"/>
          <w:szCs w:val="20"/>
        </w:rPr>
        <w:t>春节假期后央行公开市场操作力度有所减弱，截至2月26日，当月逆回购净回笼资金</w:t>
      </w:r>
      <w:r>
        <w:rPr>
          <w:spacing w:val="15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18,100亿元，</w:t>
      </w:r>
      <w:r>
        <w:rPr>
          <w:spacing w:val="-23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MLF</w:t>
      </w:r>
      <w:r>
        <w:rPr>
          <w:rFonts w:ascii="SimSun" w:eastAsia="SimSun" w:hAnsi="SimSun" w:cs="SimSun"/>
          <w:spacing w:val="-49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净投放量也有所减少。2月以来，银行间资金利率震荡回落，银行间</w:t>
      </w:r>
      <w:r>
        <w:rPr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资金面总体宽裕。2月20日中国人民银行授权全国银行间同业拆借中</w:t>
      </w:r>
      <w:r>
        <w:rPr>
          <w:spacing w:val="8"/>
          <w:sz w:val="20"/>
          <w:szCs w:val="20"/>
        </w:rPr>
        <w:t>心公布，贷款市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场报价利率</w:t>
      </w:r>
      <w:r>
        <w:rPr>
          <w:spacing w:val="-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LPR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)  </w:t>
      </w:r>
      <w:r>
        <w:rPr>
          <w:spacing w:val="7"/>
          <w:sz w:val="20"/>
          <w:szCs w:val="20"/>
        </w:rPr>
        <w:t>为：1年期</w:t>
      </w:r>
      <w:r>
        <w:rPr>
          <w:rFonts w:ascii="Times New Roman" w:eastAsia="Times New Roman" w:hAnsi="Times New Roman" w:cs="Times New Roman"/>
          <w:sz w:val="20"/>
          <w:szCs w:val="20"/>
        </w:rPr>
        <w:t>LPR</w:t>
      </w:r>
      <w:r>
        <w:rPr>
          <w:spacing w:val="7"/>
          <w:sz w:val="20"/>
          <w:szCs w:val="20"/>
        </w:rPr>
        <w:t>为3.45%,5年期以上</w:t>
      </w:r>
      <w:r>
        <w:rPr>
          <w:rFonts w:ascii="Times New Roman" w:eastAsia="Times New Roman" w:hAnsi="Times New Roman" w:cs="Times New Roman"/>
          <w:sz w:val="20"/>
          <w:szCs w:val="20"/>
        </w:rPr>
        <w:t>LPR</w:t>
      </w:r>
      <w:r>
        <w:rPr>
          <w:spacing w:val="7"/>
          <w:sz w:val="20"/>
          <w:szCs w:val="20"/>
        </w:rPr>
        <w:t>为3.9</w:t>
      </w:r>
      <w:r>
        <w:rPr>
          <w:spacing w:val="6"/>
          <w:sz w:val="20"/>
          <w:szCs w:val="20"/>
        </w:rPr>
        <w:t>5%。5年期</w:t>
      </w:r>
      <w:r>
        <w:rPr>
          <w:rFonts w:ascii="Times New Roman" w:eastAsia="Times New Roman" w:hAnsi="Times New Roman" w:cs="Times New Roman"/>
          <w:sz w:val="20"/>
          <w:szCs w:val="20"/>
        </w:rPr>
        <w:t>LPR</w:t>
      </w:r>
      <w:r>
        <w:rPr>
          <w:spacing w:val="6"/>
          <w:sz w:val="20"/>
          <w:szCs w:val="20"/>
        </w:rPr>
        <w:t>利率调</w:t>
      </w:r>
      <w:r>
        <w:rPr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降0.25个百分点，幅度超市场预期。此举</w:t>
      </w:r>
      <w:r>
        <w:rPr>
          <w:spacing w:val="5"/>
          <w:sz w:val="20"/>
          <w:szCs w:val="20"/>
        </w:rPr>
        <w:t>将降低房贷利率水平，体现出助力房地产市</w:t>
      </w:r>
      <w:r>
        <w:rPr>
          <w:sz w:val="20"/>
          <w:szCs w:val="20"/>
        </w:rPr>
        <w:t xml:space="preserve"> </w:t>
      </w:r>
      <w:r>
        <w:rPr>
          <w:spacing w:val="1"/>
          <w:sz w:val="20"/>
          <w:szCs w:val="20"/>
        </w:rPr>
        <w:t>场企稳复苏的意图。预计3月央行</w:t>
      </w:r>
      <w:r>
        <w:rPr>
          <w:rFonts w:ascii="Times New Roman" w:eastAsia="Times New Roman" w:hAnsi="Times New Roman" w:cs="Times New Roman"/>
          <w:sz w:val="20"/>
          <w:szCs w:val="20"/>
        </w:rPr>
        <w:t>OMO</w:t>
      </w:r>
      <w:r>
        <w:rPr>
          <w:spacing w:val="1"/>
          <w:sz w:val="20"/>
          <w:szCs w:val="20"/>
        </w:rPr>
        <w:t>操作与</w:t>
      </w:r>
      <w:r>
        <w:rPr>
          <w:rFonts w:ascii="Times New Roman" w:eastAsia="Times New Roman" w:hAnsi="Times New Roman" w:cs="Times New Roman"/>
          <w:sz w:val="20"/>
          <w:szCs w:val="20"/>
        </w:rPr>
        <w:t>MLF</w:t>
      </w:r>
      <w:r>
        <w:rPr>
          <w:spacing w:val="1"/>
          <w:sz w:val="20"/>
          <w:szCs w:val="20"/>
        </w:rPr>
        <w:t>操作投放量将回升，维护流动性合理</w:t>
      </w:r>
      <w:r>
        <w:rPr>
          <w:spacing w:val="13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充裕，后续有望进一步推动社会融资成本下降。</w:t>
      </w:r>
    </w:p>
    <w:p>
      <w:pPr>
        <w:pStyle w:val="BodyText"/>
        <w:spacing w:before="243" w:line="242" w:lineRule="auto"/>
        <w:ind w:left="2689" w:right="33"/>
        <w:rPr>
          <w:sz w:val="20"/>
          <w:szCs w:val="20"/>
        </w:rPr>
      </w:pPr>
      <w:r>
        <w:rPr>
          <w:sz w:val="20"/>
          <w:szCs w:val="20"/>
        </w:rPr>
        <w:t>截至2月26日，R007</w:t>
      </w:r>
      <w:r>
        <w:rPr>
          <w:spacing w:val="-52"/>
          <w:sz w:val="20"/>
          <w:szCs w:val="20"/>
        </w:rPr>
        <w:t xml:space="preserve"> </w:t>
      </w:r>
      <w:r>
        <w:rPr>
          <w:sz w:val="20"/>
          <w:szCs w:val="20"/>
        </w:rPr>
        <w:t>和DR007利率月均值分别为2.02%、1.</w:t>
      </w:r>
      <w:r>
        <w:rPr>
          <w:spacing w:val="-1"/>
          <w:sz w:val="20"/>
          <w:szCs w:val="20"/>
        </w:rPr>
        <w:t>86%,R007与DR007</w:t>
      </w:r>
      <w:r>
        <w:rPr>
          <w:spacing w:val="-5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利差为15</w:t>
      </w:r>
      <w:r>
        <w:rPr>
          <w:rFonts w:ascii="SimSun" w:eastAsia="SimSun" w:hAnsi="SimSun" w:cs="SimSun"/>
          <w:spacing w:val="-1"/>
          <w:sz w:val="20"/>
          <w:szCs w:val="20"/>
        </w:rPr>
        <w:t>bp。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5年期</w:t>
      </w:r>
      <w:r>
        <w:rPr>
          <w:rFonts w:ascii="Times New Roman" w:eastAsia="Times New Roman" w:hAnsi="Times New Roman" w:cs="Times New Roman"/>
          <w:sz w:val="20"/>
          <w:szCs w:val="20"/>
        </w:rPr>
        <w:t>LPR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(3.95%)    </w:t>
      </w:r>
      <w:r>
        <w:rPr>
          <w:spacing w:val="3"/>
          <w:sz w:val="20"/>
          <w:szCs w:val="20"/>
        </w:rPr>
        <w:t>较1月大幅下调25</w:t>
      </w:r>
      <w:r>
        <w:rPr>
          <w:rFonts w:ascii="Times New Roman" w:eastAsia="Times New Roman" w:hAnsi="Times New Roman" w:cs="Times New Roman"/>
          <w:sz w:val="20"/>
          <w:szCs w:val="20"/>
        </w:rPr>
        <w:t>bp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,1   </w:t>
      </w:r>
      <w:r>
        <w:rPr>
          <w:spacing w:val="3"/>
          <w:sz w:val="20"/>
          <w:szCs w:val="20"/>
        </w:rPr>
        <w:t>年期</w:t>
      </w:r>
      <w:r>
        <w:rPr>
          <w:rFonts w:ascii="Times New Roman" w:eastAsia="Times New Roman" w:hAnsi="Times New Roman" w:cs="Times New Roman"/>
          <w:sz w:val="20"/>
          <w:szCs w:val="20"/>
        </w:rPr>
        <w:t>LPR</w:t>
      </w:r>
      <w:r>
        <w:rPr>
          <w:spacing w:val="3"/>
          <w:sz w:val="20"/>
          <w:szCs w:val="20"/>
        </w:rPr>
        <w:t>维持3.45%不变。</w:t>
      </w:r>
    </w:p>
    <w:p>
      <w:pPr>
        <w:pStyle w:val="BodyText"/>
        <w:spacing w:before="290" w:line="207" w:lineRule="auto"/>
        <w:ind w:left="2940"/>
        <w:rPr>
          <w:sz w:val="20"/>
          <w:szCs w:val="20"/>
        </w:rPr>
        <w:sectPr>
          <w:headerReference w:type="default" r:id="rId34"/>
          <w:footerReference w:type="default" r:id="rId35"/>
          <w:pgSz w:w="11900" w:h="16840"/>
          <w:pgMar w:top="400" w:right="800" w:bottom="400" w:left="699" w:header="0" w:footer="0" w:gutter="0"/>
          <w:pgNumType w:start="10"/>
          <w:cols w:num="1" w:space="708" w:equalWidth="0">
            <w:col w:w="10401" w:space="0"/>
          </w:cols>
        </w:sectPr>
      </w:pPr>
      <w:r>
        <w:rPr>
          <w:spacing w:val="-1"/>
          <w:sz w:val="20"/>
          <w:szCs w:val="20"/>
        </w:rPr>
        <w:t>图表5:</w:t>
      </w:r>
      <w:r>
        <w:rPr>
          <w:spacing w:val="-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R007</w:t>
      </w:r>
      <w:r>
        <w:rPr>
          <w:spacing w:val="-22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加权利率、DR007</w:t>
      </w:r>
      <w:r>
        <w:rPr>
          <w:spacing w:val="39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利率、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SH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IBOR</w:t>
      </w:r>
      <w:r>
        <w:rPr>
          <w:spacing w:val="-2"/>
          <w:sz w:val="20"/>
          <w:szCs w:val="20"/>
        </w:rPr>
        <w:t>一</w:t>
      </w:r>
      <w:r>
        <w:rPr>
          <w:spacing w:val="-4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周</w:t>
      </w:r>
      <w:r>
        <w:rPr>
          <w:spacing w:val="-3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利</w:t>
      </w:r>
      <w:r>
        <w:rPr>
          <w:spacing w:val="-3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率</w:t>
      </w:r>
      <w:r>
        <w:rPr>
          <w:spacing w:val="-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(</w:t>
      </w:r>
      <w:r>
        <w:rPr>
          <w:spacing w:val="-4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%</w:t>
      </w:r>
      <w:r>
        <w:rPr>
          <w:spacing w:val="-4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)</w:t>
      </w:r>
    </w:p>
    <w:p>
      <w:pPr>
        <w:spacing w:line="4500" w:lineRule="exact"/>
        <w:ind w:firstLine="2760"/>
      </w:pPr>
      <w:r>
        <w:rPr>
          <w:position w:val="-90"/>
        </w:rPr>
        <w:drawing>
          <wp:inline distT="0" distB="0" distL="0" distR="0">
            <wp:extent cx="4851348" cy="2857518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51348" cy="285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 w:line="202" w:lineRule="auto"/>
        <w:ind w:left="2936"/>
      </w:pPr>
      <w:r>
        <w:rPr>
          <w:i/>
          <w:iCs/>
          <w:spacing w:val="-22"/>
          <w:w w:val="97"/>
        </w:rPr>
        <w:t>资料来源：同花顺，万联证券研究所</w:t>
      </w:r>
    </w:p>
    <w:p>
      <w:pPr>
        <w:pStyle w:val="BodyText"/>
        <w:spacing w:before="83" w:line="214" w:lineRule="auto"/>
        <w:ind w:left="2935"/>
      </w:pPr>
      <w:r>
        <w:rPr>
          <w:i/>
          <w:iCs/>
          <w:spacing w:val="-21"/>
        </w:rPr>
        <w:t>注：数据截至2024年2月26日</w:t>
      </w:r>
    </w:p>
    <w:p>
      <w:pPr>
        <w:spacing w:before="96"/>
      </w:pPr>
    </w:p>
    <w:p>
      <w:pPr>
        <w:spacing w:before="96"/>
      </w:pPr>
    </w:p>
    <w:p>
      <w:pPr>
        <w:sectPr>
          <w:headerReference w:type="default" r:id="rId37"/>
          <w:footerReference w:type="default" r:id="rId38"/>
          <w:type w:val="nextPage"/>
          <w:pgSz w:w="11900" w:h="16840"/>
          <w:pgMar w:top="400" w:right="800" w:bottom="400" w:left="699" w:header="0" w:footer="0" w:gutter="0"/>
          <w:pgNumType w:start="11"/>
          <w:cols w:num="1" w:space="708" w:equalWidth="0">
            <w:col w:w="10401" w:space="0"/>
          </w:cols>
          <w:titlePg w:val="0"/>
        </w:sectPr>
      </w:pPr>
    </w:p>
    <w:p>
      <w:pPr>
        <w:pStyle w:val="BodyText"/>
        <w:spacing w:before="64" w:line="198" w:lineRule="auto"/>
        <w:ind w:left="1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pacing w:val="9"/>
          <w:sz w:val="20"/>
          <w:szCs w:val="20"/>
        </w:rPr>
        <w:t>万联证券研究所</w:t>
      </w:r>
      <w:r>
        <w:rPr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www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wlzq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cn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2" w:line="217" w:lineRule="auto"/>
        <w:rPr>
          <w:sz w:val="20"/>
          <w:szCs w:val="20"/>
        </w:rPr>
      </w:pPr>
      <w:r>
        <w:pict>
          <v:rect id="_x0000_s1035" style="width:511.55pt;height:1.05pt;margin-top:1.81pt;margin-left:-455.5pt;position:absolute;z-index:251674624" filled="t" fillcolor="red" stroked="f"/>
        </w:pict>
      </w:r>
      <w:r>
        <w:rPr>
          <w:spacing w:val="-3"/>
          <w:sz w:val="20"/>
          <w:szCs w:val="20"/>
        </w:rPr>
        <w:t>第5页共15页</w:t>
      </w:r>
    </w:p>
    <w:p>
      <w:pPr>
        <w:spacing w:line="217" w:lineRule="auto"/>
        <w:rPr>
          <w:sz w:val="20"/>
          <w:szCs w:val="20"/>
        </w:rPr>
        <w:sectPr>
          <w:headerReference w:type="default" r:id="rId39"/>
          <w:footerReference w:type="default" r:id="rId40"/>
          <w:type w:val="continuous"/>
          <w:pgSz w:w="11900" w:h="16840"/>
          <w:pgMar w:top="400" w:right="800" w:bottom="400" w:left="699" w:header="0" w:footer="0" w:gutter="0"/>
          <w:pgNumType w:start="12"/>
          <w:cols w:num="2" w:space="708" w:equalWidth="0">
            <w:col w:w="9051" w:space="100"/>
            <w:col w:w="1250" w:space="0"/>
          </w:cols>
        </w:sectPr>
      </w:pPr>
    </w:p>
    <w:p>
      <w:pPr>
        <w:pStyle w:val="BodyText"/>
        <w:spacing w:before="235" w:line="224" w:lineRule="auto"/>
        <w:ind w:left="2950"/>
        <w:rPr>
          <w:sz w:val="20"/>
          <w:szCs w:val="20"/>
        </w:rPr>
      </w:pP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2216170</wp:posOffset>
            </wp:positionH>
            <wp:positionV relativeFrom="page">
              <wp:posOffset>666733</wp:posOffset>
            </wp:positionV>
            <wp:extent cx="4813264" cy="6415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13264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2209822</wp:posOffset>
            </wp:positionH>
            <wp:positionV relativeFrom="page">
              <wp:posOffset>5384768</wp:posOffset>
            </wp:positionV>
            <wp:extent cx="4718052" cy="6415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718052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20"/>
          <w:szCs w:val="20"/>
        </w:rPr>
        <w:t>图表6:5年期</w:t>
      </w:r>
      <w:r>
        <w:rPr>
          <w:rFonts w:ascii="Times New Roman" w:eastAsia="Times New Roman" w:hAnsi="Times New Roman" w:cs="Times New Roman"/>
          <w:sz w:val="20"/>
          <w:szCs w:val="20"/>
        </w:rPr>
        <w:t>LPR</w:t>
      </w:r>
      <w:r>
        <w:rPr>
          <w:spacing w:val="6"/>
          <w:sz w:val="20"/>
          <w:szCs w:val="20"/>
        </w:rPr>
        <w:t>和1年期</w:t>
      </w:r>
      <w:r>
        <w:rPr>
          <w:rFonts w:ascii="Times New Roman" w:eastAsia="Times New Roman" w:hAnsi="Times New Roman" w:cs="Times New Roman"/>
          <w:sz w:val="20"/>
          <w:szCs w:val="20"/>
        </w:rPr>
        <w:t>LPR</w:t>
      </w:r>
      <w:r>
        <w:rPr>
          <w:spacing w:val="6"/>
          <w:sz w:val="20"/>
          <w:szCs w:val="20"/>
        </w:rPr>
        <w:t>走</w:t>
      </w:r>
      <w:r>
        <w:rPr>
          <w:spacing w:val="6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势</w:t>
      </w:r>
      <w:r>
        <w:rPr>
          <w:spacing w:val="6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(</w:t>
      </w:r>
      <w:r>
        <w:rPr>
          <w:spacing w:val="-8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%</w:t>
      </w:r>
      <w:r>
        <w:rPr>
          <w:spacing w:val="-23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)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69" w:line="211" w:lineRule="auto"/>
        <w:ind w:left="2946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1765349</wp:posOffset>
            </wp:positionH>
            <wp:positionV relativeFrom="paragraph">
              <wp:posOffset>-3143932</wp:posOffset>
            </wp:positionV>
            <wp:extent cx="4838653" cy="3213152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838653" cy="3213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iCs/>
          <w:spacing w:val="-22"/>
          <w:w w:val="97"/>
        </w:rPr>
        <w:t>资料来源：同花顺，万联证券研究所</w:t>
      </w:r>
    </w:p>
    <w:p>
      <w:pPr>
        <w:pStyle w:val="BodyText"/>
        <w:spacing w:before="83" w:line="214" w:lineRule="auto"/>
        <w:ind w:left="2945"/>
      </w:pPr>
      <w:r>
        <w:rPr>
          <w:i/>
          <w:iCs/>
          <w:spacing w:val="-20"/>
        </w:rPr>
        <w:t>注：数据截至2024年2月26日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pStyle w:val="BodyText"/>
        <w:spacing w:before="65" w:line="258" w:lineRule="auto"/>
        <w:ind w:left="2699" w:right="50"/>
        <w:rPr>
          <w:sz w:val="20"/>
          <w:szCs w:val="20"/>
        </w:rPr>
      </w:pPr>
      <w:r>
        <w:rPr>
          <w:spacing w:val="21"/>
          <w:sz w:val="20"/>
          <w:szCs w:val="20"/>
        </w:rPr>
        <w:t>从资金成交量来看，2月银行间质押式回购成交额较上月有所减少，当月均值为</w:t>
      </w:r>
      <w:r>
        <w:rPr>
          <w:spacing w:val="13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58,064.21亿元，较上月减少23.31%%。</w:t>
      </w:r>
    </w:p>
    <w:p>
      <w:pPr>
        <w:pStyle w:val="BodyText"/>
        <w:spacing w:before="267" w:line="190" w:lineRule="auto"/>
        <w:ind w:left="2950"/>
        <w:rPr>
          <w:sz w:val="20"/>
          <w:szCs w:val="20"/>
        </w:rPr>
        <w:sectPr>
          <w:headerReference w:type="default" r:id="rId44"/>
          <w:footerReference w:type="default" r:id="rId45"/>
          <w:pgSz w:w="11900" w:h="16840"/>
          <w:pgMar w:top="899" w:right="810" w:bottom="759" w:left="689" w:header="269" w:footer="494" w:gutter="0"/>
          <w:pgNumType w:start="13"/>
          <w:cols w:space="708"/>
        </w:sectPr>
      </w:pPr>
      <w:r>
        <w:rPr>
          <w:spacing w:val="20"/>
          <w:sz w:val="20"/>
          <w:szCs w:val="20"/>
        </w:rPr>
        <w:t>图表7:银行间质押式回购成交量(亿元)</w:t>
      </w:r>
    </w:p>
    <w:p>
      <w:pPr>
        <w:spacing w:line="4137" w:lineRule="exact"/>
        <w:ind w:firstLine="2770"/>
      </w:pPr>
      <w:r>
        <w:rPr>
          <w:position w:val="-82"/>
        </w:rPr>
        <w:drawing>
          <wp:inline distT="0" distB="0" distL="0" distR="0">
            <wp:extent cx="4762484" cy="2627618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762484" cy="262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0" w:line="211" w:lineRule="auto"/>
        <w:ind w:left="2946"/>
      </w:pPr>
      <w:r>
        <w:rPr>
          <w:i/>
          <w:iCs/>
          <w:spacing w:val="-22"/>
          <w:w w:val="97"/>
        </w:rPr>
        <w:t>资料来源：同花顺，万联证券研究所</w:t>
      </w:r>
    </w:p>
    <w:p>
      <w:pPr>
        <w:pStyle w:val="BodyText"/>
        <w:spacing w:before="73" w:line="214" w:lineRule="auto"/>
        <w:ind w:left="2945"/>
      </w:pPr>
      <w:r>
        <w:rPr>
          <w:i/>
          <w:iCs/>
          <w:spacing w:val="-20"/>
        </w:rPr>
        <w:t>注：数据截至2024年2月26日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pStyle w:val="BodyText"/>
        <w:spacing w:before="66" w:line="227" w:lineRule="auto"/>
        <w:ind w:left="2702"/>
        <w:outlineLvl w:val="1"/>
        <w:rPr>
          <w:sz w:val="20"/>
          <w:szCs w:val="20"/>
        </w:rPr>
      </w:pPr>
      <w:r>
        <w:rPr>
          <w:b/>
          <w:bCs/>
          <w:spacing w:val="-9"/>
          <w:sz w:val="20"/>
          <w:szCs w:val="20"/>
        </w:rPr>
        <w:t>2.2</w:t>
      </w:r>
      <w:r>
        <w:rPr>
          <w:spacing w:val="-9"/>
          <w:sz w:val="20"/>
          <w:szCs w:val="20"/>
        </w:rPr>
        <w:t xml:space="preserve">  </w:t>
      </w:r>
      <w:r>
        <w:rPr>
          <w:b/>
          <w:bCs/>
          <w:spacing w:val="-9"/>
          <w:sz w:val="20"/>
          <w:szCs w:val="20"/>
        </w:rPr>
        <w:t>A</w:t>
      </w:r>
      <w:r>
        <w:rPr>
          <w:spacing w:val="-38"/>
          <w:sz w:val="20"/>
          <w:szCs w:val="20"/>
        </w:rPr>
        <w:t xml:space="preserve"> </w:t>
      </w:r>
      <w:r>
        <w:rPr>
          <w:b/>
          <w:bCs/>
          <w:spacing w:val="-9"/>
          <w:sz w:val="20"/>
          <w:szCs w:val="20"/>
        </w:rPr>
        <w:t>股</w:t>
      </w:r>
      <w:r>
        <w:rPr>
          <w:spacing w:val="-42"/>
          <w:sz w:val="20"/>
          <w:szCs w:val="20"/>
        </w:rPr>
        <w:t xml:space="preserve"> </w:t>
      </w:r>
      <w:r>
        <w:rPr>
          <w:b/>
          <w:bCs/>
          <w:spacing w:val="-9"/>
          <w:sz w:val="20"/>
          <w:szCs w:val="20"/>
        </w:rPr>
        <w:t>市</w:t>
      </w:r>
      <w:r>
        <w:rPr>
          <w:spacing w:val="-36"/>
          <w:sz w:val="20"/>
          <w:szCs w:val="20"/>
        </w:rPr>
        <w:t xml:space="preserve"> </w:t>
      </w:r>
      <w:r>
        <w:rPr>
          <w:b/>
          <w:bCs/>
          <w:spacing w:val="-9"/>
          <w:sz w:val="20"/>
          <w:szCs w:val="20"/>
        </w:rPr>
        <w:t>场</w:t>
      </w:r>
      <w:r>
        <w:rPr>
          <w:spacing w:val="-36"/>
          <w:sz w:val="20"/>
          <w:szCs w:val="20"/>
        </w:rPr>
        <w:t xml:space="preserve"> </w:t>
      </w:r>
      <w:r>
        <w:rPr>
          <w:b/>
          <w:bCs/>
          <w:spacing w:val="-9"/>
          <w:sz w:val="20"/>
          <w:szCs w:val="20"/>
        </w:rPr>
        <w:t>流</w:t>
      </w:r>
      <w:r>
        <w:rPr>
          <w:spacing w:val="-43"/>
          <w:sz w:val="20"/>
          <w:szCs w:val="20"/>
        </w:rPr>
        <w:t xml:space="preserve"> </w:t>
      </w:r>
      <w:r>
        <w:rPr>
          <w:b/>
          <w:bCs/>
          <w:spacing w:val="-9"/>
          <w:sz w:val="20"/>
          <w:szCs w:val="20"/>
        </w:rPr>
        <w:t>动</w:t>
      </w:r>
      <w:r>
        <w:rPr>
          <w:spacing w:val="-40"/>
          <w:sz w:val="20"/>
          <w:szCs w:val="20"/>
        </w:rPr>
        <w:t xml:space="preserve"> </w:t>
      </w:r>
      <w:r>
        <w:rPr>
          <w:b/>
          <w:bCs/>
          <w:spacing w:val="-9"/>
          <w:sz w:val="20"/>
          <w:szCs w:val="20"/>
        </w:rPr>
        <w:t>性</w:t>
      </w:r>
      <w:r>
        <w:rPr>
          <w:spacing w:val="-40"/>
          <w:sz w:val="20"/>
          <w:szCs w:val="20"/>
        </w:rPr>
        <w:t xml:space="preserve"> </w:t>
      </w:r>
      <w:r>
        <w:rPr>
          <w:b/>
          <w:bCs/>
          <w:spacing w:val="-9"/>
          <w:sz w:val="20"/>
          <w:szCs w:val="20"/>
        </w:rPr>
        <w:t>指</w:t>
      </w:r>
      <w:r>
        <w:rPr>
          <w:spacing w:val="-43"/>
          <w:sz w:val="20"/>
          <w:szCs w:val="20"/>
        </w:rPr>
        <w:t xml:space="preserve"> </w:t>
      </w:r>
      <w:r>
        <w:rPr>
          <w:b/>
          <w:bCs/>
          <w:spacing w:val="-9"/>
          <w:sz w:val="20"/>
          <w:szCs w:val="20"/>
        </w:rPr>
        <w:t>标</w:t>
      </w:r>
    </w:p>
    <w:p>
      <w:pPr>
        <w:pStyle w:val="BodyText"/>
        <w:spacing w:before="190" w:line="220" w:lineRule="auto"/>
        <w:ind w:left="2699"/>
        <w:rPr>
          <w:sz w:val="20"/>
          <w:szCs w:val="20"/>
        </w:rPr>
      </w:pPr>
      <w:r>
        <w:rPr>
          <w:spacing w:val="4"/>
          <w:sz w:val="20"/>
          <w:szCs w:val="20"/>
        </w:rPr>
        <w:t>截至2月26日，本月产业资本净增持，且规模</w:t>
      </w:r>
      <w:r>
        <w:rPr>
          <w:spacing w:val="3"/>
          <w:sz w:val="20"/>
          <w:szCs w:val="20"/>
        </w:rPr>
        <w:t>增加。北向资金重</w:t>
      </w:r>
      <w:r>
        <w:rPr>
          <w:b/>
          <w:bCs/>
          <w:spacing w:val="3"/>
          <w:sz w:val="20"/>
          <w:szCs w:val="20"/>
        </w:rPr>
        <w:t>新臊谎场、</w:t>
      </w:r>
      <w:r>
        <w:rPr>
          <w:spacing w:val="3"/>
          <w:sz w:val="20"/>
          <w:szCs w:val="20"/>
        </w:rPr>
        <w:t>限</w:t>
      </w:r>
    </w:p>
    <w:p>
      <w:pPr>
        <w:pStyle w:val="BodyText"/>
        <w:spacing w:before="82" w:line="270" w:lineRule="auto"/>
        <w:ind w:left="2699" w:right="50"/>
        <w:rPr>
          <w:sz w:val="20"/>
          <w:szCs w:val="20"/>
        </w:rPr>
      </w:pPr>
      <w:r>
        <w:rPr>
          <w:spacing w:val="8"/>
          <w:sz w:val="20"/>
          <w:szCs w:val="20"/>
        </w:rPr>
        <w:t>售解禁规模减少。往后看，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A</w:t>
      </w:r>
      <w:r>
        <w:rPr>
          <w:spacing w:val="8"/>
          <w:sz w:val="20"/>
          <w:szCs w:val="20"/>
        </w:rPr>
        <w:t>股市场流动性环境有望继续改善。资本市场</w:t>
      </w:r>
      <w:r>
        <w:rPr>
          <w:spacing w:val="7"/>
          <w:sz w:val="20"/>
          <w:szCs w:val="20"/>
        </w:rPr>
        <w:t>风险情绪受</w:t>
      </w:r>
      <w:r>
        <w:rPr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到提振，</w:t>
      </w:r>
      <w:r>
        <w:rPr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A</w:t>
      </w:r>
      <w:r>
        <w:rPr>
          <w:spacing w:val="5"/>
          <w:sz w:val="20"/>
          <w:szCs w:val="20"/>
        </w:rPr>
        <w:t>股配置性价比依然突出，北向资金配置意愿有望提升。证监会继续发布多</w:t>
      </w:r>
      <w:r>
        <w:rPr>
          <w:spacing w:val="13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项利好政策，并召开多场座谈会、记者会回应市场关切，有助于稳定市场预期、提振</w:t>
      </w:r>
    </w:p>
    <w:p>
      <w:pPr>
        <w:spacing w:line="270" w:lineRule="auto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https://d.book118.com/056033225233010053</w:t>
        </w:r>
      </w:hyperlink>
    </w:p>
    <w:p>
      <w:pPr>
        <w:spacing w:line="270" w:lineRule="auto"/>
        <w:rPr>
          <w:sz w:val="20"/>
          <w:szCs w:val="20"/>
        </w:rPr>
      </w:pPr>
    </w:p>
    <w:sectPr>
      <w:headerReference w:type="default" r:id="rId48"/>
      <w:footerReference w:type="default" r:id="rId49"/>
      <w:type w:val="nextPage"/>
      <w:pgSz w:w="11900" w:h="16840"/>
      <w:pgMar w:top="899" w:right="810" w:bottom="759" w:left="689" w:header="269" w:footer="494" w:gutter="0"/>
      <w:pgNumType w:start="14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5" w:line="203" w:lineRule="auto"/>
      <w:ind w:left="170"/>
      <w:rPr>
        <w:rFonts w:ascii="Times New Roman" w:eastAsia="Times New Roman" w:hAnsi="Times New Roman" w:cs="Times New Roman"/>
      </w:rPr>
    </w:pPr>
    <w:r>
      <w:pict>
        <v:rect id="_x0000_s2049" style="width:512pt;height:1.05pt;margin-top:804pt;margin-left:37.5pt;mso-position-horizontal-relative:page;mso-position-vertical-relative:page;position:absolute;z-index:251659264" o:allowincell="f" filled="t" fillcolor="red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5.75pt;height:14.8pt;margin-top:-0.72pt;margin-left:456pt;position:absolute;z-index:251658240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4" w:lineRule="auto"/>
                  <w:ind w:left="20"/>
                </w:pPr>
                <w:r>
                  <w:rPr>
                    <w:spacing w:val="-11"/>
                  </w:rPr>
                  <w:t>第2页共15页</w:t>
                </w:r>
              </w:p>
            </w:txbxContent>
          </v:textbox>
        </v:shape>
      </w:pict>
    </w:r>
    <w:r>
      <w:rPr>
        <w:spacing w:val="-2"/>
      </w:rPr>
      <w:t>万联证券研究所</w:t>
    </w:r>
    <w:r>
      <w:rPr>
        <w:spacing w:val="-2"/>
      </w:rPr>
      <w:t xml:space="preserve"> </w:t>
    </w:r>
    <w:r>
      <w:rPr>
        <w:rFonts w:ascii="Times New Roman" w:eastAsia="Times New Roman" w:hAnsi="Times New Roman" w:cs="Times New Roman"/>
        <w:spacing w:val="-2"/>
      </w:rPr>
      <w:t>www.wlzq.cn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5" w:line="203" w:lineRule="auto"/>
      <w:ind w:left="170"/>
      <w:rPr>
        <w:rFonts w:ascii="Times New Roman" w:eastAsia="Times New Roman" w:hAnsi="Times New Roman" w:cs="Times New Roman"/>
      </w:rPr>
    </w:pPr>
    <w:r>
      <w:pict>
        <v:rect id="_x0000_s2051" style="width:512pt;height:1.05pt;margin-top:804pt;margin-left:37.5pt;mso-position-horizontal-relative:page;mso-position-vertical-relative:page;position:absolute;z-index:251661312" o:allowincell="f" filled="t" fillcolor="red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5.75pt;height:14.8pt;margin-top:-0.72pt;margin-left:456pt;position:absolute;z-index:251660288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4" w:lineRule="auto"/>
                  <w:ind w:left="20"/>
                </w:pPr>
                <w:r>
                  <w:rPr>
                    <w:spacing w:val="-11"/>
                  </w:rPr>
                  <w:t>第2页共15页</w:t>
                </w:r>
              </w:p>
            </w:txbxContent>
          </v:textbox>
        </v:shape>
      </w:pict>
    </w:r>
    <w:r>
      <w:rPr>
        <w:spacing w:val="-2"/>
      </w:rPr>
      <w:t>万联证券研究所</w:t>
    </w:r>
    <w:r>
      <w:rPr>
        <w:spacing w:val="-2"/>
      </w:rPr>
      <w:t xml:space="preserve"> </w:t>
    </w:r>
    <w:r>
      <w:rPr>
        <w:rFonts w:ascii="Times New Roman" w:eastAsia="Times New Roman" w:hAnsi="Times New Roman" w:cs="Times New Roman"/>
        <w:spacing w:val="-2"/>
      </w:rPr>
      <w:t>www.wlzq.cn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5" w:line="203" w:lineRule="auto"/>
      <w:ind w:left="170"/>
      <w:rPr>
        <w:rFonts w:ascii="Times New Roman" w:eastAsia="Times New Roman" w:hAnsi="Times New Roman" w:cs="Times New Roman"/>
      </w:rPr>
    </w:pPr>
    <w:r>
      <w:pict>
        <v:rect id="_x0000_s2054" style="width:512pt;height:1.05pt;margin-top:804pt;margin-left:37.5pt;mso-position-horizontal-relative:page;mso-position-vertical-relative:page;position:absolute;z-index:251663360" o:allowincell="f" filled="t" fillcolor="red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5.8pt;height:14.8pt;margin-top:-0.72pt;margin-left:456.5pt;position:absolute;z-index:25166233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4" w:lineRule="auto"/>
                  <w:ind w:left="20"/>
                </w:pPr>
                <w:r>
                  <w:rPr>
                    <w:spacing w:val="-10"/>
                  </w:rPr>
                  <w:t>第3页共15页</w:t>
                </w:r>
              </w:p>
            </w:txbxContent>
          </v:textbox>
        </v:shape>
      </w:pict>
    </w:r>
    <w:r>
      <w:rPr>
        <w:spacing w:val="-2"/>
      </w:rPr>
      <w:t>万联证券研究所</w:t>
    </w:r>
    <w:r>
      <w:rPr>
        <w:spacing w:val="-2"/>
      </w:rPr>
      <w:t xml:space="preserve"> </w:t>
    </w:r>
    <w:r>
      <w:rPr>
        <w:rFonts w:ascii="Times New Roman" w:eastAsia="Times New Roman" w:hAnsi="Times New Roman" w:cs="Times New Roman"/>
        <w:spacing w:val="-2"/>
      </w:rPr>
      <w:t>www.wlzq.cn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5" w:line="203" w:lineRule="auto"/>
      <w:ind w:left="170"/>
      <w:rPr>
        <w:rFonts w:ascii="Times New Roman" w:eastAsia="Times New Roman" w:hAnsi="Times New Roman" w:cs="Times New Roman"/>
      </w:rPr>
    </w:pPr>
    <w:r>
      <w:pict>
        <v:rect id="_x0000_s2057" style="width:512pt;height:1.05pt;margin-top:804pt;margin-left:37.5pt;mso-position-horizontal-relative:page;mso-position-vertical-relative:page;position:absolute;z-index:251665408" o:allowincell="f" filled="t" fillcolor="red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5.8pt;height:14.8pt;margin-top:-0.72pt;margin-left:456.5pt;position:absolute;z-index:251664384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4" w:lineRule="auto"/>
                  <w:ind w:left="20"/>
                </w:pPr>
                <w:r>
                  <w:rPr>
                    <w:spacing w:val="-10"/>
                  </w:rPr>
                  <w:t>第3页共15页</w:t>
                </w:r>
              </w:p>
            </w:txbxContent>
          </v:textbox>
        </v:shape>
      </w:pict>
    </w:r>
    <w:r>
      <w:rPr>
        <w:spacing w:val="-2"/>
      </w:rPr>
      <w:t>万联证券研究所</w:t>
    </w:r>
    <w:r>
      <w:rPr>
        <w:spacing w:val="-2"/>
      </w:rPr>
      <w:t xml:space="preserve"> </w:t>
    </w:r>
    <w:r>
      <w:rPr>
        <w:rFonts w:ascii="Times New Roman" w:eastAsia="Times New Roman" w:hAnsi="Times New Roman" w:cs="Times New Roman"/>
        <w:spacing w:val="-2"/>
      </w:rPr>
      <w:t>www.wlzq.cn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5" w:line="20" w:lineRule="exact"/>
      <w:ind w:firstLine="60"/>
    </w:pPr>
    <w:r>
      <w:drawing>
        <wp:inline distT="0" distB="0" distL="0" distR="0">
          <wp:extent cx="6502367" cy="12725"/>
          <wp:effectExtent l="0" t="0" r="0" b="0"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02367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02" w:lineRule="auto"/>
      <w:ind w:left="170"/>
      <w:rPr>
        <w:rFonts w:ascii="Times New Roman" w:eastAsia="Times New Roman" w:hAnsi="Times New Roman" w:cs="Times New Roman"/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6.1pt;height:14.2pt;margin-top:-1.98pt;margin-left:457pt;position:absolute;z-index:-251650048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4" w:lineRule="auto"/>
                  <w:ind w:left="20"/>
                  <w:rPr>
                    <w:sz w:val="20"/>
                    <w:szCs w:val="20"/>
                  </w:rPr>
                </w:pPr>
                <w:r>
                  <w:rPr>
                    <w:spacing w:val="-3"/>
                    <w:sz w:val="20"/>
                    <w:szCs w:val="20"/>
                  </w:rPr>
                  <w:t>第4页共15页</w:t>
                </w:r>
              </w:p>
            </w:txbxContent>
          </v:textbox>
        </v:shape>
      </w:pict>
    </w:r>
    <w:r>
      <w:rPr>
        <w:spacing w:val="9"/>
        <w:sz w:val="20"/>
        <w:szCs w:val="20"/>
      </w:rPr>
      <w:t>万联证券研究所</w:t>
    </w:r>
    <w:r>
      <w:rPr>
        <w:spacing w:val="9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</w:rPr>
      <w:t>www</w:t>
    </w:r>
    <w:r>
      <w:rPr>
        <w:rFonts w:ascii="Times New Roman" w:eastAsia="Times New Roman" w:hAnsi="Times New Roman" w:cs="Times New Roman"/>
        <w:spacing w:val="9"/>
        <w:sz w:val="20"/>
        <w:szCs w:val="20"/>
      </w:rPr>
      <w:t>.</w:t>
    </w:r>
    <w:r>
      <w:rPr>
        <w:rFonts w:ascii="Times New Roman" w:eastAsia="Times New Roman" w:hAnsi="Times New Roman" w:cs="Times New Roman"/>
        <w:sz w:val="20"/>
        <w:szCs w:val="20"/>
      </w:rPr>
      <w:t>wlzq</w:t>
    </w:r>
    <w:r>
      <w:rPr>
        <w:rFonts w:ascii="Times New Roman" w:eastAsia="Times New Roman" w:hAnsi="Times New Roman" w:cs="Times New Roman"/>
        <w:spacing w:val="9"/>
        <w:sz w:val="20"/>
        <w:szCs w:val="20"/>
      </w:rPr>
      <w:t>.</w:t>
    </w:r>
    <w:r>
      <w:rPr>
        <w:rFonts w:ascii="Times New Roman" w:eastAsia="Times New Roman" w:hAnsi="Times New Roman" w:cs="Times New Roman"/>
        <w:sz w:val="20"/>
        <w:szCs w:val="20"/>
      </w:rPr>
      <w:t>cn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5" w:line="20" w:lineRule="exact"/>
      <w:ind w:firstLine="60"/>
    </w:pPr>
    <w:r>
      <w:drawing>
        <wp:inline distT="0" distB="0" distL="0" distR="0">
          <wp:extent cx="6502367" cy="12725"/>
          <wp:effectExtent l="0" t="0" r="0" b="0"/>
          <wp:docPr id="1495111255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5111255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02367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02" w:lineRule="auto"/>
      <w:ind w:left="170"/>
      <w:rPr>
        <w:rFonts w:ascii="Times New Roman" w:eastAsia="Times New Roman" w:hAnsi="Times New Roman" w:cs="Times New Roman"/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6.1pt;height:14.2pt;margin-top:-1.98pt;margin-left:457pt;position:absolute;z-index:-251649024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4" w:lineRule="auto"/>
                  <w:ind w:left="20"/>
                  <w:rPr>
                    <w:sz w:val="20"/>
                    <w:szCs w:val="20"/>
                  </w:rPr>
                </w:pPr>
                <w:r>
                  <w:rPr>
                    <w:spacing w:val="-3"/>
                    <w:sz w:val="20"/>
                    <w:szCs w:val="20"/>
                  </w:rPr>
                  <w:t>第4页共15页</w:t>
                </w:r>
              </w:p>
            </w:txbxContent>
          </v:textbox>
        </v:shape>
      </w:pict>
    </w:r>
    <w:r>
      <w:rPr>
        <w:spacing w:val="9"/>
        <w:sz w:val="20"/>
        <w:szCs w:val="20"/>
      </w:rPr>
      <w:t>万联证券研究所</w:t>
    </w:r>
    <w:r>
      <w:rPr>
        <w:spacing w:val="9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</w:rPr>
      <w:t>www</w:t>
    </w:r>
    <w:r>
      <w:rPr>
        <w:rFonts w:ascii="Times New Roman" w:eastAsia="Times New Roman" w:hAnsi="Times New Roman" w:cs="Times New Roman"/>
        <w:spacing w:val="9"/>
        <w:sz w:val="20"/>
        <w:szCs w:val="20"/>
      </w:rPr>
      <w:t>.</w:t>
    </w:r>
    <w:r>
      <w:rPr>
        <w:rFonts w:ascii="Times New Roman" w:eastAsia="Times New Roman" w:hAnsi="Times New Roman" w:cs="Times New Roman"/>
        <w:sz w:val="20"/>
        <w:szCs w:val="20"/>
      </w:rPr>
      <w:t>wlzq</w:t>
    </w:r>
    <w:r>
      <w:rPr>
        <w:rFonts w:ascii="Times New Roman" w:eastAsia="Times New Roman" w:hAnsi="Times New Roman" w:cs="Times New Roman"/>
        <w:spacing w:val="9"/>
        <w:sz w:val="20"/>
        <w:szCs w:val="20"/>
      </w:rPr>
      <w:t>.</w:t>
    </w:r>
    <w:r>
      <w:rPr>
        <w:rFonts w:ascii="Times New Roman" w:eastAsia="Times New Roman" w:hAnsi="Times New Roman" w:cs="Times New Roman"/>
        <w:sz w:val="20"/>
        <w:szCs w:val="20"/>
      </w:rPr>
      <w:t>cn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5" w:line="20" w:lineRule="exact"/>
      <w:ind w:firstLine="60"/>
    </w:pPr>
    <w:r>
      <w:drawing>
        <wp:inline distT="0" distB="0" distL="0" distR="0">
          <wp:extent cx="6502367" cy="12725"/>
          <wp:effectExtent l="0" t="0" r="0" b="0"/>
          <wp:docPr id="40" name="IM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 4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02367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02" w:lineRule="auto"/>
      <w:ind w:left="180"/>
      <w:rPr>
        <w:rFonts w:ascii="Times New Roman" w:eastAsia="Times New Roman" w:hAnsi="Times New Roman" w:cs="Times New Roman"/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6.1pt;height:14.2pt;margin-top:-1.98pt;margin-left:457pt;position:absolute;z-index:-251648000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4" w:lineRule="auto"/>
                  <w:ind w:left="20"/>
                  <w:rPr>
                    <w:sz w:val="20"/>
                    <w:szCs w:val="20"/>
                  </w:rPr>
                </w:pPr>
                <w:r>
                  <w:rPr>
                    <w:spacing w:val="-3"/>
                    <w:sz w:val="20"/>
                    <w:szCs w:val="20"/>
                  </w:rPr>
                  <w:t>第6页共15页</w:t>
                </w:r>
              </w:p>
            </w:txbxContent>
          </v:textbox>
        </v:shape>
      </w:pict>
    </w:r>
    <w:r>
      <w:rPr>
        <w:spacing w:val="9"/>
        <w:sz w:val="20"/>
        <w:szCs w:val="20"/>
      </w:rPr>
      <w:t>万联证券研究所</w:t>
    </w:r>
    <w:r>
      <w:rPr>
        <w:spacing w:val="9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</w:rPr>
      <w:t>www</w:t>
    </w:r>
    <w:r>
      <w:rPr>
        <w:rFonts w:ascii="Times New Roman" w:eastAsia="Times New Roman" w:hAnsi="Times New Roman" w:cs="Times New Roman"/>
        <w:spacing w:val="9"/>
        <w:sz w:val="20"/>
        <w:szCs w:val="20"/>
      </w:rPr>
      <w:t>.</w:t>
    </w:r>
    <w:r>
      <w:rPr>
        <w:rFonts w:ascii="Times New Roman" w:eastAsia="Times New Roman" w:hAnsi="Times New Roman" w:cs="Times New Roman"/>
        <w:sz w:val="20"/>
        <w:szCs w:val="20"/>
      </w:rPr>
      <w:t>wlzq</w:t>
    </w:r>
    <w:r>
      <w:rPr>
        <w:rFonts w:ascii="Times New Roman" w:eastAsia="Times New Roman" w:hAnsi="Times New Roman" w:cs="Times New Roman"/>
        <w:spacing w:val="9"/>
        <w:sz w:val="20"/>
        <w:szCs w:val="20"/>
      </w:rPr>
      <w:t>.</w:t>
    </w:r>
    <w:r>
      <w:rPr>
        <w:rFonts w:ascii="Times New Roman" w:eastAsia="Times New Roman" w:hAnsi="Times New Roman" w:cs="Times New Roman"/>
        <w:sz w:val="20"/>
        <w:szCs w:val="20"/>
      </w:rPr>
      <w:t>cn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after="15" w:line="20" w:lineRule="exact"/>
      <w:ind w:firstLine="60"/>
    </w:pPr>
    <w:r>
      <w:drawing>
        <wp:inline distT="0" distB="0" distL="0" distR="0">
          <wp:extent cx="6502367" cy="12725"/>
          <wp:effectExtent l="0" t="0" r="0" b="0"/>
          <wp:docPr id="755165002" name="IM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165002" name="IM 4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02367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BodyText"/>
      <w:spacing w:line="202" w:lineRule="auto"/>
      <w:ind w:left="180"/>
      <w:rPr>
        <w:rFonts w:ascii="Times New Roman" w:eastAsia="Times New Roman" w:hAnsi="Times New Roman" w:cs="Times New Roman"/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6.1pt;height:14.2pt;margin-top:-1.98pt;margin-left:457pt;position:absolute;z-index:-25164697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4" w:lineRule="auto"/>
                  <w:ind w:left="20"/>
                  <w:rPr>
                    <w:sz w:val="20"/>
                    <w:szCs w:val="20"/>
                  </w:rPr>
                </w:pPr>
                <w:r>
                  <w:rPr>
                    <w:spacing w:val="-3"/>
                    <w:sz w:val="20"/>
                    <w:szCs w:val="20"/>
                  </w:rPr>
                  <w:t>第6页共15页</w:t>
                </w:r>
              </w:p>
            </w:txbxContent>
          </v:textbox>
        </v:shape>
      </w:pict>
    </w:r>
    <w:r>
      <w:rPr>
        <w:spacing w:val="9"/>
        <w:sz w:val="20"/>
        <w:szCs w:val="20"/>
      </w:rPr>
      <w:t>万联证券研究所</w:t>
    </w:r>
    <w:r>
      <w:rPr>
        <w:spacing w:val="9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</w:rPr>
      <w:t>www</w:t>
    </w:r>
    <w:r>
      <w:rPr>
        <w:rFonts w:ascii="Times New Roman" w:eastAsia="Times New Roman" w:hAnsi="Times New Roman" w:cs="Times New Roman"/>
        <w:spacing w:val="9"/>
        <w:sz w:val="20"/>
        <w:szCs w:val="20"/>
      </w:rPr>
      <w:t>.</w:t>
    </w:r>
    <w:r>
      <w:rPr>
        <w:rFonts w:ascii="Times New Roman" w:eastAsia="Times New Roman" w:hAnsi="Times New Roman" w:cs="Times New Roman"/>
        <w:sz w:val="20"/>
        <w:szCs w:val="20"/>
      </w:rPr>
      <w:t>wlzq</w:t>
    </w:r>
    <w:r>
      <w:rPr>
        <w:rFonts w:ascii="Times New Roman" w:eastAsia="Times New Roman" w:hAnsi="Times New Roman" w:cs="Times New Roman"/>
        <w:spacing w:val="9"/>
        <w:sz w:val="20"/>
        <w:szCs w:val="20"/>
      </w:rPr>
      <w:t>.</w:t>
    </w:r>
    <w:r>
      <w:rPr>
        <w:rFonts w:ascii="Times New Roman" w:eastAsia="Times New Roman" w:hAnsi="Times New Roman" w:cs="Times New Roman"/>
        <w:sz w:val="20"/>
        <w:szCs w:val="20"/>
      </w:rPr>
      <w:t>cn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88" w:line="222" w:lineRule="auto"/>
      <w:ind w:left="6927"/>
    </w:pPr>
    <w:r>
      <w:pict>
        <v:rect id="_x0000_s2053" style="width:504.8pt;height:0.55pt;margin-top:24.38pt;margin-left:3pt;position:absolute;z-index:251658240" filled="t" fillcolor="black" stroked="f"/>
      </w:pict>
    </w: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444473</wp:posOffset>
          </wp:positionH>
          <wp:positionV relativeFrom="page">
            <wp:posOffset>177831</wp:posOffset>
          </wp:positionV>
          <wp:extent cx="1492257" cy="393624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492257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-11"/>
      </w:rPr>
      <w:t>证</w:t>
    </w:r>
    <w:r>
      <w:rPr>
        <w:spacing w:val="-11"/>
      </w:rPr>
      <w:t xml:space="preserve"> </w:t>
    </w:r>
    <w:r>
      <w:rPr>
        <w:b/>
        <w:bCs/>
        <w:spacing w:val="-11"/>
      </w:rPr>
      <w:t>券</w:t>
    </w:r>
    <w:r>
      <w:rPr>
        <w:spacing w:val="-11"/>
      </w:rPr>
      <w:t xml:space="preserve"> </w:t>
    </w:r>
    <w:r>
      <w:rPr>
        <w:b/>
        <w:bCs/>
        <w:spacing w:val="-11"/>
      </w:rPr>
      <w:t>研</w:t>
    </w:r>
    <w:r>
      <w:rPr>
        <w:spacing w:val="28"/>
      </w:rPr>
      <w:t xml:space="preserve"> </w:t>
    </w:r>
    <w:r>
      <w:rPr>
        <w:b/>
        <w:bCs/>
        <w:spacing w:val="-11"/>
      </w:rPr>
      <w:t>究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  <w:r>
      <w:rPr>
        <w:spacing w:val="41"/>
      </w:rPr>
      <w:t xml:space="preserve"> </w:t>
    </w:r>
    <w:r>
      <w:rPr>
        <w:b/>
        <w:bCs/>
        <w:spacing w:val="-11"/>
      </w:rPr>
      <w:t>|</w:t>
    </w:r>
    <w:r>
      <w:rPr>
        <w:spacing w:val="9"/>
      </w:rPr>
      <w:t xml:space="preserve"> </w:t>
    </w:r>
    <w:r>
      <w:rPr>
        <w:b/>
        <w:bCs/>
        <w:spacing w:val="-11"/>
      </w:rPr>
      <w:t>策</w:t>
    </w:r>
    <w:r>
      <w:rPr>
        <w:spacing w:val="6"/>
      </w:rPr>
      <w:t xml:space="preserve"> </w:t>
    </w:r>
    <w:r>
      <w:rPr>
        <w:b/>
        <w:bCs/>
        <w:spacing w:val="-11"/>
      </w:rPr>
      <w:t>略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88" w:line="222" w:lineRule="auto"/>
      <w:ind w:left="6927"/>
    </w:pPr>
    <w:r>
      <w:pict>
        <v:rect id="_x0000_s2056" style="width:504.8pt;height:0.55pt;margin-top:24.38pt;margin-left:3pt;position:absolute;z-index:251660288" filled="t" fillcolor="black" stroked="f"/>
      </w:pict>
    </w: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444473</wp:posOffset>
          </wp:positionH>
          <wp:positionV relativeFrom="page">
            <wp:posOffset>177831</wp:posOffset>
          </wp:positionV>
          <wp:extent cx="1492257" cy="393624"/>
          <wp:effectExtent l="0" t="0" r="0" b="0"/>
          <wp:wrapNone/>
          <wp:docPr id="298966743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966743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492257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-11"/>
      </w:rPr>
      <w:t>证</w:t>
    </w:r>
    <w:r>
      <w:rPr>
        <w:spacing w:val="-11"/>
      </w:rPr>
      <w:t xml:space="preserve"> </w:t>
    </w:r>
    <w:r>
      <w:rPr>
        <w:b/>
        <w:bCs/>
        <w:spacing w:val="-11"/>
      </w:rPr>
      <w:t>券</w:t>
    </w:r>
    <w:r>
      <w:rPr>
        <w:spacing w:val="-11"/>
      </w:rPr>
      <w:t xml:space="preserve"> </w:t>
    </w:r>
    <w:r>
      <w:rPr>
        <w:b/>
        <w:bCs/>
        <w:spacing w:val="-11"/>
      </w:rPr>
      <w:t>研</w:t>
    </w:r>
    <w:r>
      <w:rPr>
        <w:spacing w:val="28"/>
      </w:rPr>
      <w:t xml:space="preserve"> </w:t>
    </w:r>
    <w:r>
      <w:rPr>
        <w:b/>
        <w:bCs/>
        <w:spacing w:val="-11"/>
      </w:rPr>
      <w:t>究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  <w:r>
      <w:rPr>
        <w:spacing w:val="41"/>
      </w:rPr>
      <w:t xml:space="preserve"> </w:t>
    </w:r>
    <w:r>
      <w:rPr>
        <w:b/>
        <w:bCs/>
        <w:spacing w:val="-11"/>
      </w:rPr>
      <w:t>|</w:t>
    </w:r>
    <w:r>
      <w:rPr>
        <w:spacing w:val="9"/>
      </w:rPr>
      <w:t xml:space="preserve"> </w:t>
    </w:r>
    <w:r>
      <w:rPr>
        <w:b/>
        <w:bCs/>
        <w:spacing w:val="-11"/>
      </w:rPr>
      <w:t>策</w:t>
    </w:r>
    <w:r>
      <w:rPr>
        <w:spacing w:val="6"/>
      </w:rPr>
      <w:t xml:space="preserve"> </w:t>
    </w:r>
    <w:r>
      <w:rPr>
        <w:b/>
        <w:bCs/>
        <w:spacing w:val="-11"/>
      </w:rPr>
      <w:t>略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88" w:line="222" w:lineRule="auto"/>
      <w:ind w:left="6945"/>
    </w:pPr>
    <w:r>
      <w:pict>
        <v:rect id="_x0000_s2059" style="width:505.3pt;height:0.55pt;margin-top:24.38pt;margin-left:3.5pt;position:absolute;z-index:251662336" filled="t" fillcolor="black" stroked="f"/>
      </w:pict>
    </w: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438125</wp:posOffset>
          </wp:positionH>
          <wp:positionV relativeFrom="page">
            <wp:posOffset>177831</wp:posOffset>
          </wp:positionV>
          <wp:extent cx="1504952" cy="393624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4952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4" w:name="bookmark15"/>
    <w:bookmarkEnd w:id="4"/>
    <w:bookmarkStart w:id="5" w:name="bookmark16"/>
    <w:bookmarkEnd w:id="5"/>
    <w:bookmarkStart w:id="6" w:name="bookmark17"/>
    <w:bookmarkEnd w:id="6"/>
    <w:r>
      <w:rPr>
        <w:b/>
        <w:bCs/>
        <w:spacing w:val="-11"/>
      </w:rPr>
      <w:t>证</w:t>
    </w:r>
    <w:r>
      <w:rPr>
        <w:spacing w:val="-11"/>
      </w:rPr>
      <w:t xml:space="preserve"> </w:t>
    </w:r>
    <w:r>
      <w:rPr>
        <w:b/>
        <w:bCs/>
        <w:spacing w:val="-11"/>
      </w:rPr>
      <w:t>券</w:t>
    </w:r>
    <w:r>
      <w:rPr>
        <w:spacing w:val="-11"/>
      </w:rPr>
      <w:t xml:space="preserve"> </w:t>
    </w:r>
    <w:r>
      <w:rPr>
        <w:b/>
        <w:bCs/>
        <w:spacing w:val="-11"/>
      </w:rPr>
      <w:t>研</w:t>
    </w:r>
    <w:r>
      <w:rPr>
        <w:spacing w:val="29"/>
      </w:rPr>
      <w:t xml:space="preserve"> </w:t>
    </w:r>
    <w:r>
      <w:rPr>
        <w:b/>
        <w:bCs/>
        <w:spacing w:val="-11"/>
      </w:rPr>
      <w:t>究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  <w:r>
      <w:rPr>
        <w:spacing w:val="42"/>
      </w:rPr>
      <w:t xml:space="preserve"> </w:t>
    </w:r>
    <w:r>
      <w:rPr>
        <w:b/>
        <w:bCs/>
        <w:spacing w:val="-11"/>
      </w:rPr>
      <w:t>|</w:t>
    </w:r>
    <w:r>
      <w:rPr>
        <w:spacing w:val="9"/>
      </w:rPr>
      <w:t xml:space="preserve"> </w:t>
    </w:r>
    <w:r>
      <w:rPr>
        <w:b/>
        <w:bCs/>
        <w:spacing w:val="-11"/>
      </w:rPr>
      <w:t>策</w:t>
    </w:r>
    <w:r>
      <w:rPr>
        <w:spacing w:val="6"/>
      </w:rPr>
      <w:t xml:space="preserve"> </w:t>
    </w:r>
    <w:r>
      <w:rPr>
        <w:b/>
        <w:bCs/>
        <w:spacing w:val="-11"/>
      </w:rPr>
      <w:t>略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88" w:line="222" w:lineRule="auto"/>
      <w:ind w:left="6945"/>
    </w:pPr>
    <w:r>
      <w:pict>
        <v:rect id="_x0000_s2061" style="width:505.3pt;height:0.55pt;margin-top:24.38pt;margin-left:3.5pt;position:absolute;z-index:251664384" filled="t" fillcolor="black" stroked="f"/>
      </w:pict>
    </w: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438125</wp:posOffset>
          </wp:positionH>
          <wp:positionV relativeFrom="page">
            <wp:posOffset>177831</wp:posOffset>
          </wp:positionV>
          <wp:extent cx="1504952" cy="393624"/>
          <wp:effectExtent l="0" t="0" r="0" b="0"/>
          <wp:wrapNone/>
          <wp:docPr id="1408882551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8882551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4952" cy="393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7" w:name="bookmark15_0"/>
    <w:bookmarkEnd w:id="7"/>
    <w:bookmarkStart w:id="8" w:name="bookmark16_0"/>
    <w:bookmarkEnd w:id="8"/>
    <w:bookmarkStart w:id="9" w:name="bookmark17_0"/>
    <w:bookmarkEnd w:id="9"/>
    <w:r>
      <w:rPr>
        <w:b/>
        <w:bCs/>
        <w:spacing w:val="-11"/>
      </w:rPr>
      <w:t>证</w:t>
    </w:r>
    <w:r>
      <w:rPr>
        <w:spacing w:val="-11"/>
      </w:rPr>
      <w:t xml:space="preserve"> </w:t>
    </w:r>
    <w:r>
      <w:rPr>
        <w:b/>
        <w:bCs/>
        <w:spacing w:val="-11"/>
      </w:rPr>
      <w:t>券</w:t>
    </w:r>
    <w:r>
      <w:rPr>
        <w:spacing w:val="-11"/>
      </w:rPr>
      <w:t xml:space="preserve"> </w:t>
    </w:r>
    <w:r>
      <w:rPr>
        <w:b/>
        <w:bCs/>
        <w:spacing w:val="-11"/>
      </w:rPr>
      <w:t>研</w:t>
    </w:r>
    <w:r>
      <w:rPr>
        <w:spacing w:val="29"/>
      </w:rPr>
      <w:t xml:space="preserve"> </w:t>
    </w:r>
    <w:r>
      <w:rPr>
        <w:b/>
        <w:bCs/>
        <w:spacing w:val="-11"/>
      </w:rPr>
      <w:t>究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  <w:r>
      <w:rPr>
        <w:spacing w:val="42"/>
      </w:rPr>
      <w:t xml:space="preserve"> </w:t>
    </w:r>
    <w:r>
      <w:rPr>
        <w:b/>
        <w:bCs/>
        <w:spacing w:val="-11"/>
      </w:rPr>
      <w:t>|</w:t>
    </w:r>
    <w:r>
      <w:rPr>
        <w:spacing w:val="9"/>
      </w:rPr>
      <w:t xml:space="preserve"> </w:t>
    </w:r>
    <w:r>
      <w:rPr>
        <w:b/>
        <w:bCs/>
        <w:spacing w:val="-11"/>
      </w:rPr>
      <w:t>策</w:t>
    </w:r>
    <w:r>
      <w:rPr>
        <w:spacing w:val="6"/>
      </w:rPr>
      <w:t xml:space="preserve"> </w:t>
    </w:r>
    <w:r>
      <w:rPr>
        <w:b/>
        <w:bCs/>
        <w:spacing w:val="-11"/>
      </w:rPr>
      <w:t>略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98" w:line="222" w:lineRule="auto"/>
      <w:ind w:left="6937"/>
    </w:pPr>
    <w:r>
      <w:pict>
        <v:rect id="_x0000_s2063" style="width:504.8pt;height:0.55pt;margin-top:24.88pt;margin-left:3.5pt;position:absolute;z-index:251666432" filled="t" fillcolor="black" stroked="f"/>
      </w:pict>
    </w: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438125</wp:posOffset>
          </wp:positionH>
          <wp:positionV relativeFrom="page">
            <wp:posOffset>171415</wp:posOffset>
          </wp:positionV>
          <wp:extent cx="1504952" cy="400039"/>
          <wp:effectExtent l="0" t="0" r="0" b="0"/>
          <wp:wrapNone/>
          <wp:docPr id="38" name="IM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 3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495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3" w:name="bookmark19"/>
    <w:bookmarkEnd w:id="13"/>
    <w:bookmarkStart w:id="14" w:name="bookmark20"/>
    <w:bookmarkEnd w:id="14"/>
    <w:bookmarkStart w:id="15" w:name="bookmark6"/>
    <w:bookmarkEnd w:id="15"/>
    <w:r>
      <w:rPr>
        <w:b/>
        <w:bCs/>
        <w:spacing w:val="-11"/>
      </w:rPr>
      <w:t>证</w:t>
    </w:r>
    <w:r>
      <w:rPr>
        <w:spacing w:val="-11"/>
      </w:rPr>
      <w:t xml:space="preserve"> </w:t>
    </w:r>
    <w:r>
      <w:rPr>
        <w:b/>
        <w:bCs/>
        <w:spacing w:val="-11"/>
      </w:rPr>
      <w:t>券</w:t>
    </w:r>
    <w:r>
      <w:rPr>
        <w:spacing w:val="-11"/>
      </w:rPr>
      <w:t xml:space="preserve"> </w:t>
    </w:r>
    <w:r>
      <w:rPr>
        <w:b/>
        <w:bCs/>
        <w:spacing w:val="-11"/>
      </w:rPr>
      <w:t>研</w:t>
    </w:r>
    <w:r>
      <w:rPr>
        <w:spacing w:val="28"/>
      </w:rPr>
      <w:t xml:space="preserve"> </w:t>
    </w:r>
    <w:r>
      <w:rPr>
        <w:b/>
        <w:bCs/>
        <w:spacing w:val="-11"/>
      </w:rPr>
      <w:t>究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  <w:r>
      <w:rPr>
        <w:spacing w:val="41"/>
      </w:rPr>
      <w:t xml:space="preserve"> </w:t>
    </w:r>
    <w:r>
      <w:rPr>
        <w:b/>
        <w:bCs/>
        <w:spacing w:val="-11"/>
      </w:rPr>
      <w:t>|</w:t>
    </w:r>
    <w:r>
      <w:rPr>
        <w:spacing w:val="9"/>
      </w:rPr>
      <w:t xml:space="preserve"> </w:t>
    </w:r>
    <w:r>
      <w:rPr>
        <w:b/>
        <w:bCs/>
        <w:spacing w:val="-11"/>
      </w:rPr>
      <w:t>策</w:t>
    </w:r>
    <w:r>
      <w:rPr>
        <w:spacing w:val="6"/>
      </w:rPr>
      <w:t xml:space="preserve"> </w:t>
    </w:r>
    <w:r>
      <w:rPr>
        <w:b/>
        <w:bCs/>
        <w:spacing w:val="-11"/>
      </w:rPr>
      <w:t>略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98" w:line="222" w:lineRule="auto"/>
      <w:ind w:left="6937"/>
    </w:pPr>
    <w:r>
      <w:pict>
        <v:rect id="_x0000_s2065" style="width:504.8pt;height:0.55pt;margin-top:24.88pt;margin-left:3.5pt;position:absolute;z-index:251668480" filled="t" fillcolor="black" stroked="f"/>
      </w:pict>
    </w: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438125</wp:posOffset>
          </wp:positionH>
          <wp:positionV relativeFrom="page">
            <wp:posOffset>171415</wp:posOffset>
          </wp:positionV>
          <wp:extent cx="1504952" cy="400039"/>
          <wp:effectExtent l="0" t="0" r="0" b="0"/>
          <wp:wrapNone/>
          <wp:docPr id="217471441" name="IM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471441" name="IM 3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495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6" w:name="bookmark19_0"/>
    <w:bookmarkEnd w:id="16"/>
    <w:bookmarkStart w:id="17" w:name="bookmark20_0"/>
    <w:bookmarkEnd w:id="17"/>
    <w:bookmarkStart w:id="18" w:name="bookmark6_0"/>
    <w:bookmarkEnd w:id="18"/>
    <w:r>
      <w:rPr>
        <w:b/>
        <w:bCs/>
        <w:spacing w:val="-11"/>
      </w:rPr>
      <w:t>证</w:t>
    </w:r>
    <w:r>
      <w:rPr>
        <w:spacing w:val="-11"/>
      </w:rPr>
      <w:t xml:space="preserve"> </w:t>
    </w:r>
    <w:r>
      <w:rPr>
        <w:b/>
        <w:bCs/>
        <w:spacing w:val="-11"/>
      </w:rPr>
      <w:t>券</w:t>
    </w:r>
    <w:r>
      <w:rPr>
        <w:spacing w:val="-11"/>
      </w:rPr>
      <w:t xml:space="preserve"> </w:t>
    </w:r>
    <w:r>
      <w:rPr>
        <w:b/>
        <w:bCs/>
        <w:spacing w:val="-11"/>
      </w:rPr>
      <w:t>研</w:t>
    </w:r>
    <w:r>
      <w:rPr>
        <w:spacing w:val="28"/>
      </w:rPr>
      <w:t xml:space="preserve"> </w:t>
    </w:r>
    <w:r>
      <w:rPr>
        <w:b/>
        <w:bCs/>
        <w:spacing w:val="-11"/>
      </w:rPr>
      <w:t>究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  <w:r>
      <w:rPr>
        <w:spacing w:val="41"/>
      </w:rPr>
      <w:t xml:space="preserve"> </w:t>
    </w:r>
    <w:r>
      <w:rPr>
        <w:b/>
        <w:bCs/>
        <w:spacing w:val="-11"/>
      </w:rPr>
      <w:t>|</w:t>
    </w:r>
    <w:r>
      <w:rPr>
        <w:spacing w:val="9"/>
      </w:rPr>
      <w:t xml:space="preserve"> </w:t>
    </w:r>
    <w:r>
      <w:rPr>
        <w:b/>
        <w:bCs/>
        <w:spacing w:val="-11"/>
      </w:rPr>
      <w:t>策</w:t>
    </w:r>
    <w:r>
      <w:rPr>
        <w:spacing w:val="6"/>
      </w:rPr>
      <w:t xml:space="preserve"> </w:t>
    </w:r>
    <w:r>
      <w:rPr>
        <w:b/>
        <w:bCs/>
        <w:spacing w:val="-11"/>
      </w:rPr>
      <w:t>略</w:t>
    </w:r>
    <w:r>
      <w:rPr>
        <w:spacing w:val="3"/>
      </w:rPr>
      <w:t xml:space="preserve"> </w:t>
    </w:r>
    <w:r>
      <w:rPr>
        <w:b/>
        <w:bCs/>
        <w:spacing w:val="-11"/>
      </w:rPr>
      <w:t>报</w:t>
    </w:r>
    <w:r>
      <w:rPr>
        <w:spacing w:val="2"/>
      </w:rPr>
      <w:t xml:space="preserve"> </w:t>
    </w:r>
    <w:r>
      <w:rPr>
        <w:b/>
        <w:bCs/>
        <w:spacing w:val="-11"/>
      </w:rPr>
      <w:t>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KaiTi" w:eastAsia="KaiTi" w:hAnsi="KaiTi" w:cs="KaiTi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image" Target="media/image5.jpeg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header" Target="header5.xml" /><Relationship Id="rId15" Type="http://schemas.openxmlformats.org/officeDocument/2006/relationships/footer" Target="footer2.xml" /><Relationship Id="rId16" Type="http://schemas.openxmlformats.org/officeDocument/2006/relationships/image" Target="media/image6.png" /><Relationship Id="rId17" Type="http://schemas.openxmlformats.org/officeDocument/2006/relationships/image" Target="media/image7.jpeg" /><Relationship Id="rId18" Type="http://schemas.openxmlformats.org/officeDocument/2006/relationships/header" Target="header6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4.xml" /><Relationship Id="rId22" Type="http://schemas.openxmlformats.org/officeDocument/2006/relationships/image" Target="media/image9.png" /><Relationship Id="rId23" Type="http://schemas.openxmlformats.org/officeDocument/2006/relationships/image" Target="media/image10.png" /><Relationship Id="rId24" Type="http://schemas.openxmlformats.org/officeDocument/2006/relationships/image" Target="media/image11.jpeg" /><Relationship Id="rId25" Type="http://schemas.openxmlformats.org/officeDocument/2006/relationships/image" Target="media/image12.jpeg" /><Relationship Id="rId26" Type="http://schemas.openxmlformats.org/officeDocument/2006/relationships/header" Target="header8.xml" /><Relationship Id="rId27" Type="http://schemas.openxmlformats.org/officeDocument/2006/relationships/footer" Target="footer5.xml" /><Relationship Id="rId28" Type="http://schemas.openxmlformats.org/officeDocument/2006/relationships/image" Target="media/image15.png" /><Relationship Id="rId29" Type="http://schemas.openxmlformats.org/officeDocument/2006/relationships/header" Target="header9.xml" /><Relationship Id="rId3" Type="http://schemas.openxmlformats.org/officeDocument/2006/relationships/fontTable" Target="fontTable.xml" /><Relationship Id="rId30" Type="http://schemas.openxmlformats.org/officeDocument/2006/relationships/footer" Target="footer6.xml" /><Relationship Id="rId31" Type="http://schemas.openxmlformats.org/officeDocument/2006/relationships/image" Target="media/image16.jpeg" /><Relationship Id="rId32" Type="http://schemas.openxmlformats.org/officeDocument/2006/relationships/image" Target="media/image17.jpeg" /><Relationship Id="rId33" Type="http://schemas.openxmlformats.org/officeDocument/2006/relationships/image" Target="media/image18.jpeg" /><Relationship Id="rId34" Type="http://schemas.openxmlformats.org/officeDocument/2006/relationships/header" Target="header10.xml" /><Relationship Id="rId35" Type="http://schemas.openxmlformats.org/officeDocument/2006/relationships/footer" Target="footer7.xml" /><Relationship Id="rId36" Type="http://schemas.openxmlformats.org/officeDocument/2006/relationships/image" Target="media/image19.jpeg" /><Relationship Id="rId37" Type="http://schemas.openxmlformats.org/officeDocument/2006/relationships/header" Target="header11.xml" /><Relationship Id="rId38" Type="http://schemas.openxmlformats.org/officeDocument/2006/relationships/footer" Target="footer8.xml" /><Relationship Id="rId39" Type="http://schemas.openxmlformats.org/officeDocument/2006/relationships/header" Target="header12.xml" /><Relationship Id="rId4" Type="http://schemas.openxmlformats.org/officeDocument/2006/relationships/image" Target="media/image1.jpeg" /><Relationship Id="rId40" Type="http://schemas.openxmlformats.org/officeDocument/2006/relationships/footer" Target="footer9.xml" /><Relationship Id="rId41" Type="http://schemas.openxmlformats.org/officeDocument/2006/relationships/image" Target="media/image20.png" /><Relationship Id="rId42" Type="http://schemas.openxmlformats.org/officeDocument/2006/relationships/image" Target="media/image21.png" /><Relationship Id="rId43" Type="http://schemas.openxmlformats.org/officeDocument/2006/relationships/image" Target="media/image22.jpeg" /><Relationship Id="rId44" Type="http://schemas.openxmlformats.org/officeDocument/2006/relationships/header" Target="header13.xml" /><Relationship Id="rId45" Type="http://schemas.openxmlformats.org/officeDocument/2006/relationships/footer" Target="footer10.xml" /><Relationship Id="rId46" Type="http://schemas.openxmlformats.org/officeDocument/2006/relationships/image" Target="media/image24.jpeg" /><Relationship Id="rId47" Type="http://schemas.openxmlformats.org/officeDocument/2006/relationships/hyperlink" Target="https://d.book118.com/056033225233010053" TargetMode="External" /><Relationship Id="rId48" Type="http://schemas.openxmlformats.org/officeDocument/2006/relationships/header" Target="header14.xml" /><Relationship Id="rId49" Type="http://schemas.openxmlformats.org/officeDocument/2006/relationships/footer" Target="footer11.xml" /><Relationship Id="rId5" Type="http://schemas.openxmlformats.org/officeDocument/2006/relationships/image" Target="media/image2.jpeg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8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3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3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23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2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2024-03-02T10:21:38Z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2024-03-02T10:21:43Z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65e28d2e9563c7001f98d717wl</vt:lpwstr>
  </property>
</Properties>
</file>