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同位素及应用产品项目规划设计方案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00" w:history="1">
        <w:r>
          <w:rPr>
            <w:rFonts w:ascii="仿宋" w:eastAsia="仿宋" w:hAnsi="仿宋" w:cs="仿宋" w:hint="eastAsia"/>
            <w:lang w:eastAsia="zh-CN"/>
          </w:rPr>
          <w:t>序言</w:t>
        </w:r>
        <w:r>
          <w:tab/>
        </w:r>
        <w:r>
          <w:fldChar w:fldCharType="begin"/>
        </w:r>
        <w:r>
          <w:instrText xml:space="preserve"> PAGEREF _Toc26000 \h </w:instrText>
        </w:r>
        <w:r>
          <w:fldChar w:fldCharType="separate"/>
        </w:r>
        <w:r>
          <w:t>3</w:t>
        </w:r>
        <w:r>
          <w:fldChar w:fldCharType="end"/>
        </w:r>
      </w:hyperlink>
    </w:p>
    <w:p>
      <w:pPr>
        <w:pStyle w:val="TOC1"/>
        <w:tabs>
          <w:tab w:val="right" w:leader="dot" w:pos="8306"/>
        </w:tabs>
      </w:pPr>
      <w:hyperlink w:anchor="_Toc15421" w:history="1">
        <w:r>
          <w:rPr>
            <w:rFonts w:ascii="仿宋" w:eastAsia="仿宋" w:hAnsi="仿宋" w:cs="仿宋" w:hint="eastAsia"/>
            <w:lang w:eastAsia="zh-CN"/>
          </w:rPr>
          <w:t>一、同位素及应用产品项目建设背景及必要性分析</w:t>
        </w:r>
        <w:r>
          <w:tab/>
        </w:r>
        <w:r>
          <w:fldChar w:fldCharType="begin"/>
        </w:r>
        <w:r>
          <w:instrText xml:space="preserve"> PAGEREF _Toc15421 \h </w:instrText>
        </w:r>
        <w:r>
          <w:fldChar w:fldCharType="separate"/>
        </w:r>
        <w:r>
          <w:t>3</w:t>
        </w:r>
        <w:r>
          <w:fldChar w:fldCharType="end"/>
        </w:r>
      </w:hyperlink>
    </w:p>
    <w:p>
      <w:pPr>
        <w:pStyle w:val="TOC2"/>
        <w:tabs>
          <w:tab w:val="right" w:leader="dot" w:pos="8306"/>
        </w:tabs>
      </w:pPr>
      <w:hyperlink w:anchor="_Toc21305" w:history="1">
        <w:r>
          <w:rPr>
            <w:rFonts w:ascii="仿宋" w:eastAsia="仿宋" w:hAnsi="仿宋" w:cs="仿宋" w:hint="eastAsia"/>
            <w:lang w:eastAsia="zh-CN"/>
          </w:rPr>
          <w:t>(一)、同位素及应用产品项目背景分析</w:t>
        </w:r>
        <w:r>
          <w:tab/>
        </w:r>
        <w:r>
          <w:fldChar w:fldCharType="begin"/>
        </w:r>
        <w:r>
          <w:instrText xml:space="preserve"> PAGEREF _Toc21305 \h </w:instrText>
        </w:r>
        <w:r>
          <w:fldChar w:fldCharType="separate"/>
        </w:r>
        <w:r>
          <w:t>3</w:t>
        </w:r>
        <w:r>
          <w:fldChar w:fldCharType="end"/>
        </w:r>
      </w:hyperlink>
    </w:p>
    <w:p>
      <w:pPr>
        <w:pStyle w:val="TOC2"/>
        <w:tabs>
          <w:tab w:val="right" w:leader="dot" w:pos="8306"/>
        </w:tabs>
      </w:pPr>
      <w:hyperlink w:anchor="_Toc10409" w:history="1">
        <w:r>
          <w:rPr>
            <w:rFonts w:ascii="仿宋" w:eastAsia="仿宋" w:hAnsi="仿宋" w:cs="仿宋" w:hint="eastAsia"/>
            <w:lang w:eastAsia="zh-CN"/>
          </w:rPr>
          <w:t>(二)、同位素及应用产品项目建设必要性分析</w:t>
        </w:r>
        <w:r>
          <w:tab/>
        </w:r>
        <w:r>
          <w:fldChar w:fldCharType="begin"/>
        </w:r>
        <w:r>
          <w:instrText xml:space="preserve"> PAGEREF _Toc10409 \h </w:instrText>
        </w:r>
        <w:r>
          <w:fldChar w:fldCharType="separate"/>
        </w:r>
        <w:r>
          <w:t>5</w:t>
        </w:r>
        <w:r>
          <w:fldChar w:fldCharType="end"/>
        </w:r>
      </w:hyperlink>
    </w:p>
    <w:p>
      <w:pPr>
        <w:pStyle w:val="TOC1"/>
        <w:tabs>
          <w:tab w:val="right" w:leader="dot" w:pos="8306"/>
        </w:tabs>
      </w:pPr>
      <w:hyperlink w:anchor="_Toc22239" w:history="1">
        <w:r>
          <w:rPr>
            <w:rFonts w:ascii="仿宋" w:eastAsia="仿宋" w:hAnsi="仿宋" w:cs="仿宋" w:hint="eastAsia"/>
            <w:lang w:eastAsia="zh-CN"/>
          </w:rPr>
          <w:t>二、同位素及应用产品项目土建工程</w:t>
        </w:r>
        <w:r>
          <w:tab/>
        </w:r>
        <w:r>
          <w:fldChar w:fldCharType="begin"/>
        </w:r>
        <w:r>
          <w:instrText xml:space="preserve"> PAGEREF _Toc22239 \h </w:instrText>
        </w:r>
        <w:r>
          <w:fldChar w:fldCharType="separate"/>
        </w:r>
        <w:r>
          <w:t>6</w:t>
        </w:r>
        <w:r>
          <w:fldChar w:fldCharType="end"/>
        </w:r>
      </w:hyperlink>
    </w:p>
    <w:p>
      <w:pPr>
        <w:pStyle w:val="TOC2"/>
        <w:tabs>
          <w:tab w:val="right" w:leader="dot" w:pos="8306"/>
        </w:tabs>
      </w:pPr>
      <w:hyperlink w:anchor="_Toc1949" w:history="1">
        <w:r>
          <w:rPr>
            <w:rFonts w:ascii="仿宋" w:eastAsia="仿宋" w:hAnsi="仿宋" w:cs="仿宋" w:hint="eastAsia"/>
            <w:lang w:eastAsia="zh-CN"/>
          </w:rPr>
          <w:t>(一)、建筑工程设计原则</w:t>
        </w:r>
        <w:r>
          <w:tab/>
        </w:r>
        <w:r>
          <w:fldChar w:fldCharType="begin"/>
        </w:r>
        <w:r>
          <w:instrText xml:space="preserve"> PAGEREF _Toc1949 \h </w:instrText>
        </w:r>
        <w:r>
          <w:fldChar w:fldCharType="separate"/>
        </w:r>
        <w:r>
          <w:t>6</w:t>
        </w:r>
        <w:r>
          <w:fldChar w:fldCharType="end"/>
        </w:r>
      </w:hyperlink>
    </w:p>
    <w:p>
      <w:pPr>
        <w:pStyle w:val="TOC2"/>
        <w:tabs>
          <w:tab w:val="right" w:leader="dot" w:pos="8306"/>
        </w:tabs>
      </w:pPr>
      <w:hyperlink w:anchor="_Toc11889" w:history="1">
        <w:r>
          <w:rPr>
            <w:rFonts w:ascii="仿宋" w:eastAsia="仿宋" w:hAnsi="仿宋" w:cs="仿宋" w:hint="eastAsia"/>
            <w:lang w:eastAsia="zh-CN"/>
          </w:rPr>
          <w:t>(二)、土建工程设计年限及安全等级</w:t>
        </w:r>
        <w:r>
          <w:tab/>
        </w:r>
        <w:r>
          <w:fldChar w:fldCharType="begin"/>
        </w:r>
        <w:r>
          <w:instrText xml:space="preserve"> PAGEREF _Toc11889 \h </w:instrText>
        </w:r>
        <w:r>
          <w:fldChar w:fldCharType="separate"/>
        </w:r>
        <w:r>
          <w:t>7</w:t>
        </w:r>
        <w:r>
          <w:fldChar w:fldCharType="end"/>
        </w:r>
      </w:hyperlink>
    </w:p>
    <w:p>
      <w:pPr>
        <w:pStyle w:val="TOC2"/>
        <w:tabs>
          <w:tab w:val="right" w:leader="dot" w:pos="8306"/>
        </w:tabs>
      </w:pPr>
      <w:hyperlink w:anchor="_Toc3391" w:history="1">
        <w:r>
          <w:rPr>
            <w:rFonts w:ascii="仿宋" w:eastAsia="仿宋" w:hAnsi="仿宋" w:cs="仿宋" w:hint="eastAsia"/>
            <w:lang w:eastAsia="zh-CN"/>
          </w:rPr>
          <w:t>(三)、建筑工程设计总体要求</w:t>
        </w:r>
        <w:r>
          <w:tab/>
        </w:r>
        <w:r>
          <w:fldChar w:fldCharType="begin"/>
        </w:r>
        <w:r>
          <w:instrText xml:space="preserve"> PAGEREF _Toc3391 \h </w:instrText>
        </w:r>
        <w:r>
          <w:fldChar w:fldCharType="separate"/>
        </w:r>
        <w:r>
          <w:t>8</w:t>
        </w:r>
        <w:r>
          <w:fldChar w:fldCharType="end"/>
        </w:r>
      </w:hyperlink>
    </w:p>
    <w:p>
      <w:pPr>
        <w:pStyle w:val="TOC2"/>
        <w:tabs>
          <w:tab w:val="right" w:leader="dot" w:pos="8306"/>
        </w:tabs>
      </w:pPr>
      <w:hyperlink w:anchor="_Toc15271" w:history="1">
        <w:r>
          <w:rPr>
            <w:rFonts w:ascii="仿宋" w:eastAsia="仿宋" w:hAnsi="仿宋" w:cs="仿宋" w:hint="eastAsia"/>
            <w:lang w:eastAsia="zh-CN"/>
          </w:rPr>
          <w:t>(四)、土建工程建设指标</w:t>
        </w:r>
        <w:r>
          <w:tab/>
        </w:r>
        <w:r>
          <w:fldChar w:fldCharType="begin"/>
        </w:r>
        <w:r>
          <w:instrText xml:space="preserve"> PAGEREF _Toc15271 \h </w:instrText>
        </w:r>
        <w:r>
          <w:fldChar w:fldCharType="separate"/>
        </w:r>
        <w:r>
          <w:t>9</w:t>
        </w:r>
        <w:r>
          <w:fldChar w:fldCharType="end"/>
        </w:r>
      </w:hyperlink>
    </w:p>
    <w:p>
      <w:pPr>
        <w:pStyle w:val="TOC1"/>
        <w:tabs>
          <w:tab w:val="right" w:leader="dot" w:pos="8306"/>
        </w:tabs>
      </w:pPr>
      <w:hyperlink w:anchor="_Toc16869" w:history="1">
        <w:r>
          <w:rPr>
            <w:rFonts w:ascii="仿宋" w:eastAsia="仿宋" w:hAnsi="仿宋" w:cs="仿宋" w:hint="eastAsia"/>
            <w:lang w:eastAsia="zh-CN"/>
          </w:rPr>
          <w:t>三、同位素及应用产品项目危机管理</w:t>
        </w:r>
        <w:r>
          <w:tab/>
        </w:r>
        <w:r>
          <w:fldChar w:fldCharType="begin"/>
        </w:r>
        <w:r>
          <w:instrText xml:space="preserve"> PAGEREF _Toc16869 \h </w:instrText>
        </w:r>
        <w:r>
          <w:fldChar w:fldCharType="separate"/>
        </w:r>
        <w:r>
          <w:t>9</w:t>
        </w:r>
        <w:r>
          <w:fldChar w:fldCharType="end"/>
        </w:r>
      </w:hyperlink>
    </w:p>
    <w:p>
      <w:pPr>
        <w:pStyle w:val="TOC2"/>
        <w:tabs>
          <w:tab w:val="right" w:leader="dot" w:pos="8306"/>
        </w:tabs>
      </w:pPr>
      <w:hyperlink w:anchor="_Toc25851" w:history="1">
        <w:r>
          <w:rPr>
            <w:rFonts w:ascii="仿宋" w:eastAsia="仿宋" w:hAnsi="仿宋" w:cs="仿宋" w:hint="eastAsia"/>
            <w:lang w:eastAsia="zh-CN"/>
          </w:rPr>
          <w:t>(一)、危机预警与识别</w:t>
        </w:r>
        <w:r>
          <w:tab/>
        </w:r>
        <w:r>
          <w:fldChar w:fldCharType="begin"/>
        </w:r>
        <w:r>
          <w:instrText xml:space="preserve"> PAGEREF _Toc25851 \h </w:instrText>
        </w:r>
        <w:r>
          <w:fldChar w:fldCharType="separate"/>
        </w:r>
        <w:r>
          <w:t>9</w:t>
        </w:r>
        <w:r>
          <w:fldChar w:fldCharType="end"/>
        </w:r>
      </w:hyperlink>
    </w:p>
    <w:p>
      <w:pPr>
        <w:pStyle w:val="TOC2"/>
        <w:tabs>
          <w:tab w:val="right" w:leader="dot" w:pos="8306"/>
        </w:tabs>
      </w:pPr>
      <w:hyperlink w:anchor="_Toc23477" w:history="1">
        <w:r>
          <w:rPr>
            <w:rFonts w:ascii="仿宋" w:eastAsia="仿宋" w:hAnsi="仿宋" w:cs="仿宋" w:hint="eastAsia"/>
            <w:lang w:eastAsia="zh-CN"/>
          </w:rPr>
          <w:t>(二)、危机应对与恢复</w:t>
        </w:r>
        <w:r>
          <w:tab/>
        </w:r>
        <w:r>
          <w:fldChar w:fldCharType="begin"/>
        </w:r>
        <w:r>
          <w:instrText xml:space="preserve"> PAGEREF _Toc23477 \h </w:instrText>
        </w:r>
        <w:r>
          <w:fldChar w:fldCharType="separate"/>
        </w:r>
        <w:r>
          <w:t>10</w:t>
        </w:r>
        <w:r>
          <w:fldChar w:fldCharType="end"/>
        </w:r>
      </w:hyperlink>
    </w:p>
    <w:p>
      <w:pPr>
        <w:pStyle w:val="TOC1"/>
        <w:tabs>
          <w:tab w:val="right" w:leader="dot" w:pos="8306"/>
        </w:tabs>
      </w:pPr>
      <w:hyperlink w:anchor="_Toc4932" w:history="1">
        <w:r>
          <w:rPr>
            <w:rFonts w:ascii="仿宋" w:eastAsia="仿宋" w:hAnsi="仿宋" w:cs="仿宋" w:hint="eastAsia"/>
            <w:lang w:eastAsia="zh-CN"/>
          </w:rPr>
          <w:t>四、同位素及应用产品项目绩效评估</w:t>
        </w:r>
        <w:r>
          <w:tab/>
        </w:r>
        <w:r>
          <w:fldChar w:fldCharType="begin"/>
        </w:r>
        <w:r>
          <w:instrText xml:space="preserve"> PAGEREF _Toc4932 \h </w:instrText>
        </w:r>
        <w:r>
          <w:fldChar w:fldCharType="separate"/>
        </w:r>
        <w:r>
          <w:t>12</w:t>
        </w:r>
        <w:r>
          <w:fldChar w:fldCharType="end"/>
        </w:r>
      </w:hyperlink>
    </w:p>
    <w:p>
      <w:pPr>
        <w:pStyle w:val="TOC2"/>
        <w:tabs>
          <w:tab w:val="right" w:leader="dot" w:pos="8306"/>
        </w:tabs>
      </w:pPr>
      <w:hyperlink w:anchor="_Toc9804" w:history="1">
        <w:r>
          <w:rPr>
            <w:rFonts w:ascii="仿宋" w:eastAsia="仿宋" w:hAnsi="仿宋" w:cs="仿宋" w:hint="eastAsia"/>
            <w:lang w:eastAsia="zh-CN"/>
          </w:rPr>
          <w:t>(一)、绩效评估指标</w:t>
        </w:r>
        <w:r>
          <w:tab/>
        </w:r>
        <w:r>
          <w:fldChar w:fldCharType="begin"/>
        </w:r>
        <w:r>
          <w:instrText xml:space="preserve"> PAGEREF _Toc9804 \h </w:instrText>
        </w:r>
        <w:r>
          <w:fldChar w:fldCharType="separate"/>
        </w:r>
        <w:r>
          <w:t>12</w:t>
        </w:r>
        <w:r>
          <w:fldChar w:fldCharType="end"/>
        </w:r>
      </w:hyperlink>
    </w:p>
    <w:p>
      <w:pPr>
        <w:pStyle w:val="TOC2"/>
        <w:tabs>
          <w:tab w:val="right" w:leader="dot" w:pos="8306"/>
        </w:tabs>
      </w:pPr>
      <w:hyperlink w:anchor="_Toc22855" w:history="1">
        <w:r>
          <w:rPr>
            <w:rFonts w:ascii="仿宋" w:eastAsia="仿宋" w:hAnsi="仿宋" w:cs="仿宋" w:hint="eastAsia"/>
            <w:lang w:eastAsia="zh-CN"/>
          </w:rPr>
          <w:t>(二)、绩效评估方法</w:t>
        </w:r>
        <w:r>
          <w:tab/>
        </w:r>
        <w:r>
          <w:fldChar w:fldCharType="begin"/>
        </w:r>
        <w:r>
          <w:instrText xml:space="preserve"> PAGEREF _Toc22855 \h </w:instrText>
        </w:r>
        <w:r>
          <w:fldChar w:fldCharType="separate"/>
        </w:r>
        <w:r>
          <w:t>13</w:t>
        </w:r>
        <w:r>
          <w:fldChar w:fldCharType="end"/>
        </w:r>
      </w:hyperlink>
    </w:p>
    <w:p>
      <w:pPr>
        <w:pStyle w:val="TOC2"/>
        <w:tabs>
          <w:tab w:val="right" w:leader="dot" w:pos="8306"/>
        </w:tabs>
      </w:pPr>
      <w:hyperlink w:anchor="_Toc28815" w:history="1">
        <w:r>
          <w:rPr>
            <w:rFonts w:ascii="仿宋" w:eastAsia="仿宋" w:hAnsi="仿宋" w:cs="仿宋" w:hint="eastAsia"/>
            <w:lang w:eastAsia="zh-CN"/>
          </w:rPr>
          <w:t>(三)、绩效评估周期</w:t>
        </w:r>
        <w:r>
          <w:tab/>
        </w:r>
        <w:r>
          <w:fldChar w:fldCharType="begin"/>
        </w:r>
        <w:r>
          <w:instrText xml:space="preserve"> PAGEREF _Toc28815 \h </w:instrText>
        </w:r>
        <w:r>
          <w:fldChar w:fldCharType="separate"/>
        </w:r>
        <w:r>
          <w:t>14</w:t>
        </w:r>
        <w:r>
          <w:fldChar w:fldCharType="end"/>
        </w:r>
      </w:hyperlink>
    </w:p>
    <w:p>
      <w:pPr>
        <w:pStyle w:val="TOC1"/>
        <w:tabs>
          <w:tab w:val="right" w:leader="dot" w:pos="8306"/>
        </w:tabs>
      </w:pPr>
      <w:hyperlink w:anchor="_Toc31933" w:history="1">
        <w:r>
          <w:rPr>
            <w:rFonts w:ascii="仿宋" w:eastAsia="仿宋" w:hAnsi="仿宋" w:cs="仿宋" w:hint="eastAsia"/>
            <w:lang w:eastAsia="zh-CN"/>
          </w:rPr>
          <w:t>五、市场分析、调研</w:t>
        </w:r>
        <w:r>
          <w:tab/>
        </w:r>
        <w:r>
          <w:fldChar w:fldCharType="begin"/>
        </w:r>
        <w:r>
          <w:instrText xml:space="preserve"> PAGEREF _Toc31933 \h </w:instrText>
        </w:r>
        <w:r>
          <w:fldChar w:fldCharType="separate"/>
        </w:r>
        <w:r>
          <w:t>15</w:t>
        </w:r>
        <w:r>
          <w:fldChar w:fldCharType="end"/>
        </w:r>
      </w:hyperlink>
    </w:p>
    <w:p>
      <w:pPr>
        <w:pStyle w:val="TOC2"/>
        <w:tabs>
          <w:tab w:val="right" w:leader="dot" w:pos="8306"/>
        </w:tabs>
      </w:pPr>
      <w:hyperlink w:anchor="_Toc31252" w:history="1">
        <w:r>
          <w:rPr>
            <w:rFonts w:ascii="仿宋" w:eastAsia="仿宋" w:hAnsi="仿宋" w:cs="仿宋" w:hint="eastAsia"/>
            <w:lang w:eastAsia="zh-CN"/>
          </w:rPr>
          <w:t>(一)、同位素及应用产品行业分析</w:t>
        </w:r>
        <w:r>
          <w:tab/>
        </w:r>
        <w:r>
          <w:fldChar w:fldCharType="begin"/>
        </w:r>
        <w:r>
          <w:instrText xml:space="preserve"> PAGEREF _Toc31252 \h </w:instrText>
        </w:r>
        <w:r>
          <w:fldChar w:fldCharType="separate"/>
        </w:r>
        <w:r>
          <w:t>15</w:t>
        </w:r>
        <w:r>
          <w:fldChar w:fldCharType="end"/>
        </w:r>
      </w:hyperlink>
    </w:p>
    <w:p>
      <w:pPr>
        <w:pStyle w:val="TOC2"/>
        <w:tabs>
          <w:tab w:val="right" w:leader="dot" w:pos="8306"/>
        </w:tabs>
      </w:pPr>
      <w:hyperlink w:anchor="_Toc5276" w:history="1">
        <w:r>
          <w:rPr>
            <w:rFonts w:ascii="仿宋" w:eastAsia="仿宋" w:hAnsi="仿宋" w:cs="仿宋" w:hint="eastAsia"/>
            <w:lang w:eastAsia="zh-CN"/>
          </w:rPr>
          <w:t>(二)、同位素及应用产品市场分析预测</w:t>
        </w:r>
        <w:r>
          <w:tab/>
        </w:r>
        <w:r>
          <w:fldChar w:fldCharType="begin"/>
        </w:r>
        <w:r>
          <w:instrText xml:space="preserve"> PAGEREF _Toc5276 \h </w:instrText>
        </w:r>
        <w:r>
          <w:fldChar w:fldCharType="separate"/>
        </w:r>
        <w:r>
          <w:t>16</w:t>
        </w:r>
        <w:r>
          <w:fldChar w:fldCharType="end"/>
        </w:r>
      </w:hyperlink>
    </w:p>
    <w:p>
      <w:pPr>
        <w:pStyle w:val="TOC1"/>
        <w:tabs>
          <w:tab w:val="right" w:leader="dot" w:pos="8306"/>
        </w:tabs>
      </w:pPr>
      <w:hyperlink w:anchor="_Toc25799" w:history="1">
        <w:r>
          <w:rPr>
            <w:rFonts w:ascii="仿宋" w:eastAsia="仿宋" w:hAnsi="仿宋" w:cs="仿宋" w:hint="eastAsia"/>
            <w:lang w:eastAsia="zh-CN"/>
          </w:rPr>
          <w:t>六、产品规划分析</w:t>
        </w:r>
        <w:r>
          <w:tab/>
        </w:r>
        <w:r>
          <w:fldChar w:fldCharType="begin"/>
        </w:r>
        <w:r>
          <w:instrText xml:space="preserve"> PAGEREF _Toc25799 \h </w:instrText>
        </w:r>
        <w:r>
          <w:fldChar w:fldCharType="separate"/>
        </w:r>
        <w:r>
          <w:t>17</w:t>
        </w:r>
        <w:r>
          <w:fldChar w:fldCharType="end"/>
        </w:r>
      </w:hyperlink>
    </w:p>
    <w:p>
      <w:pPr>
        <w:pStyle w:val="TOC2"/>
        <w:tabs>
          <w:tab w:val="right" w:leader="dot" w:pos="8306"/>
        </w:tabs>
      </w:pPr>
      <w:hyperlink w:anchor="_Toc20142" w:history="1">
        <w:r>
          <w:rPr>
            <w:rFonts w:ascii="仿宋" w:eastAsia="仿宋" w:hAnsi="仿宋" w:cs="仿宋" w:hint="eastAsia"/>
            <w:lang w:eastAsia="zh-CN"/>
          </w:rPr>
          <w:t>(一)、产品规划</w:t>
        </w:r>
        <w:r>
          <w:tab/>
        </w:r>
        <w:r>
          <w:fldChar w:fldCharType="begin"/>
        </w:r>
        <w:r>
          <w:instrText xml:space="preserve"> PAGEREF _Toc20142 \h </w:instrText>
        </w:r>
        <w:r>
          <w:fldChar w:fldCharType="separate"/>
        </w:r>
        <w:r>
          <w:t>17</w:t>
        </w:r>
        <w:r>
          <w:fldChar w:fldCharType="end"/>
        </w:r>
      </w:hyperlink>
    </w:p>
    <w:p>
      <w:pPr>
        <w:pStyle w:val="TOC2"/>
        <w:tabs>
          <w:tab w:val="right" w:leader="dot" w:pos="8306"/>
        </w:tabs>
      </w:pPr>
      <w:hyperlink w:anchor="_Toc5298" w:history="1">
        <w:r>
          <w:rPr>
            <w:rFonts w:ascii="仿宋" w:eastAsia="仿宋" w:hAnsi="仿宋" w:cs="仿宋" w:hint="eastAsia"/>
            <w:lang w:eastAsia="zh-CN"/>
          </w:rPr>
          <w:t>(二)、建设规模</w:t>
        </w:r>
        <w:r>
          <w:tab/>
        </w:r>
        <w:r>
          <w:fldChar w:fldCharType="begin"/>
        </w:r>
        <w:r>
          <w:instrText xml:space="preserve"> PAGEREF _Toc5298 \h </w:instrText>
        </w:r>
        <w:r>
          <w:fldChar w:fldCharType="separate"/>
        </w:r>
        <w:r>
          <w:t>18</w:t>
        </w:r>
        <w:r>
          <w:fldChar w:fldCharType="end"/>
        </w:r>
      </w:hyperlink>
    </w:p>
    <w:p>
      <w:pPr>
        <w:pStyle w:val="TOC1"/>
        <w:tabs>
          <w:tab w:val="right" w:leader="dot" w:pos="8306"/>
        </w:tabs>
      </w:pPr>
      <w:hyperlink w:anchor="_Toc16045" w:history="1">
        <w:r>
          <w:rPr>
            <w:rFonts w:ascii="仿宋" w:eastAsia="仿宋" w:hAnsi="仿宋" w:cs="仿宋" w:hint="eastAsia"/>
            <w:lang w:eastAsia="zh-CN"/>
          </w:rPr>
          <w:t>七、同位素及应用产品项目人力资源管理</w:t>
        </w:r>
        <w:r>
          <w:tab/>
        </w:r>
        <w:r>
          <w:fldChar w:fldCharType="begin"/>
        </w:r>
        <w:r>
          <w:instrText xml:space="preserve"> PAGEREF _Toc16045 \h </w:instrText>
        </w:r>
        <w:r>
          <w:fldChar w:fldCharType="separate"/>
        </w:r>
        <w:r>
          <w:t>19</w:t>
        </w:r>
        <w:r>
          <w:fldChar w:fldCharType="end"/>
        </w:r>
      </w:hyperlink>
    </w:p>
    <w:p>
      <w:pPr>
        <w:pStyle w:val="TOC2"/>
        <w:tabs>
          <w:tab w:val="right" w:leader="dot" w:pos="8306"/>
        </w:tabs>
      </w:pPr>
      <w:hyperlink w:anchor="_Toc30485" w:history="1">
        <w:r>
          <w:rPr>
            <w:rFonts w:ascii="仿宋" w:eastAsia="仿宋" w:hAnsi="仿宋" w:cs="仿宋" w:hint="eastAsia"/>
            <w:lang w:eastAsia="zh-CN"/>
          </w:rPr>
          <w:t>(一)、建立健全的预算管理制度</w:t>
        </w:r>
        <w:r>
          <w:tab/>
        </w:r>
        <w:r>
          <w:fldChar w:fldCharType="begin"/>
        </w:r>
        <w:r>
          <w:instrText xml:space="preserve"> PAGEREF _Toc30485 \h </w:instrText>
        </w:r>
        <w:r>
          <w:fldChar w:fldCharType="separate"/>
        </w:r>
        <w:r>
          <w:t>19</w:t>
        </w:r>
        <w:r>
          <w:fldChar w:fldCharType="end"/>
        </w:r>
      </w:hyperlink>
    </w:p>
    <w:p>
      <w:pPr>
        <w:pStyle w:val="TOC2"/>
        <w:tabs>
          <w:tab w:val="right" w:leader="dot" w:pos="8306"/>
        </w:tabs>
      </w:pPr>
      <w:hyperlink w:anchor="_Toc27525" w:history="1">
        <w:r>
          <w:rPr>
            <w:rFonts w:ascii="仿宋" w:eastAsia="仿宋" w:hAnsi="仿宋" w:cs="仿宋" w:hint="eastAsia"/>
            <w:lang w:eastAsia="zh-CN"/>
          </w:rPr>
          <w:t>(二)、加强资金流动监控</w:t>
        </w:r>
        <w:r>
          <w:tab/>
        </w:r>
        <w:r>
          <w:fldChar w:fldCharType="begin"/>
        </w:r>
        <w:r>
          <w:instrText xml:space="preserve"> PAGEREF _Toc27525 \h </w:instrText>
        </w:r>
        <w:r>
          <w:fldChar w:fldCharType="separate"/>
        </w:r>
        <w:r>
          <w:t>21</w:t>
        </w:r>
        <w:r>
          <w:fldChar w:fldCharType="end"/>
        </w:r>
      </w:hyperlink>
    </w:p>
    <w:p>
      <w:pPr>
        <w:pStyle w:val="TOC2"/>
        <w:tabs>
          <w:tab w:val="right" w:leader="dot" w:pos="8306"/>
        </w:tabs>
      </w:pPr>
      <w:hyperlink w:anchor="_Toc13103" w:history="1">
        <w:r>
          <w:rPr>
            <w:rFonts w:ascii="仿宋" w:eastAsia="仿宋" w:hAnsi="仿宋" w:cs="仿宋" w:hint="eastAsia"/>
            <w:lang w:eastAsia="zh-CN"/>
          </w:rPr>
          <w:t>(三)、制定完善的风险控制机制</w:t>
        </w:r>
        <w:r>
          <w:tab/>
        </w:r>
        <w:r>
          <w:fldChar w:fldCharType="begin"/>
        </w:r>
        <w:r>
          <w:instrText xml:space="preserve"> PAGEREF _Toc13103 \h </w:instrText>
        </w:r>
        <w:r>
          <w:fldChar w:fldCharType="separate"/>
        </w:r>
        <w:r>
          <w:t>22</w:t>
        </w:r>
        <w:r>
          <w:fldChar w:fldCharType="end"/>
        </w:r>
      </w:hyperlink>
    </w:p>
    <w:p>
      <w:pPr>
        <w:pStyle w:val="TOC2"/>
        <w:tabs>
          <w:tab w:val="right" w:leader="dot" w:pos="8306"/>
        </w:tabs>
      </w:pPr>
      <w:hyperlink w:anchor="_Toc13166" w:history="1">
        <w:r>
          <w:rPr>
            <w:rFonts w:ascii="仿宋" w:eastAsia="仿宋" w:hAnsi="仿宋" w:cs="仿宋" w:hint="eastAsia"/>
            <w:lang w:eastAsia="zh-CN"/>
          </w:rPr>
          <w:t>(四)、优化成本管理</w:t>
        </w:r>
        <w:r>
          <w:tab/>
        </w:r>
        <w:r>
          <w:fldChar w:fldCharType="begin"/>
        </w:r>
        <w:r>
          <w:instrText xml:space="preserve"> PAGEREF _Toc13166 \h </w:instrText>
        </w:r>
        <w:r>
          <w:fldChar w:fldCharType="separate"/>
        </w:r>
        <w:r>
          <w:t>23</w:t>
        </w:r>
        <w:r>
          <w:fldChar w:fldCharType="end"/>
        </w:r>
      </w:hyperlink>
    </w:p>
    <w:p>
      <w:pPr>
        <w:pStyle w:val="TOC1"/>
        <w:tabs>
          <w:tab w:val="right" w:leader="dot" w:pos="8306"/>
        </w:tabs>
      </w:pPr>
      <w:hyperlink w:anchor="_Toc6765" w:history="1">
        <w:r>
          <w:rPr>
            <w:rFonts w:ascii="仿宋" w:eastAsia="仿宋" w:hAnsi="仿宋" w:cs="仿宋" w:hint="eastAsia"/>
            <w:lang w:eastAsia="zh-CN"/>
          </w:rPr>
          <w:t>八、同位素及应用产品项目创新与研发</w:t>
        </w:r>
        <w:r>
          <w:tab/>
        </w:r>
        <w:r>
          <w:fldChar w:fldCharType="begin"/>
        </w:r>
        <w:r>
          <w:instrText xml:space="preserve"> PAGEREF _Toc6765 \h </w:instrText>
        </w:r>
        <w:r>
          <w:fldChar w:fldCharType="separate"/>
        </w:r>
        <w:r>
          <w:t>25</w:t>
        </w:r>
        <w:r>
          <w:fldChar w:fldCharType="end"/>
        </w:r>
      </w:hyperlink>
    </w:p>
    <w:p>
      <w:pPr>
        <w:pStyle w:val="TOC2"/>
        <w:tabs>
          <w:tab w:val="right" w:leader="dot" w:pos="8306"/>
        </w:tabs>
      </w:pPr>
      <w:hyperlink w:anchor="_Toc9713" w:history="1">
        <w:r>
          <w:rPr>
            <w:rFonts w:ascii="仿宋" w:eastAsia="仿宋" w:hAnsi="仿宋" w:cs="仿宋" w:hint="eastAsia"/>
            <w:lang w:eastAsia="zh-CN"/>
          </w:rPr>
          <w:t>(一)、创新策略与方向</w:t>
        </w:r>
        <w:r>
          <w:tab/>
        </w:r>
        <w:r>
          <w:fldChar w:fldCharType="begin"/>
        </w:r>
        <w:r>
          <w:instrText xml:space="preserve"> PAGEREF _Toc9713 \h </w:instrText>
        </w:r>
        <w:r>
          <w:fldChar w:fldCharType="separate"/>
        </w:r>
        <w:r>
          <w:t>25</w:t>
        </w:r>
        <w:r>
          <w:fldChar w:fldCharType="end"/>
        </w:r>
      </w:hyperlink>
    </w:p>
    <w:p>
      <w:pPr>
        <w:pStyle w:val="TOC2"/>
        <w:tabs>
          <w:tab w:val="right" w:leader="dot" w:pos="8306"/>
        </w:tabs>
      </w:pPr>
      <w:hyperlink w:anchor="_Toc6862" w:history="1">
        <w:r>
          <w:rPr>
            <w:rFonts w:ascii="仿宋" w:eastAsia="仿宋" w:hAnsi="仿宋" w:cs="仿宋" w:hint="eastAsia"/>
            <w:lang w:eastAsia="zh-CN"/>
          </w:rPr>
          <w:t>(二)、研发规划与投入</w:t>
        </w:r>
        <w:r>
          <w:tab/>
        </w:r>
        <w:r>
          <w:fldChar w:fldCharType="begin"/>
        </w:r>
        <w:r>
          <w:instrText xml:space="preserve"> PAGEREF _Toc6862 \h </w:instrText>
        </w:r>
        <w:r>
          <w:fldChar w:fldCharType="separate"/>
        </w:r>
        <w:r>
          <w:t>26</w:t>
        </w:r>
        <w:r>
          <w:fldChar w:fldCharType="end"/>
        </w:r>
      </w:hyperlink>
    </w:p>
    <w:p>
      <w:pPr>
        <w:pStyle w:val="TOC1"/>
        <w:tabs>
          <w:tab w:val="right" w:leader="dot" w:pos="8306"/>
        </w:tabs>
      </w:pPr>
      <w:hyperlink w:anchor="_Toc11045" w:history="1">
        <w:r>
          <w:rPr>
            <w:rFonts w:ascii="仿宋" w:eastAsia="仿宋" w:hAnsi="仿宋" w:cs="仿宋" w:hint="eastAsia"/>
            <w:lang w:eastAsia="zh-CN"/>
          </w:rPr>
          <w:t>九、同位素及应用产品项目环境影响分析</w:t>
        </w:r>
        <w:r>
          <w:tab/>
        </w:r>
        <w:r>
          <w:fldChar w:fldCharType="begin"/>
        </w:r>
        <w:r>
          <w:instrText xml:space="preserve"> PAGEREF _Toc11045 \h </w:instrText>
        </w:r>
        <w:r>
          <w:fldChar w:fldCharType="separate"/>
        </w:r>
        <w:r>
          <w:t>28</w:t>
        </w:r>
        <w:r>
          <w:fldChar w:fldCharType="end"/>
        </w:r>
      </w:hyperlink>
    </w:p>
    <w:p>
      <w:pPr>
        <w:pStyle w:val="TOC2"/>
        <w:tabs>
          <w:tab w:val="right" w:leader="dot" w:pos="8306"/>
        </w:tabs>
      </w:pPr>
      <w:hyperlink w:anchor="_Toc19912" w:history="1">
        <w:r>
          <w:rPr>
            <w:rFonts w:ascii="仿宋" w:eastAsia="仿宋" w:hAnsi="仿宋" w:cs="仿宋" w:hint="eastAsia"/>
            <w:lang w:eastAsia="zh-CN"/>
          </w:rPr>
          <w:t>(一)、建设区域环境质量现状</w:t>
        </w:r>
        <w:r>
          <w:tab/>
        </w:r>
        <w:r>
          <w:fldChar w:fldCharType="begin"/>
        </w:r>
        <w:r>
          <w:instrText xml:space="preserve"> PAGEREF _Toc19912 \h </w:instrText>
        </w:r>
        <w:r>
          <w:fldChar w:fldCharType="separate"/>
        </w:r>
        <w:r>
          <w:t>28</w:t>
        </w:r>
        <w:r>
          <w:fldChar w:fldCharType="end"/>
        </w:r>
      </w:hyperlink>
    </w:p>
    <w:p>
      <w:pPr>
        <w:pStyle w:val="TOC2"/>
        <w:tabs>
          <w:tab w:val="right" w:leader="dot" w:pos="8306"/>
        </w:tabs>
      </w:pPr>
      <w:hyperlink w:anchor="_Toc18840" w:history="1">
        <w:r>
          <w:rPr>
            <w:rFonts w:ascii="仿宋" w:eastAsia="仿宋" w:hAnsi="仿宋" w:cs="仿宋" w:hint="eastAsia"/>
            <w:lang w:eastAsia="zh-CN"/>
          </w:rPr>
          <w:t>(二)、建设期环境保护</w:t>
        </w:r>
        <w:r>
          <w:tab/>
        </w:r>
        <w:r>
          <w:fldChar w:fldCharType="begin"/>
        </w:r>
        <w:r>
          <w:instrText xml:space="preserve"> PAGEREF _Toc18840 \h </w:instrText>
        </w:r>
        <w:r>
          <w:fldChar w:fldCharType="separate"/>
        </w:r>
        <w:r>
          <w:t>29</w:t>
        </w:r>
        <w:r>
          <w:fldChar w:fldCharType="end"/>
        </w:r>
      </w:hyperlink>
    </w:p>
    <w:p>
      <w:pPr>
        <w:pStyle w:val="TOC2"/>
        <w:tabs>
          <w:tab w:val="right" w:leader="dot" w:pos="8306"/>
        </w:tabs>
      </w:pPr>
      <w:hyperlink w:anchor="_Toc20207" w:history="1">
        <w:r>
          <w:rPr>
            <w:rFonts w:ascii="仿宋" w:eastAsia="仿宋" w:hAnsi="仿宋" w:cs="仿宋" w:hint="eastAsia"/>
            <w:lang w:eastAsia="zh-CN"/>
          </w:rPr>
          <w:t>(三)、运营期环境保护</w:t>
        </w:r>
        <w:r>
          <w:tab/>
        </w:r>
        <w:r>
          <w:fldChar w:fldCharType="begin"/>
        </w:r>
        <w:r>
          <w:instrText xml:space="preserve"> PAGEREF _Toc20207 \h </w:instrText>
        </w:r>
        <w:r>
          <w:fldChar w:fldCharType="separate"/>
        </w:r>
        <w:r>
          <w:t>31</w:t>
        </w:r>
        <w:r>
          <w:fldChar w:fldCharType="end"/>
        </w:r>
      </w:hyperlink>
    </w:p>
    <w:p>
      <w:pPr>
        <w:pStyle w:val="TOC2"/>
        <w:tabs>
          <w:tab w:val="right" w:leader="dot" w:pos="8306"/>
        </w:tabs>
      </w:pPr>
      <w:hyperlink w:anchor="_Toc10436" w:history="1">
        <w:r>
          <w:rPr>
            <w:rFonts w:ascii="仿宋" w:eastAsia="仿宋" w:hAnsi="仿宋" w:cs="仿宋" w:hint="eastAsia"/>
            <w:lang w:eastAsia="zh-CN"/>
          </w:rPr>
          <w:t>(四)、同位素及应用产品项目建设对区域经济的影响</w:t>
        </w:r>
        <w:r>
          <w:tab/>
        </w:r>
        <w:r>
          <w:fldChar w:fldCharType="begin"/>
        </w:r>
        <w:r>
          <w:instrText xml:space="preserve"> PAGEREF _Toc10436 \h </w:instrText>
        </w:r>
        <w:r>
          <w:fldChar w:fldCharType="separate"/>
        </w:r>
        <w:r>
          <w:t>32</w:t>
        </w:r>
        <w:r>
          <w:fldChar w:fldCharType="end"/>
        </w:r>
      </w:hyperlink>
    </w:p>
    <w:p>
      <w:pPr>
        <w:pStyle w:val="TOC2"/>
        <w:tabs>
          <w:tab w:val="right" w:leader="dot" w:pos="8306"/>
        </w:tabs>
      </w:pPr>
      <w:hyperlink w:anchor="_Toc8487" w:history="1">
        <w:r>
          <w:rPr>
            <w:rFonts w:ascii="仿宋" w:eastAsia="仿宋" w:hAnsi="仿宋" w:cs="仿宋" w:hint="eastAsia"/>
            <w:lang w:eastAsia="zh-CN"/>
          </w:rPr>
          <w:t>(五)、废弃物处理</w:t>
        </w:r>
        <w:r>
          <w:tab/>
        </w:r>
        <w:r>
          <w:fldChar w:fldCharType="begin"/>
        </w:r>
        <w:r>
          <w:instrText xml:space="preserve"> PAGEREF _Toc8487 \h </w:instrText>
        </w:r>
        <w:r>
          <w:fldChar w:fldCharType="separate"/>
        </w:r>
        <w:r>
          <w:t>34</w:t>
        </w:r>
        <w:r>
          <w:fldChar w:fldCharType="end"/>
        </w:r>
      </w:hyperlink>
    </w:p>
    <w:p>
      <w:pPr>
        <w:pStyle w:val="TOC2"/>
        <w:tabs>
          <w:tab w:val="right" w:leader="dot" w:pos="8306"/>
        </w:tabs>
      </w:pPr>
      <w:hyperlink w:anchor="_Toc7177" w:history="1">
        <w:r>
          <w:rPr>
            <w:rFonts w:ascii="仿宋" w:eastAsia="仿宋" w:hAnsi="仿宋" w:cs="仿宋" w:hint="eastAsia"/>
            <w:lang w:eastAsia="zh-CN"/>
          </w:rPr>
          <w:t>(六)、特殊环境影响分析</w:t>
        </w:r>
        <w:r>
          <w:tab/>
        </w:r>
        <w:r>
          <w:fldChar w:fldCharType="begin"/>
        </w:r>
        <w:r>
          <w:instrText xml:space="preserve"> PAGEREF _Toc7177 \h </w:instrText>
        </w:r>
        <w:r>
          <w:fldChar w:fldCharType="separate"/>
        </w:r>
        <w:r>
          <w:t>35</w:t>
        </w:r>
        <w:r>
          <w:fldChar w:fldCharType="end"/>
        </w:r>
      </w:hyperlink>
    </w:p>
    <w:p>
      <w:pPr>
        <w:pStyle w:val="TOC2"/>
        <w:tabs>
          <w:tab w:val="right" w:leader="dot" w:pos="8306"/>
        </w:tabs>
      </w:pPr>
      <w:hyperlink w:anchor="_Toc24115" w:history="1">
        <w:r>
          <w:rPr>
            <w:rFonts w:ascii="仿宋" w:eastAsia="仿宋" w:hAnsi="仿宋" w:cs="仿宋" w:hint="eastAsia"/>
            <w:lang w:eastAsia="zh-CN"/>
          </w:rPr>
          <w:t>(七)、清洁生产</w:t>
        </w:r>
        <w:r>
          <w:tab/>
        </w:r>
        <w:r>
          <w:fldChar w:fldCharType="begin"/>
        </w:r>
        <w:r>
          <w:instrText xml:space="preserve"> PAGEREF _Toc24115 \h </w:instrText>
        </w:r>
        <w:r>
          <w:fldChar w:fldCharType="separate"/>
        </w:r>
        <w:r>
          <w:t>37</w:t>
        </w:r>
        <w:r>
          <w:fldChar w:fldCharType="end"/>
        </w:r>
      </w:hyperlink>
    </w:p>
    <w:p>
      <w:pPr>
        <w:pStyle w:val="TOC2"/>
        <w:tabs>
          <w:tab w:val="right" w:leader="dot" w:pos="8306"/>
        </w:tabs>
      </w:pPr>
      <w:hyperlink w:anchor="_Toc8822" w:history="1">
        <w:r>
          <w:rPr>
            <w:rFonts w:ascii="仿宋" w:eastAsia="仿宋" w:hAnsi="仿宋" w:cs="仿宋" w:hint="eastAsia"/>
            <w:lang w:eastAsia="zh-CN"/>
          </w:rPr>
          <w:t>(八)、环境保护综合评价</w:t>
        </w:r>
        <w:r>
          <w:tab/>
        </w:r>
        <w:r>
          <w:fldChar w:fldCharType="begin"/>
        </w:r>
        <w:r>
          <w:instrText xml:space="preserve"> PAGEREF _Toc8822 \h </w:instrText>
        </w:r>
        <w:r>
          <w:fldChar w:fldCharType="separate"/>
        </w:r>
        <w:r>
          <w:t>38</w:t>
        </w:r>
        <w:r>
          <w:fldChar w:fldCharType="end"/>
        </w:r>
      </w:hyperlink>
    </w:p>
    <w:p>
      <w:pPr>
        <w:pStyle w:val="TOC1"/>
        <w:tabs>
          <w:tab w:val="right" w:leader="dot" w:pos="8306"/>
        </w:tabs>
      </w:pPr>
      <w:hyperlink w:anchor="_Toc3029" w:history="1">
        <w:r>
          <w:rPr>
            <w:rFonts w:ascii="仿宋" w:eastAsia="仿宋" w:hAnsi="仿宋" w:cs="仿宋" w:hint="eastAsia"/>
            <w:lang w:eastAsia="zh-CN"/>
          </w:rPr>
          <w:t>十、同位素及应用产品项目计划安排</w:t>
        </w:r>
        <w:r>
          <w:tab/>
        </w:r>
        <w:r>
          <w:fldChar w:fldCharType="begin"/>
        </w:r>
        <w:r>
          <w:instrText xml:space="preserve"> PAGEREF _Toc3029 \h </w:instrText>
        </w:r>
        <w:r>
          <w:fldChar w:fldCharType="separate"/>
        </w:r>
        <w:r>
          <w:t>39</w:t>
        </w:r>
        <w:r>
          <w:fldChar w:fldCharType="end"/>
        </w:r>
      </w:hyperlink>
    </w:p>
    <w:p>
      <w:pPr>
        <w:pStyle w:val="TOC2"/>
        <w:tabs>
          <w:tab w:val="right" w:leader="dot" w:pos="8306"/>
        </w:tabs>
      </w:pPr>
      <w:hyperlink w:anchor="_Toc27121" w:history="1">
        <w:r>
          <w:rPr>
            <w:rFonts w:ascii="仿宋" w:eastAsia="仿宋" w:hAnsi="仿宋" w:cs="仿宋" w:hint="eastAsia"/>
            <w:lang w:eastAsia="zh-CN"/>
          </w:rPr>
          <w:t>(一)、建设周期</w:t>
        </w:r>
        <w:r>
          <w:tab/>
        </w:r>
        <w:r>
          <w:fldChar w:fldCharType="begin"/>
        </w:r>
        <w:r>
          <w:instrText xml:space="preserve"> PAGEREF _Toc27121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5" w:history="1">
        <w:r>
          <w:rPr>
            <w:rFonts w:ascii="仿宋" w:eastAsia="仿宋" w:hAnsi="仿宋" w:cs="仿宋" w:hint="eastAsia"/>
            <w:lang w:eastAsia="zh-CN"/>
          </w:rPr>
          <w:t>(二)、建设进度</w:t>
        </w:r>
        <w:r>
          <w:tab/>
        </w:r>
        <w:r>
          <w:fldChar w:fldCharType="begin"/>
        </w:r>
        <w:r>
          <w:instrText xml:space="preserve"> PAGEREF _Toc2785 \h </w:instrText>
        </w:r>
        <w:r>
          <w:fldChar w:fldCharType="separate"/>
        </w:r>
        <w:r>
          <w:t>40</w:t>
        </w:r>
        <w:r>
          <w:fldChar w:fldCharType="end"/>
        </w:r>
      </w:hyperlink>
    </w:p>
    <w:p>
      <w:pPr>
        <w:pStyle w:val="TOC2"/>
        <w:tabs>
          <w:tab w:val="right" w:leader="dot" w:pos="8306"/>
        </w:tabs>
      </w:pPr>
      <w:hyperlink w:anchor="_Toc6264" w:history="1">
        <w:r>
          <w:rPr>
            <w:rFonts w:ascii="仿宋" w:eastAsia="仿宋" w:hAnsi="仿宋" w:cs="仿宋" w:hint="eastAsia"/>
            <w:lang w:eastAsia="zh-CN"/>
          </w:rPr>
          <w:t>(三)、进度安排注意事项</w:t>
        </w:r>
        <w:r>
          <w:tab/>
        </w:r>
        <w:r>
          <w:fldChar w:fldCharType="begin"/>
        </w:r>
        <w:r>
          <w:instrText xml:space="preserve"> PAGEREF _Toc6264 \h </w:instrText>
        </w:r>
        <w:r>
          <w:fldChar w:fldCharType="separate"/>
        </w:r>
        <w:r>
          <w:t>41</w:t>
        </w:r>
        <w:r>
          <w:fldChar w:fldCharType="end"/>
        </w:r>
      </w:hyperlink>
    </w:p>
    <w:p>
      <w:pPr>
        <w:pStyle w:val="TOC2"/>
        <w:tabs>
          <w:tab w:val="right" w:leader="dot" w:pos="8306"/>
        </w:tabs>
      </w:pPr>
      <w:hyperlink w:anchor="_Toc30701" w:history="1">
        <w:r>
          <w:rPr>
            <w:rFonts w:ascii="仿宋" w:eastAsia="仿宋" w:hAnsi="仿宋" w:cs="仿宋" w:hint="eastAsia"/>
            <w:lang w:eastAsia="zh-CN"/>
          </w:rPr>
          <w:t>(四)、人力资源配置</w:t>
        </w:r>
        <w:r>
          <w:tab/>
        </w:r>
        <w:r>
          <w:fldChar w:fldCharType="begin"/>
        </w:r>
        <w:r>
          <w:instrText xml:space="preserve"> PAGEREF _Toc30701 \h </w:instrText>
        </w:r>
        <w:r>
          <w:fldChar w:fldCharType="separate"/>
        </w:r>
        <w:r>
          <w:t>43</w:t>
        </w:r>
        <w:r>
          <w:fldChar w:fldCharType="end"/>
        </w:r>
      </w:hyperlink>
    </w:p>
    <w:p>
      <w:pPr>
        <w:pStyle w:val="TOC1"/>
        <w:tabs>
          <w:tab w:val="right" w:leader="dot" w:pos="8306"/>
        </w:tabs>
      </w:pPr>
      <w:hyperlink w:anchor="_Toc29841" w:history="1">
        <w:r>
          <w:rPr>
            <w:rFonts w:ascii="仿宋" w:eastAsia="仿宋" w:hAnsi="仿宋" w:cs="仿宋" w:hint="eastAsia"/>
            <w:lang w:eastAsia="zh-CN"/>
          </w:rPr>
          <w:t>十一、生产安全保护</w:t>
        </w:r>
        <w:r>
          <w:tab/>
        </w:r>
        <w:r>
          <w:fldChar w:fldCharType="begin"/>
        </w:r>
        <w:r>
          <w:instrText xml:space="preserve"> PAGEREF _Toc29841 \h </w:instrText>
        </w:r>
        <w:r>
          <w:fldChar w:fldCharType="separate"/>
        </w:r>
        <w:r>
          <w:t>43</w:t>
        </w:r>
        <w:r>
          <w:fldChar w:fldCharType="end"/>
        </w:r>
      </w:hyperlink>
    </w:p>
    <w:p>
      <w:pPr>
        <w:pStyle w:val="TOC2"/>
        <w:tabs>
          <w:tab w:val="right" w:leader="dot" w:pos="8306"/>
        </w:tabs>
      </w:pPr>
      <w:hyperlink w:anchor="_Toc21129" w:history="1">
        <w:r>
          <w:rPr>
            <w:rFonts w:ascii="仿宋" w:eastAsia="仿宋" w:hAnsi="仿宋" w:cs="仿宋" w:hint="eastAsia"/>
            <w:lang w:eastAsia="zh-CN"/>
          </w:rPr>
          <w:t>(一)、消防安全</w:t>
        </w:r>
        <w:r>
          <w:tab/>
        </w:r>
        <w:r>
          <w:fldChar w:fldCharType="begin"/>
        </w:r>
        <w:r>
          <w:instrText xml:space="preserve"> PAGEREF _Toc21129 \h </w:instrText>
        </w:r>
        <w:r>
          <w:fldChar w:fldCharType="separate"/>
        </w:r>
        <w:r>
          <w:t>43</w:t>
        </w:r>
        <w:r>
          <w:fldChar w:fldCharType="end"/>
        </w:r>
      </w:hyperlink>
    </w:p>
    <w:p>
      <w:pPr>
        <w:pStyle w:val="TOC2"/>
        <w:tabs>
          <w:tab w:val="right" w:leader="dot" w:pos="8306"/>
        </w:tabs>
      </w:pPr>
      <w:hyperlink w:anchor="_Toc3626" w:history="1">
        <w:r>
          <w:rPr>
            <w:rFonts w:ascii="仿宋" w:eastAsia="仿宋" w:hAnsi="仿宋" w:cs="仿宋" w:hint="eastAsia"/>
            <w:lang w:eastAsia="zh-CN"/>
          </w:rPr>
          <w:t>(二)、防火防爆总图布置措施</w:t>
        </w:r>
        <w:r>
          <w:tab/>
        </w:r>
        <w:r>
          <w:fldChar w:fldCharType="begin"/>
        </w:r>
        <w:r>
          <w:instrText xml:space="preserve"> PAGEREF _Toc3626 \h </w:instrText>
        </w:r>
        <w:r>
          <w:fldChar w:fldCharType="separate"/>
        </w:r>
        <w:r>
          <w:t>45</w:t>
        </w:r>
        <w:r>
          <w:fldChar w:fldCharType="end"/>
        </w:r>
      </w:hyperlink>
    </w:p>
    <w:p>
      <w:pPr>
        <w:pStyle w:val="TOC2"/>
        <w:tabs>
          <w:tab w:val="right" w:leader="dot" w:pos="8306"/>
        </w:tabs>
      </w:pPr>
      <w:hyperlink w:anchor="_Toc10013" w:history="1">
        <w:r>
          <w:rPr>
            <w:rFonts w:ascii="仿宋" w:eastAsia="仿宋" w:hAnsi="仿宋" w:cs="仿宋" w:hint="eastAsia"/>
            <w:lang w:eastAsia="zh-CN"/>
          </w:rPr>
          <w:t>(三)、自然灾害防范措施</w:t>
        </w:r>
        <w:r>
          <w:tab/>
        </w:r>
        <w:r>
          <w:fldChar w:fldCharType="begin"/>
        </w:r>
        <w:r>
          <w:instrText xml:space="preserve"> PAGEREF _Toc10013 \h </w:instrText>
        </w:r>
        <w:r>
          <w:fldChar w:fldCharType="separate"/>
        </w:r>
        <w:r>
          <w:t>46</w:t>
        </w:r>
        <w:r>
          <w:fldChar w:fldCharType="end"/>
        </w:r>
      </w:hyperlink>
    </w:p>
    <w:p>
      <w:pPr>
        <w:pStyle w:val="TOC2"/>
        <w:tabs>
          <w:tab w:val="right" w:leader="dot" w:pos="8306"/>
        </w:tabs>
      </w:pPr>
      <w:hyperlink w:anchor="_Toc21359" w:history="1">
        <w:r>
          <w:rPr>
            <w:rFonts w:ascii="仿宋" w:eastAsia="仿宋" w:hAnsi="仿宋" w:cs="仿宋" w:hint="eastAsia"/>
            <w:lang w:eastAsia="zh-CN"/>
          </w:rPr>
          <w:t>(四)、安全色及安全标志使用要求</w:t>
        </w:r>
        <w:r>
          <w:tab/>
        </w:r>
        <w:r>
          <w:fldChar w:fldCharType="begin"/>
        </w:r>
        <w:r>
          <w:instrText xml:space="preserve"> PAGEREF _Toc21359 \h </w:instrText>
        </w:r>
        <w:r>
          <w:fldChar w:fldCharType="separate"/>
        </w:r>
        <w:r>
          <w:t>47</w:t>
        </w:r>
        <w:r>
          <w:fldChar w:fldCharType="end"/>
        </w:r>
      </w:hyperlink>
    </w:p>
    <w:p>
      <w:pPr>
        <w:pStyle w:val="TOC2"/>
        <w:tabs>
          <w:tab w:val="right" w:leader="dot" w:pos="8306"/>
        </w:tabs>
      </w:pPr>
      <w:hyperlink w:anchor="_Toc6375" w:history="1">
        <w:r>
          <w:rPr>
            <w:rFonts w:ascii="仿宋" w:eastAsia="仿宋" w:hAnsi="仿宋" w:cs="仿宋" w:hint="eastAsia"/>
            <w:lang w:eastAsia="zh-CN"/>
          </w:rPr>
          <w:t>(五)、防尘防毒措施</w:t>
        </w:r>
        <w:r>
          <w:tab/>
        </w:r>
        <w:r>
          <w:fldChar w:fldCharType="begin"/>
        </w:r>
        <w:r>
          <w:instrText xml:space="preserve"> PAGEREF _Toc6375 \h </w:instrText>
        </w:r>
        <w:r>
          <w:fldChar w:fldCharType="separate"/>
        </w:r>
        <w:r>
          <w:t>48</w:t>
        </w:r>
        <w:r>
          <w:fldChar w:fldCharType="end"/>
        </w:r>
      </w:hyperlink>
    </w:p>
    <w:p>
      <w:pPr>
        <w:pStyle w:val="TOC2"/>
        <w:tabs>
          <w:tab w:val="right" w:leader="dot" w:pos="8306"/>
        </w:tabs>
      </w:pPr>
      <w:hyperlink w:anchor="_Toc6502" w:history="1">
        <w:r>
          <w:rPr>
            <w:rFonts w:ascii="仿宋" w:eastAsia="仿宋" w:hAnsi="仿宋" w:cs="仿宋" w:hint="eastAsia"/>
            <w:lang w:eastAsia="zh-CN"/>
          </w:rPr>
          <w:t>(六)、防静电、触电防护及防雷措施</w:t>
        </w:r>
        <w:r>
          <w:tab/>
        </w:r>
        <w:r>
          <w:fldChar w:fldCharType="begin"/>
        </w:r>
        <w:r>
          <w:instrText xml:space="preserve"> PAGEREF _Toc6502 \h </w:instrText>
        </w:r>
        <w:r>
          <w:fldChar w:fldCharType="separate"/>
        </w:r>
        <w:r>
          <w:t>49</w:t>
        </w:r>
        <w:r>
          <w:fldChar w:fldCharType="end"/>
        </w:r>
      </w:hyperlink>
    </w:p>
    <w:p>
      <w:pPr>
        <w:pStyle w:val="TOC2"/>
        <w:tabs>
          <w:tab w:val="right" w:leader="dot" w:pos="8306"/>
        </w:tabs>
      </w:pPr>
      <w:hyperlink w:anchor="_Toc21673" w:history="1">
        <w:r>
          <w:rPr>
            <w:rFonts w:ascii="仿宋" w:eastAsia="仿宋" w:hAnsi="仿宋" w:cs="仿宋" w:hint="eastAsia"/>
            <w:lang w:eastAsia="zh-CN"/>
          </w:rPr>
          <w:t>(七)、机械设备安全保障措施</w:t>
        </w:r>
        <w:r>
          <w:tab/>
        </w:r>
        <w:r>
          <w:fldChar w:fldCharType="begin"/>
        </w:r>
        <w:r>
          <w:instrText xml:space="preserve"> PAGEREF _Toc21673 \h </w:instrText>
        </w:r>
        <w:r>
          <w:fldChar w:fldCharType="separate"/>
        </w:r>
        <w:r>
          <w:t>50</w:t>
        </w:r>
        <w:r>
          <w:fldChar w:fldCharType="end"/>
        </w:r>
      </w:hyperlink>
    </w:p>
    <w:p>
      <w:pPr>
        <w:pStyle w:val="TOC1"/>
        <w:tabs>
          <w:tab w:val="right" w:leader="dot" w:pos="8306"/>
        </w:tabs>
      </w:pPr>
      <w:hyperlink w:anchor="_Toc7756" w:history="1">
        <w:r>
          <w:rPr>
            <w:rFonts w:ascii="仿宋" w:eastAsia="仿宋" w:hAnsi="仿宋" w:cs="仿宋" w:hint="eastAsia"/>
            <w:lang w:eastAsia="zh-CN"/>
          </w:rPr>
          <w:t>十二、同位素及应用产品项目投资规划</w:t>
        </w:r>
        <w:r>
          <w:tab/>
        </w:r>
        <w:r>
          <w:fldChar w:fldCharType="begin"/>
        </w:r>
        <w:r>
          <w:instrText xml:space="preserve"> PAGEREF _Toc7756 \h </w:instrText>
        </w:r>
        <w:r>
          <w:fldChar w:fldCharType="separate"/>
        </w:r>
        <w:r>
          <w:t>52</w:t>
        </w:r>
        <w:r>
          <w:fldChar w:fldCharType="end"/>
        </w:r>
      </w:hyperlink>
    </w:p>
    <w:p>
      <w:pPr>
        <w:pStyle w:val="TOC2"/>
        <w:tabs>
          <w:tab w:val="right" w:leader="dot" w:pos="8306"/>
        </w:tabs>
      </w:pPr>
      <w:hyperlink w:anchor="_Toc31241" w:history="1">
        <w:r>
          <w:rPr>
            <w:rFonts w:ascii="仿宋" w:eastAsia="仿宋" w:hAnsi="仿宋" w:cs="仿宋" w:hint="eastAsia"/>
            <w:lang w:eastAsia="zh-CN"/>
          </w:rPr>
          <w:t>(一)、同位素及应用产品项目总投资估算</w:t>
        </w:r>
        <w:r>
          <w:tab/>
        </w:r>
        <w:r>
          <w:fldChar w:fldCharType="begin"/>
        </w:r>
        <w:r>
          <w:instrText xml:space="preserve"> PAGEREF _Toc31241 \h </w:instrText>
        </w:r>
        <w:r>
          <w:fldChar w:fldCharType="separate"/>
        </w:r>
        <w:r>
          <w:t>52</w:t>
        </w:r>
        <w:r>
          <w:fldChar w:fldCharType="end"/>
        </w:r>
      </w:hyperlink>
    </w:p>
    <w:p>
      <w:pPr>
        <w:pStyle w:val="TOC2"/>
        <w:tabs>
          <w:tab w:val="right" w:leader="dot" w:pos="8306"/>
        </w:tabs>
      </w:pPr>
      <w:hyperlink w:anchor="_Toc31760" w:history="1">
        <w:r>
          <w:rPr>
            <w:rFonts w:ascii="仿宋" w:eastAsia="仿宋" w:hAnsi="仿宋" w:cs="仿宋" w:hint="eastAsia"/>
            <w:lang w:eastAsia="zh-CN"/>
          </w:rPr>
          <w:t>(二)、资金筹措</w:t>
        </w:r>
        <w:r>
          <w:tab/>
        </w:r>
        <w:r>
          <w:fldChar w:fldCharType="begin"/>
        </w:r>
        <w:r>
          <w:instrText xml:space="preserve"> PAGEREF _Toc31760 \h </w:instrText>
        </w:r>
        <w:r>
          <w:fldChar w:fldCharType="separate"/>
        </w:r>
        <w:r>
          <w:t>53</w:t>
        </w:r>
        <w:r>
          <w:fldChar w:fldCharType="end"/>
        </w:r>
      </w:hyperlink>
    </w:p>
    <w:p>
      <w:pPr>
        <w:pStyle w:val="TOC1"/>
        <w:tabs>
          <w:tab w:val="right" w:leader="dot" w:pos="8306"/>
        </w:tabs>
      </w:pPr>
      <w:hyperlink w:anchor="_Toc14515" w:history="1">
        <w:r>
          <w:rPr>
            <w:rFonts w:ascii="仿宋" w:eastAsia="仿宋" w:hAnsi="仿宋" w:cs="仿宋" w:hint="eastAsia"/>
            <w:lang w:eastAsia="zh-CN"/>
          </w:rPr>
          <w:t>十三、质量管理体系</w:t>
        </w:r>
        <w:r>
          <w:tab/>
        </w:r>
        <w:r>
          <w:fldChar w:fldCharType="begin"/>
        </w:r>
        <w:r>
          <w:instrText xml:space="preserve"> PAGEREF _Toc14515 \h </w:instrText>
        </w:r>
        <w:r>
          <w:fldChar w:fldCharType="separate"/>
        </w:r>
        <w:r>
          <w:t>54</w:t>
        </w:r>
        <w:r>
          <w:fldChar w:fldCharType="end"/>
        </w:r>
      </w:hyperlink>
    </w:p>
    <w:p>
      <w:pPr>
        <w:pStyle w:val="TOC2"/>
        <w:tabs>
          <w:tab w:val="right" w:leader="dot" w:pos="8306"/>
        </w:tabs>
      </w:pPr>
      <w:hyperlink w:anchor="_Toc29527" w:history="1">
        <w:r>
          <w:rPr>
            <w:rFonts w:ascii="仿宋" w:eastAsia="仿宋" w:hAnsi="仿宋" w:cs="仿宋" w:hint="eastAsia"/>
            <w:lang w:eastAsia="zh-CN"/>
          </w:rPr>
          <w:t>(一)、质量目标与方针</w:t>
        </w:r>
        <w:r>
          <w:tab/>
        </w:r>
        <w:r>
          <w:fldChar w:fldCharType="begin"/>
        </w:r>
        <w:r>
          <w:instrText xml:space="preserve"> PAGEREF _Toc29527 \h </w:instrText>
        </w:r>
        <w:r>
          <w:fldChar w:fldCharType="separate"/>
        </w:r>
        <w:r>
          <w:t>54</w:t>
        </w:r>
        <w:r>
          <w:fldChar w:fldCharType="end"/>
        </w:r>
      </w:hyperlink>
    </w:p>
    <w:p>
      <w:pPr>
        <w:pStyle w:val="TOC2"/>
        <w:tabs>
          <w:tab w:val="right" w:leader="dot" w:pos="8306"/>
        </w:tabs>
      </w:pPr>
      <w:hyperlink w:anchor="_Toc1972" w:history="1">
        <w:r>
          <w:rPr>
            <w:rFonts w:ascii="仿宋" w:eastAsia="仿宋" w:hAnsi="仿宋" w:cs="仿宋" w:hint="eastAsia"/>
            <w:lang w:eastAsia="zh-CN"/>
          </w:rPr>
          <w:t>(二)、质量管理责任</w:t>
        </w:r>
        <w:r>
          <w:tab/>
        </w:r>
        <w:r>
          <w:fldChar w:fldCharType="begin"/>
        </w:r>
        <w:r>
          <w:instrText xml:space="preserve"> PAGEREF _Toc1972 \h </w:instrText>
        </w:r>
        <w:r>
          <w:fldChar w:fldCharType="separate"/>
        </w:r>
        <w:r>
          <w:t>55</w:t>
        </w:r>
        <w:r>
          <w:fldChar w:fldCharType="end"/>
        </w:r>
      </w:hyperlink>
    </w:p>
    <w:p>
      <w:pPr>
        <w:pStyle w:val="TOC2"/>
        <w:tabs>
          <w:tab w:val="right" w:leader="dot" w:pos="8306"/>
        </w:tabs>
      </w:pPr>
      <w:hyperlink w:anchor="_Toc31726" w:history="1">
        <w:r>
          <w:rPr>
            <w:rFonts w:ascii="仿宋" w:eastAsia="仿宋" w:hAnsi="仿宋" w:cs="仿宋" w:hint="eastAsia"/>
            <w:lang w:eastAsia="zh-CN"/>
          </w:rPr>
          <w:t>(三)、质量管理体系文件</w:t>
        </w:r>
        <w:r>
          <w:tab/>
        </w:r>
        <w:r>
          <w:fldChar w:fldCharType="begin"/>
        </w:r>
        <w:r>
          <w:instrText xml:space="preserve"> PAGEREF _Toc31726 \h </w:instrText>
        </w:r>
        <w:r>
          <w:fldChar w:fldCharType="separate"/>
        </w:r>
        <w:r>
          <w:t>56</w:t>
        </w:r>
        <w:r>
          <w:fldChar w:fldCharType="end"/>
        </w:r>
      </w:hyperlink>
    </w:p>
    <w:p>
      <w:pPr>
        <w:pStyle w:val="TOC2"/>
        <w:tabs>
          <w:tab w:val="right" w:leader="dot" w:pos="8306"/>
        </w:tabs>
      </w:pPr>
      <w:hyperlink w:anchor="_Toc20665" w:history="1">
        <w:r>
          <w:rPr>
            <w:rFonts w:ascii="仿宋" w:eastAsia="仿宋" w:hAnsi="仿宋" w:cs="仿宋" w:hint="eastAsia"/>
            <w:lang w:eastAsia="zh-CN"/>
          </w:rPr>
          <w:t>(四)、质量培训与教育</w:t>
        </w:r>
        <w:r>
          <w:tab/>
        </w:r>
        <w:r>
          <w:fldChar w:fldCharType="begin"/>
        </w:r>
        <w:r>
          <w:instrText xml:space="preserve"> PAGEREF _Toc20665 \h </w:instrText>
        </w:r>
        <w:r>
          <w:fldChar w:fldCharType="separate"/>
        </w:r>
        <w:r>
          <w:t>58</w:t>
        </w:r>
        <w:r>
          <w:fldChar w:fldCharType="end"/>
        </w:r>
      </w:hyperlink>
    </w:p>
    <w:p>
      <w:pPr>
        <w:pStyle w:val="TOC2"/>
        <w:tabs>
          <w:tab w:val="right" w:leader="dot" w:pos="8306"/>
        </w:tabs>
      </w:pPr>
      <w:hyperlink w:anchor="_Toc11680" w:history="1">
        <w:r>
          <w:rPr>
            <w:rFonts w:ascii="仿宋" w:eastAsia="仿宋" w:hAnsi="仿宋" w:cs="仿宋" w:hint="eastAsia"/>
            <w:lang w:eastAsia="zh-CN"/>
          </w:rPr>
          <w:t>(五)、质量审核与评价</w:t>
        </w:r>
        <w:r>
          <w:tab/>
        </w:r>
        <w:r>
          <w:fldChar w:fldCharType="begin"/>
        </w:r>
        <w:r>
          <w:instrText xml:space="preserve"> PAGEREF _Toc11680 \h </w:instrText>
        </w:r>
        <w:r>
          <w:fldChar w:fldCharType="separate"/>
        </w:r>
        <w:r>
          <w:t>60</w:t>
        </w:r>
        <w:r>
          <w:fldChar w:fldCharType="end"/>
        </w:r>
      </w:hyperlink>
    </w:p>
    <w:p>
      <w:pPr>
        <w:pStyle w:val="TOC2"/>
        <w:tabs>
          <w:tab w:val="right" w:leader="dot" w:pos="8306"/>
        </w:tabs>
      </w:pPr>
      <w:hyperlink w:anchor="_Toc30213" w:history="1">
        <w:r>
          <w:rPr>
            <w:rFonts w:ascii="仿宋" w:eastAsia="仿宋" w:hAnsi="仿宋" w:cs="仿宋" w:hint="eastAsia"/>
            <w:lang w:eastAsia="zh-CN"/>
          </w:rPr>
          <w:t>(六)、不符合与纠正措施</w:t>
        </w:r>
        <w:r>
          <w:tab/>
        </w:r>
        <w:r>
          <w:fldChar w:fldCharType="begin"/>
        </w:r>
        <w:r>
          <w:instrText xml:space="preserve"> PAGEREF _Toc30213 \h </w:instrText>
        </w:r>
        <w:r>
          <w:fldChar w:fldCharType="separate"/>
        </w:r>
        <w:r>
          <w:t>61</w:t>
        </w:r>
        <w:r>
          <w:fldChar w:fldCharType="end"/>
        </w:r>
      </w:hyperlink>
    </w:p>
    <w:p>
      <w:pPr>
        <w:pStyle w:val="TOC1"/>
        <w:tabs>
          <w:tab w:val="right" w:leader="dot" w:pos="8306"/>
        </w:tabs>
      </w:pPr>
      <w:hyperlink w:anchor="_Toc27834" w:history="1">
        <w:r>
          <w:rPr>
            <w:rFonts w:ascii="仿宋" w:eastAsia="仿宋" w:hAnsi="仿宋" w:cs="仿宋" w:hint="eastAsia"/>
            <w:lang w:eastAsia="zh-CN"/>
          </w:rPr>
          <w:t>十四、同位素及应用产品项目工程方案分析</w:t>
        </w:r>
        <w:r>
          <w:tab/>
        </w:r>
        <w:r>
          <w:fldChar w:fldCharType="begin"/>
        </w:r>
        <w:r>
          <w:instrText xml:space="preserve"> PAGEREF _Toc27834 \h </w:instrText>
        </w:r>
        <w:r>
          <w:fldChar w:fldCharType="separate"/>
        </w:r>
        <w:r>
          <w:t>62</w:t>
        </w:r>
        <w:r>
          <w:fldChar w:fldCharType="end"/>
        </w:r>
      </w:hyperlink>
    </w:p>
    <w:p>
      <w:pPr>
        <w:pStyle w:val="TOC2"/>
        <w:tabs>
          <w:tab w:val="right" w:leader="dot" w:pos="8306"/>
        </w:tabs>
      </w:pPr>
      <w:hyperlink w:anchor="_Toc4447" w:history="1">
        <w:r>
          <w:rPr>
            <w:rFonts w:ascii="仿宋" w:eastAsia="仿宋" w:hAnsi="仿宋" w:cs="仿宋" w:hint="eastAsia"/>
            <w:lang w:eastAsia="zh-CN"/>
          </w:rPr>
          <w:t>(一)、建筑工程设计原则</w:t>
        </w:r>
        <w:r>
          <w:tab/>
        </w:r>
        <w:r>
          <w:fldChar w:fldCharType="begin"/>
        </w:r>
        <w:r>
          <w:instrText xml:space="preserve"> PAGEREF _Toc4447 \h </w:instrText>
        </w:r>
        <w:r>
          <w:fldChar w:fldCharType="separate"/>
        </w:r>
        <w:r>
          <w:t>62</w:t>
        </w:r>
        <w:r>
          <w:fldChar w:fldCharType="end"/>
        </w:r>
      </w:hyperlink>
    </w:p>
    <w:p>
      <w:pPr>
        <w:pStyle w:val="TOC2"/>
        <w:tabs>
          <w:tab w:val="right" w:leader="dot" w:pos="8306"/>
        </w:tabs>
      </w:pPr>
      <w:hyperlink w:anchor="_Toc24527" w:history="1">
        <w:r>
          <w:rPr>
            <w:rFonts w:ascii="仿宋" w:eastAsia="仿宋" w:hAnsi="仿宋" w:cs="仿宋" w:hint="eastAsia"/>
            <w:lang w:eastAsia="zh-CN"/>
          </w:rPr>
          <w:t>(二)、土建工程建设指标</w:t>
        </w:r>
        <w:r>
          <w:tab/>
        </w:r>
        <w:r>
          <w:fldChar w:fldCharType="begin"/>
        </w:r>
        <w:r>
          <w:instrText xml:space="preserve"> PAGEREF _Toc24527 \h </w:instrText>
        </w:r>
        <w:r>
          <w:fldChar w:fldCharType="separate"/>
        </w:r>
        <w:r>
          <w:t>65</w:t>
        </w:r>
        <w:r>
          <w:fldChar w:fldCharType="end"/>
        </w:r>
      </w:hyperlink>
    </w:p>
    <w:p>
      <w:pPr>
        <w:pStyle w:val="TOC1"/>
        <w:tabs>
          <w:tab w:val="right" w:leader="dot" w:pos="8306"/>
        </w:tabs>
      </w:pPr>
      <w:hyperlink w:anchor="_Toc31572" w:history="1">
        <w:r>
          <w:rPr>
            <w:rFonts w:ascii="仿宋" w:eastAsia="仿宋" w:hAnsi="仿宋" w:cs="仿宋" w:hint="eastAsia"/>
            <w:lang w:eastAsia="zh-CN"/>
          </w:rPr>
          <w:t>十五、供应链管理</w:t>
        </w:r>
        <w:r>
          <w:tab/>
        </w:r>
        <w:r>
          <w:fldChar w:fldCharType="begin"/>
        </w:r>
        <w:r>
          <w:instrText xml:space="preserve"> PAGEREF _Toc31572 \h </w:instrText>
        </w:r>
        <w:r>
          <w:fldChar w:fldCharType="separate"/>
        </w:r>
        <w:r>
          <w:t>67</w:t>
        </w:r>
        <w:r>
          <w:fldChar w:fldCharType="end"/>
        </w:r>
      </w:hyperlink>
    </w:p>
    <w:p>
      <w:pPr>
        <w:pStyle w:val="TOC2"/>
        <w:tabs>
          <w:tab w:val="right" w:leader="dot" w:pos="8306"/>
        </w:tabs>
      </w:pPr>
      <w:hyperlink w:anchor="_Toc8310" w:history="1">
        <w:r>
          <w:rPr>
            <w:rFonts w:ascii="仿宋" w:eastAsia="仿宋" w:hAnsi="仿宋" w:cs="仿宋" w:hint="eastAsia"/>
            <w:lang w:eastAsia="zh-CN"/>
          </w:rPr>
          <w:t>(一)、供应链战略规划</w:t>
        </w:r>
        <w:r>
          <w:tab/>
        </w:r>
        <w:r>
          <w:fldChar w:fldCharType="begin"/>
        </w:r>
        <w:r>
          <w:instrText xml:space="preserve"> PAGEREF _Toc8310 \h </w:instrText>
        </w:r>
        <w:r>
          <w:fldChar w:fldCharType="separate"/>
        </w:r>
        <w:r>
          <w:t>67</w:t>
        </w:r>
        <w:r>
          <w:fldChar w:fldCharType="end"/>
        </w:r>
      </w:hyperlink>
    </w:p>
    <w:p>
      <w:pPr>
        <w:pStyle w:val="TOC2"/>
        <w:tabs>
          <w:tab w:val="right" w:leader="dot" w:pos="8306"/>
        </w:tabs>
      </w:pPr>
      <w:hyperlink w:anchor="_Toc25967" w:history="1">
        <w:r>
          <w:rPr>
            <w:rFonts w:ascii="仿宋" w:eastAsia="仿宋" w:hAnsi="仿宋" w:cs="仿宋" w:hint="eastAsia"/>
            <w:lang w:eastAsia="zh-CN"/>
          </w:rPr>
          <w:t>(二)、供应商选择与合作</w:t>
        </w:r>
        <w:r>
          <w:tab/>
        </w:r>
        <w:r>
          <w:fldChar w:fldCharType="begin"/>
        </w:r>
        <w:r>
          <w:instrText xml:space="preserve"> PAGEREF _Toc25967 \h </w:instrText>
        </w:r>
        <w:r>
          <w:fldChar w:fldCharType="separate"/>
        </w:r>
        <w:r>
          <w:t>69</w:t>
        </w:r>
        <w:r>
          <w:fldChar w:fldCharType="end"/>
        </w:r>
      </w:hyperlink>
    </w:p>
    <w:p>
      <w:pPr>
        <w:pStyle w:val="TOC2"/>
        <w:tabs>
          <w:tab w:val="right" w:leader="dot" w:pos="8306"/>
        </w:tabs>
      </w:pPr>
      <w:hyperlink w:anchor="_Toc26390" w:history="1">
        <w:r>
          <w:rPr>
            <w:rFonts w:ascii="仿宋" w:eastAsia="仿宋" w:hAnsi="仿宋" w:cs="仿宋" w:hint="eastAsia"/>
            <w:lang w:eastAsia="zh-CN"/>
          </w:rPr>
          <w:t>(三)、物流与库存管理</w:t>
        </w:r>
        <w:r>
          <w:tab/>
        </w:r>
        <w:r>
          <w:fldChar w:fldCharType="begin"/>
        </w:r>
        <w:r>
          <w:instrText xml:space="preserve"> PAGEREF _Toc26390 \h </w:instrText>
        </w:r>
        <w:r>
          <w:fldChar w:fldCharType="separate"/>
        </w:r>
        <w:r>
          <w:t>70</w:t>
        </w:r>
        <w:r>
          <w:fldChar w:fldCharType="end"/>
        </w:r>
      </w:hyperlink>
    </w:p>
    <w:p>
      <w:pPr>
        <w:pStyle w:val="TOC1"/>
        <w:tabs>
          <w:tab w:val="right" w:leader="dot" w:pos="8306"/>
        </w:tabs>
      </w:pPr>
      <w:hyperlink w:anchor="_Toc26461" w:history="1">
        <w:r>
          <w:rPr>
            <w:rFonts w:ascii="仿宋" w:eastAsia="仿宋" w:hAnsi="仿宋" w:cs="仿宋" w:hint="eastAsia"/>
            <w:lang w:eastAsia="zh-CN"/>
          </w:rPr>
          <w:t>十六、同位素及应用产品项目实施时间节点</w:t>
        </w:r>
        <w:r>
          <w:tab/>
        </w:r>
        <w:r>
          <w:fldChar w:fldCharType="begin"/>
        </w:r>
        <w:r>
          <w:instrText xml:space="preserve"> PAGEREF _Toc26461 \h </w:instrText>
        </w:r>
        <w:r>
          <w:fldChar w:fldCharType="separate"/>
        </w:r>
        <w:r>
          <w:t>71</w:t>
        </w:r>
        <w:r>
          <w:fldChar w:fldCharType="end"/>
        </w:r>
      </w:hyperlink>
    </w:p>
    <w:p>
      <w:pPr>
        <w:pStyle w:val="TOC2"/>
        <w:tabs>
          <w:tab w:val="right" w:leader="dot" w:pos="8306"/>
        </w:tabs>
      </w:pPr>
      <w:hyperlink w:anchor="_Toc12800" w:history="1">
        <w:r>
          <w:rPr>
            <w:rFonts w:ascii="仿宋" w:eastAsia="仿宋" w:hAnsi="仿宋" w:cs="仿宋" w:hint="eastAsia"/>
            <w:lang w:eastAsia="zh-CN"/>
          </w:rPr>
          <w:t>(一)、同位素及应用产品项目启动阶段时间节点</w:t>
        </w:r>
        <w:r>
          <w:tab/>
        </w:r>
        <w:r>
          <w:fldChar w:fldCharType="begin"/>
        </w:r>
        <w:r>
          <w:instrText xml:space="preserve"> PAGEREF _Toc12800 \h </w:instrText>
        </w:r>
        <w:r>
          <w:fldChar w:fldCharType="separate"/>
        </w:r>
        <w:r>
          <w:t>71</w:t>
        </w:r>
        <w:r>
          <w:fldChar w:fldCharType="end"/>
        </w:r>
      </w:hyperlink>
    </w:p>
    <w:p>
      <w:pPr>
        <w:pStyle w:val="TOC2"/>
        <w:tabs>
          <w:tab w:val="right" w:leader="dot" w:pos="8306"/>
        </w:tabs>
      </w:pPr>
      <w:hyperlink w:anchor="_Toc7710" w:history="1">
        <w:r>
          <w:rPr>
            <w:rFonts w:ascii="仿宋" w:eastAsia="仿宋" w:hAnsi="仿宋" w:cs="仿宋" w:hint="eastAsia"/>
            <w:lang w:eastAsia="zh-CN"/>
          </w:rPr>
          <w:t>(二)、同位素及应用产品项目执行阶段时间节点</w:t>
        </w:r>
        <w:r>
          <w:tab/>
        </w:r>
        <w:r>
          <w:fldChar w:fldCharType="begin"/>
        </w:r>
        <w:r>
          <w:instrText xml:space="preserve"> PAGEREF _Toc7710 \h </w:instrText>
        </w:r>
        <w:r>
          <w:fldChar w:fldCharType="separate"/>
        </w:r>
        <w:r>
          <w:t>73</w:t>
        </w:r>
        <w:r>
          <w:fldChar w:fldCharType="end"/>
        </w:r>
      </w:hyperlink>
    </w:p>
    <w:p>
      <w:pPr>
        <w:pStyle w:val="TOC2"/>
        <w:tabs>
          <w:tab w:val="right" w:leader="dot" w:pos="8306"/>
        </w:tabs>
      </w:pPr>
      <w:hyperlink w:anchor="_Toc10852" w:history="1">
        <w:r>
          <w:rPr>
            <w:rFonts w:ascii="仿宋" w:eastAsia="仿宋" w:hAnsi="仿宋" w:cs="仿宋" w:hint="eastAsia"/>
            <w:lang w:eastAsia="zh-CN"/>
          </w:rPr>
          <w:t>(三)、同位素及应用产品项目完成阶段时间节点</w:t>
        </w:r>
        <w:r>
          <w:tab/>
        </w:r>
        <w:r>
          <w:fldChar w:fldCharType="begin"/>
        </w:r>
        <w:r>
          <w:instrText xml:space="preserve"> PAGEREF _Toc10852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421"/>
      <w:r>
        <w:rPr>
          <w:rFonts w:ascii="仿宋" w:eastAsia="仿宋" w:hAnsi="仿宋" w:cs="仿宋" w:hint="eastAsia"/>
          <w:sz w:val="28"/>
          <w:lang w:eastAsia="zh-CN"/>
        </w:rPr>
        <w:t>一、同位素及应用产品项目建设背景及必要性分析</w:t>
      </w:r>
      <w:bookmarkEnd w:id="2"/>
    </w:p>
    <w:p>
      <w:pPr>
        <w:pStyle w:val="Heading2"/>
        <w:rPr>
          <w:rFonts w:ascii="仿宋" w:eastAsia="仿宋" w:hAnsi="仿宋" w:cs="仿宋" w:hint="eastAsia"/>
          <w:lang w:eastAsia="zh-CN"/>
        </w:rPr>
      </w:pPr>
      <w:bookmarkStart w:id="3" w:name="_Toc21305"/>
      <w:r>
        <w:rPr>
          <w:rFonts w:ascii="仿宋" w:eastAsia="仿宋" w:hAnsi="仿宋" w:cs="仿宋" w:hint="eastAsia"/>
          <w:lang w:eastAsia="zh-CN"/>
        </w:rPr>
        <w:t>(一)、同位素及应用产品项目背景分析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及应用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同位素及应用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同位素及应用产品项目在这个潮流中的定位。同时，我们将关注行业内涌现的新兴机遇，以便同位素及应用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同位素及应用产品项目提供了强大的发展动力。我们将聚焦于行业内最新的技术发展趋势，包括但不限于人工智能、大数据分析、物联网等领域。通过深度的技术研究，我们将确保同位素及应用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同位素及应用产品项目发展的源泉。我们将投入更多的精力对市场需求进行深入剖析，超越表面的需求，深入挖掘潜在的市场痛点和机遇。通过对市场需求的细致了解，同位素及应用产品项目将更有针对性地设计解决方案，满足市场的多样化需求，从而更好地促进同位素及应用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同位素及应用产品项目战略至关重要。我们将对竞争态势进行更为深入的分析，包括但不限于市场份额、产品特点、客户满意度等多个维度。通过深度的竞争分析，同位素及应用产品项目将能够更准确地把握市场脉搏，制定具有竞争力的同位素及应用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同位素及应用产品项目的发展具有直接的影响。我们将进行更为全面的法规和政策分析，了解行业发展中的潜在法律风险和合规挑战。通过充分了解和遵守相关法规，同位素及应用产品项目将确保在法律框架内合法合规运营，为同位素及应用产品项目的稳健发展提供有力支持。</w:t>
      </w:r>
    </w:p>
    <w:p>
      <w:pPr>
        <w:pStyle w:val="Heading2"/>
        <w:ind w:firstLine="560" w:firstLineChars="200"/>
        <w:rPr>
          <w:rFonts w:ascii="仿宋" w:eastAsia="仿宋" w:hAnsi="仿宋" w:cs="仿宋" w:hint="eastAsia"/>
          <w:sz w:val="28"/>
          <w:lang w:eastAsia="zh-CN"/>
        </w:rPr>
      </w:pPr>
      <w:bookmarkStart w:id="4" w:name="_Toc10409"/>
      <w:r>
        <w:rPr>
          <w:rFonts w:ascii="仿宋" w:eastAsia="仿宋" w:hAnsi="仿宋" w:cs="仿宋" w:hint="eastAsia"/>
          <w:sz w:val="28"/>
          <w:lang w:eastAsia="zh-CN"/>
        </w:rPr>
        <w:t>(二)、同位素及应用产品项目建设必要性分析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及应用产品项目建设的迫切性源于对行业发展趋势的深刻洞察。我们正处于一个行业变革的时代，科技创新、数字化转型成为企业发展的关键动力。同位素及应用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及应用产品项目建设不仅仅是为了跟上潮流，更是为了通过技术创新推动企业的持续发展。通过引入先进的技术和解决方案，同位素及应用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同位素及应用产品项目的建设成为必然选择，通过提高产品质量、拓展服务领域，从而在竞争中获得更多的机会。同位素及应用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同位素及应用产品项目建设的必要性体现在对客户需求更精准的满足。通过同位素及应用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及应用产品项目建设的背后是对企业持续创新的追求。只有通过不断创新，企业才能在竞争中立于不败之地。同位素及应用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2239"/>
      <w:r>
        <w:rPr>
          <w:rFonts w:ascii="仿宋" w:eastAsia="仿宋" w:hAnsi="仿宋" w:cs="仿宋" w:hint="eastAsia"/>
          <w:sz w:val="28"/>
          <w:lang w:eastAsia="zh-CN"/>
        </w:rPr>
        <w:t>二、同位素及应用产品项目土建工程</w:t>
      </w:r>
      <w:bookmarkEnd w:id="5"/>
    </w:p>
    <w:p>
      <w:pPr>
        <w:pStyle w:val="Heading2"/>
        <w:rPr>
          <w:rFonts w:ascii="仿宋" w:eastAsia="仿宋" w:hAnsi="仿宋" w:cs="仿宋" w:hint="eastAsia"/>
          <w:lang w:eastAsia="zh-CN"/>
        </w:rPr>
      </w:pPr>
      <w:bookmarkStart w:id="6" w:name="_Toc194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在同位素及应用产品项目的建筑工程设计中，我们将秉承一系列重要的设计原则，以确保同位素及应用产品项目建筑在功能、美观、可持续性等方面达到最佳效果。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首要原则是确保建筑的功能性得到最大化的发挥。我们将充分理解同位素及应用产品项目的实际需求，合理布局各个功能区域，保证建筑在满足业务需求的同时，提供高效的工作环境。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在建筑设计中，我们将综合考虑建设和运营成本。通过精细的经济效益分析，确保设计方案在高效利用资源的同时，对同位素及应用产品项目的长期盈利能力有积极的贡献。</w:t>
      </w:r>
    </w:p>
    <w:p>
      <w:pPr>
        <w:pStyle w:val="Heading2"/>
        <w:ind w:firstLine="560" w:firstLineChars="200"/>
        <w:rPr>
          <w:rFonts w:ascii="仿宋" w:eastAsia="仿宋" w:hAnsi="仿宋" w:cs="仿宋" w:hint="eastAsia"/>
          <w:sz w:val="28"/>
          <w:lang w:eastAsia="zh-CN"/>
        </w:rPr>
      </w:pPr>
      <w:bookmarkStart w:id="7" w:name="_Toc11889"/>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同位素及应用产品项目的土建工程设计中，我们将精准设定设计年限，结合同位素及应用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同位素及应用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3391"/>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同位素及应用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同位素及应用产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同位素及应用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527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本期工程同位素及应用产品项目预计总建筑面积XXX平方米，其中：计容建筑面积XXX平方米，计划建筑工程投资XX万元，占同位素及应用产品项目总投资的XX%。</w:t>
      </w:r>
    </w:p>
    <w:p>
      <w:pPr>
        <w:pStyle w:val="Heading1"/>
        <w:ind w:firstLine="560" w:firstLineChars="200"/>
        <w:rPr>
          <w:rFonts w:ascii="仿宋" w:eastAsia="仿宋" w:hAnsi="仿宋" w:cs="仿宋" w:hint="eastAsia"/>
          <w:sz w:val="28"/>
          <w:lang w:eastAsia="zh-CN"/>
        </w:rPr>
      </w:pPr>
      <w:bookmarkStart w:id="10" w:name="_Toc16869"/>
      <w:r>
        <w:rPr>
          <w:rFonts w:ascii="仿宋" w:eastAsia="仿宋" w:hAnsi="仿宋" w:cs="仿宋" w:hint="eastAsia"/>
          <w:sz w:val="28"/>
          <w:lang w:eastAsia="zh-CN"/>
        </w:rPr>
        <w:t>三、同位素及应用产品项目危机管理</w:t>
      </w:r>
      <w:bookmarkEnd w:id="10"/>
    </w:p>
    <w:p>
      <w:pPr>
        <w:pStyle w:val="Heading2"/>
        <w:rPr>
          <w:rFonts w:ascii="仿宋" w:eastAsia="仿宋" w:hAnsi="仿宋" w:cs="仿宋" w:hint="eastAsia"/>
          <w:lang w:eastAsia="zh-CN"/>
        </w:rPr>
      </w:pPr>
      <w:bookmarkStart w:id="11" w:name="_Toc25851"/>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同位素及应用产品项目危机管理中，危机预警与识别是确保同位素及应用产品项目稳健运行的核心步骤。通过建立全面的监测机制，同位素及应用产品项目团队旨在及时发现和理解潜在的风险和危机因素，以便采取及时的预防和应对措施，确保同位素及应用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同位素及应用产品项目团队全面分析了整个同位素及应用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同位素及应用产品项目团队着重于明确定义同位素及应用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同位素及应用产品项目进展的持续监控，团队能够及时发现潜在问题并作出迅速反应。同位素及应用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在这一阶段，团队的专业素养和反应速度将发挥至关重要的作用，以确保潜在危机能够在初期得到有效的处理，最大程度地减轻负面影响。通过危机预警与识别，同位素及应用产品项目得以更有序、可控地推进。</w:t>
      </w:r>
    </w:p>
    <w:p>
      <w:pPr>
        <w:pStyle w:val="Heading2"/>
        <w:ind w:firstLine="560" w:firstLineChars="200"/>
        <w:rPr>
          <w:rFonts w:ascii="仿宋" w:eastAsia="仿宋" w:hAnsi="仿宋" w:cs="仿宋" w:hint="eastAsia"/>
          <w:sz w:val="28"/>
          <w:lang w:eastAsia="zh-CN"/>
        </w:rPr>
      </w:pPr>
      <w:bookmarkStart w:id="12" w:name="_Toc23477"/>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在危机发生时，同位素及应用产品项目团队立即行动，成立了应急小组。该小组的任务是迅速制定并实施紧急应对措施，以最小化潜在损失。以下是采取的主要措施：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暂停同位素及应用产品项目进度：为遏制危机蔓延，同位素及应用产品项目暂时停止进行，以便全面评估当前状况。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资源重新分配：重新评估同位素及应用产品项目资源的分配，确保最大限度地减小损失。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实时沟通：与关键利益相关者建立实时沟通机制，向他们传递同位素及应用产品项目危机的实际状况，保障同位素及应用产品项目核心利益。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在紧急应对的同时，同位素及应用产品项目团队强调了团队协作和有效沟通的重要性。以下是团队协作的关键举措：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信息共享机制：建立了信息共享平台，确保团队成员能够及时获取同位素及应用产品项目危机的实时信息。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领导者沟通：同位素及应用产品项目领导者通过定期会议和即时沟通工具，指导团队应对危机，保持团队稳定运行。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随着危机得到初步控制，同位素及应用产品项目团队转向制定恢复计划，以确保同位素及应用产品项目能够从中迅速恢复。主要恢复计划包括：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修复受损的进度计划：重新评估同位素及应用产品项目进度，制定修复计划，确保同位素及应用产品项目尽快回归正常进程。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重新调整资源分配：优化资源分配，确保同位素及应用产品项目在有限资源下高效运转。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风险管理机制加强：对同位素及应用产品项目风险进行全面评估，制定更强化的风险管理策略，以预防未来可能的危机。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4932"/>
      <w:r>
        <w:rPr>
          <w:rFonts w:ascii="仿宋" w:eastAsia="仿宋" w:hAnsi="仿宋" w:cs="仿宋" w:hint="eastAsia"/>
          <w:sz w:val="28"/>
          <w:lang w:eastAsia="zh-CN"/>
        </w:rPr>
        <w:t>四、同位素及应用产品项目绩效评估</w:t>
      </w:r>
      <w:bookmarkEnd w:id="13"/>
    </w:p>
    <w:p>
      <w:pPr>
        <w:pStyle w:val="Heading2"/>
        <w:rPr>
          <w:rFonts w:ascii="仿宋" w:eastAsia="仿宋" w:hAnsi="仿宋" w:cs="仿宋" w:hint="eastAsia"/>
          <w:lang w:eastAsia="zh-CN"/>
        </w:rPr>
      </w:pPr>
      <w:bookmarkStart w:id="14" w:name="_Toc9804"/>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同位素及应用产品项目中，我们设计了一套全面的绩效评估指标，以确保同位素及应用产品项目的可控和成功交付。这些指标跨足同位素及应用产品项目目标、成本、进度和质量等多个维度，为我们提供了全面洞察同位素及应用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及应用产品项目目标达成率是我们关注的首要指标。我们设定了明确的目标，并通过定期监测和评估，迅速发现并应对潜在的目标偏差。这为同位素及应用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成本绩效是另一个核心关注点。通过实际成本与预算成本的对比分析，我们深入了解成本差异的原因，及时调整资源分配，保持同位素及应用产品项目在经济效益方面的合理水平。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及应用产品项目进度作为关键的绩效指标之一，得到了精心的关注。我们制定了详细的同位素及应用产品项目进度计划，并设立了进度符合度指标，确保实际进度与计划进度保持一致。这使我们能够快速发现和解决潜在的进度问题，保持同位素及应用产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同位素及应用产品项目绩效的不可或缺的一环。我们引入了一系列的质量标准和客户满意度指标，以确保同位素及应用产品项目交付的成果在质量上达到或超越预期水平。通过持续监测这些指标，我们努力提升同位素及应用产品项目整体质量水平，为同位素及应用产品项目的成功交付提供有力保障。通过这些科学且全面的绩效评估，我们能够更好地引导同位素及应用产品项目的持续改进，确保同位素及应用产品项目目标的顺利达成。</w:t>
      </w:r>
    </w:p>
    <w:p>
      <w:pPr>
        <w:pStyle w:val="Heading2"/>
        <w:ind w:firstLine="560" w:firstLineChars="200"/>
        <w:rPr>
          <w:rFonts w:ascii="仿宋" w:eastAsia="仿宋" w:hAnsi="仿宋" w:cs="仿宋" w:hint="eastAsia"/>
          <w:sz w:val="28"/>
          <w:lang w:eastAsia="zh-CN"/>
        </w:rPr>
      </w:pPr>
      <w:bookmarkStart w:id="15" w:name="_Toc22855"/>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绩效评估是同位素及应用产品项目中的关键环节，为确保同位素及应用产品项目达到预期目标，我们采用了多层次、多维度的绩效评估方法。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同位素及应用产品项目的战略目标对齐，确保每个决策和行动都与同位素及应用产品项目整体目标保持一致。团队会定期召开战略对齐会议，审视当前工作与同位素及应用产品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同位素及应用产品项目进度、质量、成本和风险等方面。这些指标通过数据收集和分析，为同位素及应用产品项目管理团队提供了客观的评估依据。例如，我们通过同位素及应用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同位素及应用产品项目内部，还考虑了同位素及应用产品项目对外部环境的影响。我们定期进行干系人满意度调查，以了解各利益相关方对同位素及应用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这种多层次、多角度的绩效评估方法，使得我们能够全面了解同位素及应用产品项目的运行状态，及时做出调整，确保同位素及应用产品项目在不断变化的环境中保持稳健前行。</w:t>
      </w:r>
    </w:p>
    <w:p>
      <w:pPr>
        <w:pStyle w:val="Heading2"/>
        <w:ind w:firstLine="560" w:firstLineChars="200"/>
        <w:rPr>
          <w:rFonts w:ascii="仿宋" w:eastAsia="仿宋" w:hAnsi="仿宋" w:cs="仿宋" w:hint="eastAsia"/>
          <w:sz w:val="28"/>
          <w:lang w:eastAsia="zh-CN"/>
        </w:rPr>
      </w:pPr>
      <w:bookmarkStart w:id="16" w:name="_Toc28815"/>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为了确保同位素及应用产品项目的有效管理和不断优化，我们采用了精心设计的绩效评估周期。这个周期旨在实现灵活、实时和全面的评估，以适应同位素及应用产品项目执行中的各种挑战。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同位素及应用产品项目的不同需求，分为短期、中期和长期。短期评估关注每个迭代或工作周期，以及时发现和解决当前任务中的问题。中期评估涵盖几个迭代，深入了解整体同位素及应用产品项目的趋势和性能。长期评估则着眼于整个同位素及应用产品项目阶段，确保同位素及应用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同位素及应用产品项目管理工具和协作平台，团队成员能够随时更新和分享同位素及应用产品项目数据。这种实时性的反馈机制使我们能够及时察觉潜在问题，快速调整，保持同位素及应用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同位素及应用产品项目的决策制定密不可分。每个周期的同位素及应用产品项目回顾会议成为集体总结经验、识别问题深层次原因并找到创新解决方案的平台。这种定期的反思与调整机制使同位素及应用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31933"/>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31252"/>
      <w:r>
        <w:rPr>
          <w:rFonts w:ascii="仿宋" w:eastAsia="仿宋" w:hAnsi="仿宋" w:cs="仿宋" w:hint="eastAsia"/>
          <w:lang w:eastAsia="zh-CN"/>
        </w:rPr>
        <w:t>(一)、同位素及应用产品行业分析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同位素及应用产品行业一直以来都是市场的关注焦点。行业内的发展趋势、竞争态势以及潜在机会都对同位素及应用产品项目的推进产生深远的影响。通过深入研究行业的整体概貌，我们将更好地理解行业的核心特征，为同位素及应用产品项目的定位提供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同位素及应用产品行业，技术一直是推动创新和发展的关键因素。我们将对当前技术趋势进行详尽分析，包括但不限于人工智能、大数据应用、先进制造技术等。这有助于同位素及应用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同位素及应用产品项目成功的基础。我们将对主要竞争对手进行深入研究，包括其市场份额、产品特点、市场定位等。通过全面了解竞争对手的优势和劣势，同位素及应用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5276"/>
      <w:r>
        <w:rPr>
          <w:rFonts w:ascii="仿宋" w:eastAsia="仿宋" w:hAnsi="仿宋" w:cs="仿宋" w:hint="eastAsia"/>
          <w:sz w:val="28"/>
          <w:lang w:eastAsia="zh-CN"/>
        </w:rPr>
        <w:t>(二)、同位素及应用产品市场分析预测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同位素及应用产品市场未来的增长趋势。这包括市场的整体规模、各细分领域的发展趋势等。同位素及应用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同位素及应用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https://d.book118.com/056035234203010101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2D330C"/>
    <w:rsid w:val="662D33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6035234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2024-03-01T11:04:00Z</dcterms:created>
  <dcterms:modified xsi:type="dcterms:W3CDTF">2024-03-01T11:04:39Z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3D1244CAEAB04D99B751741BB38D651C_11</vt:lpwstr>
  </property>
  <property fmtid="{D5CDD505-2E9C-101B-9397-08002B2CF9AE}" pid="3" name="KSOProductBuildVer">
    <vt:lpwstr>2052-12.1.0.16388</vt:lpwstr>
  </property>
</Properties>
</file>