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水泥熟料及水泥项目计划设计方案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70" w:history="1">
        <w:r>
          <w:rPr>
            <w:rFonts w:ascii="仿宋" w:eastAsia="仿宋" w:hAnsi="仿宋" w:cs="仿宋" w:hint="eastAsia"/>
            <w:lang w:eastAsia="zh-CN"/>
          </w:rPr>
          <w:t>概论</w:t>
        </w:r>
        <w:r>
          <w:tab/>
        </w:r>
        <w:r>
          <w:fldChar w:fldCharType="begin"/>
        </w:r>
        <w:r>
          <w:instrText xml:space="preserve"> PAGEREF _Toc1670 \h </w:instrText>
        </w:r>
        <w:r>
          <w:fldChar w:fldCharType="separate"/>
        </w:r>
        <w:r>
          <w:t>3</w:t>
        </w:r>
        <w:r>
          <w:fldChar w:fldCharType="end"/>
        </w:r>
      </w:hyperlink>
    </w:p>
    <w:p>
      <w:pPr>
        <w:pStyle w:val="TOC1"/>
        <w:tabs>
          <w:tab w:val="right" w:leader="dot" w:pos="8306"/>
        </w:tabs>
      </w:pPr>
      <w:hyperlink w:anchor="_Toc32245" w:history="1">
        <w:r>
          <w:rPr>
            <w:rFonts w:ascii="仿宋" w:eastAsia="仿宋" w:hAnsi="仿宋" w:cs="仿宋" w:hint="eastAsia"/>
            <w:lang w:eastAsia="zh-CN"/>
          </w:rPr>
          <w:t>一、水泥熟料及水泥项目危机管理</w:t>
        </w:r>
        <w:r>
          <w:tab/>
        </w:r>
        <w:r>
          <w:fldChar w:fldCharType="begin"/>
        </w:r>
        <w:r>
          <w:instrText xml:space="preserve"> PAGEREF _Toc32245 \h </w:instrText>
        </w:r>
        <w:r>
          <w:fldChar w:fldCharType="separate"/>
        </w:r>
        <w:r>
          <w:t>3</w:t>
        </w:r>
        <w:r>
          <w:fldChar w:fldCharType="end"/>
        </w:r>
      </w:hyperlink>
    </w:p>
    <w:p>
      <w:pPr>
        <w:pStyle w:val="TOC2"/>
        <w:tabs>
          <w:tab w:val="right" w:leader="dot" w:pos="8306"/>
        </w:tabs>
      </w:pPr>
      <w:hyperlink w:anchor="_Toc18836" w:history="1">
        <w:r>
          <w:rPr>
            <w:rFonts w:ascii="仿宋" w:eastAsia="仿宋" w:hAnsi="仿宋" w:cs="仿宋" w:hint="eastAsia"/>
            <w:lang w:eastAsia="zh-CN"/>
          </w:rPr>
          <w:t>(一)、危机预警与识别</w:t>
        </w:r>
        <w:r>
          <w:tab/>
        </w:r>
        <w:r>
          <w:fldChar w:fldCharType="begin"/>
        </w:r>
        <w:r>
          <w:instrText xml:space="preserve"> PAGEREF _Toc18836 \h </w:instrText>
        </w:r>
        <w:r>
          <w:fldChar w:fldCharType="separate"/>
        </w:r>
        <w:r>
          <w:t>3</w:t>
        </w:r>
        <w:r>
          <w:fldChar w:fldCharType="end"/>
        </w:r>
      </w:hyperlink>
    </w:p>
    <w:p>
      <w:pPr>
        <w:pStyle w:val="TOC2"/>
        <w:tabs>
          <w:tab w:val="right" w:leader="dot" w:pos="8306"/>
        </w:tabs>
      </w:pPr>
      <w:hyperlink w:anchor="_Toc22308" w:history="1">
        <w:r>
          <w:rPr>
            <w:rFonts w:ascii="仿宋" w:eastAsia="仿宋" w:hAnsi="仿宋" w:cs="仿宋" w:hint="eastAsia"/>
            <w:lang w:eastAsia="zh-CN"/>
          </w:rPr>
          <w:t>(二)、危机应对与恢复</w:t>
        </w:r>
        <w:r>
          <w:tab/>
        </w:r>
        <w:r>
          <w:fldChar w:fldCharType="begin"/>
        </w:r>
        <w:r>
          <w:instrText xml:space="preserve"> PAGEREF _Toc22308 \h </w:instrText>
        </w:r>
        <w:r>
          <w:fldChar w:fldCharType="separate"/>
        </w:r>
        <w:r>
          <w:t>4</w:t>
        </w:r>
        <w:r>
          <w:fldChar w:fldCharType="end"/>
        </w:r>
      </w:hyperlink>
    </w:p>
    <w:p>
      <w:pPr>
        <w:pStyle w:val="TOC1"/>
        <w:tabs>
          <w:tab w:val="right" w:leader="dot" w:pos="8306"/>
        </w:tabs>
      </w:pPr>
      <w:hyperlink w:anchor="_Toc2716" w:history="1">
        <w:r>
          <w:rPr>
            <w:rFonts w:ascii="仿宋" w:eastAsia="仿宋" w:hAnsi="仿宋" w:cs="仿宋" w:hint="eastAsia"/>
            <w:lang w:eastAsia="zh-CN"/>
          </w:rPr>
          <w:t>二、水泥熟料及水泥项目土建工程</w:t>
        </w:r>
        <w:r>
          <w:tab/>
        </w:r>
        <w:r>
          <w:fldChar w:fldCharType="begin"/>
        </w:r>
        <w:r>
          <w:instrText xml:space="preserve"> PAGEREF _Toc2716 \h </w:instrText>
        </w:r>
        <w:r>
          <w:fldChar w:fldCharType="separate"/>
        </w:r>
        <w:r>
          <w:t>6</w:t>
        </w:r>
        <w:r>
          <w:fldChar w:fldCharType="end"/>
        </w:r>
      </w:hyperlink>
    </w:p>
    <w:p>
      <w:pPr>
        <w:pStyle w:val="TOC2"/>
        <w:tabs>
          <w:tab w:val="right" w:leader="dot" w:pos="8306"/>
        </w:tabs>
      </w:pPr>
      <w:hyperlink w:anchor="_Toc4966" w:history="1">
        <w:r>
          <w:rPr>
            <w:rFonts w:ascii="仿宋" w:eastAsia="仿宋" w:hAnsi="仿宋" w:cs="仿宋" w:hint="eastAsia"/>
            <w:lang w:eastAsia="zh-CN"/>
          </w:rPr>
          <w:t>(一)、建筑工程设计原则</w:t>
        </w:r>
        <w:r>
          <w:tab/>
        </w:r>
        <w:r>
          <w:fldChar w:fldCharType="begin"/>
        </w:r>
        <w:r>
          <w:instrText xml:space="preserve"> PAGEREF _Toc4966 \h </w:instrText>
        </w:r>
        <w:r>
          <w:fldChar w:fldCharType="separate"/>
        </w:r>
        <w:r>
          <w:t>6</w:t>
        </w:r>
        <w:r>
          <w:fldChar w:fldCharType="end"/>
        </w:r>
      </w:hyperlink>
    </w:p>
    <w:p>
      <w:pPr>
        <w:pStyle w:val="TOC2"/>
        <w:tabs>
          <w:tab w:val="right" w:leader="dot" w:pos="8306"/>
        </w:tabs>
      </w:pPr>
      <w:hyperlink w:anchor="_Toc10339" w:history="1">
        <w:r>
          <w:rPr>
            <w:rFonts w:ascii="仿宋" w:eastAsia="仿宋" w:hAnsi="仿宋" w:cs="仿宋" w:hint="eastAsia"/>
            <w:lang w:eastAsia="zh-CN"/>
          </w:rPr>
          <w:t>(二)、土建工程设计年限及安全等级</w:t>
        </w:r>
        <w:r>
          <w:tab/>
        </w:r>
        <w:r>
          <w:fldChar w:fldCharType="begin"/>
        </w:r>
        <w:r>
          <w:instrText xml:space="preserve"> PAGEREF _Toc10339 \h </w:instrText>
        </w:r>
        <w:r>
          <w:fldChar w:fldCharType="separate"/>
        </w:r>
        <w:r>
          <w:t>7</w:t>
        </w:r>
        <w:r>
          <w:fldChar w:fldCharType="end"/>
        </w:r>
      </w:hyperlink>
    </w:p>
    <w:p>
      <w:pPr>
        <w:pStyle w:val="TOC2"/>
        <w:tabs>
          <w:tab w:val="right" w:leader="dot" w:pos="8306"/>
        </w:tabs>
      </w:pPr>
      <w:hyperlink w:anchor="_Toc20618" w:history="1">
        <w:r>
          <w:rPr>
            <w:rFonts w:ascii="仿宋" w:eastAsia="仿宋" w:hAnsi="仿宋" w:cs="仿宋" w:hint="eastAsia"/>
            <w:lang w:eastAsia="zh-CN"/>
          </w:rPr>
          <w:t>(三)、建筑工程设计总体要求</w:t>
        </w:r>
        <w:r>
          <w:tab/>
        </w:r>
        <w:r>
          <w:fldChar w:fldCharType="begin"/>
        </w:r>
        <w:r>
          <w:instrText xml:space="preserve"> PAGEREF _Toc20618 \h </w:instrText>
        </w:r>
        <w:r>
          <w:fldChar w:fldCharType="separate"/>
        </w:r>
        <w:r>
          <w:t>8</w:t>
        </w:r>
        <w:r>
          <w:fldChar w:fldCharType="end"/>
        </w:r>
      </w:hyperlink>
    </w:p>
    <w:p>
      <w:pPr>
        <w:pStyle w:val="TOC2"/>
        <w:tabs>
          <w:tab w:val="right" w:leader="dot" w:pos="8306"/>
        </w:tabs>
      </w:pPr>
      <w:hyperlink w:anchor="_Toc815" w:history="1">
        <w:r>
          <w:rPr>
            <w:rFonts w:ascii="仿宋" w:eastAsia="仿宋" w:hAnsi="仿宋" w:cs="仿宋" w:hint="eastAsia"/>
            <w:lang w:eastAsia="zh-CN"/>
          </w:rPr>
          <w:t>(四)、土建工程建设指标</w:t>
        </w:r>
        <w:r>
          <w:tab/>
        </w:r>
        <w:r>
          <w:fldChar w:fldCharType="begin"/>
        </w:r>
        <w:r>
          <w:instrText xml:space="preserve"> PAGEREF _Toc815 \h </w:instrText>
        </w:r>
        <w:r>
          <w:fldChar w:fldCharType="separate"/>
        </w:r>
        <w:r>
          <w:t>9</w:t>
        </w:r>
        <w:r>
          <w:fldChar w:fldCharType="end"/>
        </w:r>
      </w:hyperlink>
    </w:p>
    <w:p>
      <w:pPr>
        <w:pStyle w:val="TOC1"/>
        <w:tabs>
          <w:tab w:val="right" w:leader="dot" w:pos="8306"/>
        </w:tabs>
      </w:pPr>
      <w:hyperlink w:anchor="_Toc2215" w:history="1">
        <w:r>
          <w:rPr>
            <w:rFonts w:ascii="仿宋" w:eastAsia="仿宋" w:hAnsi="仿宋" w:cs="仿宋" w:hint="eastAsia"/>
            <w:lang w:eastAsia="zh-CN"/>
          </w:rPr>
          <w:t>三、水泥熟料及水泥项目绩效评估</w:t>
        </w:r>
        <w:r>
          <w:tab/>
        </w:r>
        <w:r>
          <w:fldChar w:fldCharType="begin"/>
        </w:r>
        <w:r>
          <w:instrText xml:space="preserve"> PAGEREF _Toc2215 \h </w:instrText>
        </w:r>
        <w:r>
          <w:fldChar w:fldCharType="separate"/>
        </w:r>
        <w:r>
          <w:t>9</w:t>
        </w:r>
        <w:r>
          <w:fldChar w:fldCharType="end"/>
        </w:r>
      </w:hyperlink>
    </w:p>
    <w:p>
      <w:pPr>
        <w:pStyle w:val="TOC2"/>
        <w:tabs>
          <w:tab w:val="right" w:leader="dot" w:pos="8306"/>
        </w:tabs>
      </w:pPr>
      <w:hyperlink w:anchor="_Toc1014" w:history="1">
        <w:r>
          <w:rPr>
            <w:rFonts w:ascii="仿宋" w:eastAsia="仿宋" w:hAnsi="仿宋" w:cs="仿宋" w:hint="eastAsia"/>
            <w:lang w:eastAsia="zh-CN"/>
          </w:rPr>
          <w:t>(一)、绩效评估指标</w:t>
        </w:r>
        <w:r>
          <w:tab/>
        </w:r>
        <w:r>
          <w:fldChar w:fldCharType="begin"/>
        </w:r>
        <w:r>
          <w:instrText xml:space="preserve"> PAGEREF _Toc1014 \h </w:instrText>
        </w:r>
        <w:r>
          <w:fldChar w:fldCharType="separate"/>
        </w:r>
        <w:r>
          <w:t>9</w:t>
        </w:r>
        <w:r>
          <w:fldChar w:fldCharType="end"/>
        </w:r>
      </w:hyperlink>
    </w:p>
    <w:p>
      <w:pPr>
        <w:pStyle w:val="TOC2"/>
        <w:tabs>
          <w:tab w:val="right" w:leader="dot" w:pos="8306"/>
        </w:tabs>
      </w:pPr>
      <w:hyperlink w:anchor="_Toc787" w:history="1">
        <w:r>
          <w:rPr>
            <w:rFonts w:ascii="仿宋" w:eastAsia="仿宋" w:hAnsi="仿宋" w:cs="仿宋" w:hint="eastAsia"/>
            <w:lang w:eastAsia="zh-CN"/>
          </w:rPr>
          <w:t>(二)、绩效评估方法</w:t>
        </w:r>
        <w:r>
          <w:tab/>
        </w:r>
        <w:r>
          <w:fldChar w:fldCharType="begin"/>
        </w:r>
        <w:r>
          <w:instrText xml:space="preserve"> PAGEREF _Toc787 \h </w:instrText>
        </w:r>
        <w:r>
          <w:fldChar w:fldCharType="separate"/>
        </w:r>
        <w:r>
          <w:t>10</w:t>
        </w:r>
        <w:r>
          <w:fldChar w:fldCharType="end"/>
        </w:r>
      </w:hyperlink>
    </w:p>
    <w:p>
      <w:pPr>
        <w:pStyle w:val="TOC2"/>
        <w:tabs>
          <w:tab w:val="right" w:leader="dot" w:pos="8306"/>
        </w:tabs>
      </w:pPr>
      <w:hyperlink w:anchor="_Toc13838" w:history="1">
        <w:r>
          <w:rPr>
            <w:rFonts w:ascii="仿宋" w:eastAsia="仿宋" w:hAnsi="仿宋" w:cs="仿宋" w:hint="eastAsia"/>
            <w:lang w:eastAsia="zh-CN"/>
          </w:rPr>
          <w:t>(三)、绩效评估周期</w:t>
        </w:r>
        <w:r>
          <w:tab/>
        </w:r>
        <w:r>
          <w:fldChar w:fldCharType="begin"/>
        </w:r>
        <w:r>
          <w:instrText xml:space="preserve"> PAGEREF _Toc13838 \h </w:instrText>
        </w:r>
        <w:r>
          <w:fldChar w:fldCharType="separate"/>
        </w:r>
        <w:r>
          <w:t>11</w:t>
        </w:r>
        <w:r>
          <w:fldChar w:fldCharType="end"/>
        </w:r>
      </w:hyperlink>
    </w:p>
    <w:p>
      <w:pPr>
        <w:pStyle w:val="TOC1"/>
        <w:tabs>
          <w:tab w:val="right" w:leader="dot" w:pos="8306"/>
        </w:tabs>
      </w:pPr>
      <w:hyperlink w:anchor="_Toc16855" w:history="1">
        <w:r>
          <w:rPr>
            <w:rFonts w:ascii="仿宋" w:eastAsia="仿宋" w:hAnsi="仿宋" w:cs="仿宋" w:hint="eastAsia"/>
            <w:lang w:eastAsia="zh-CN"/>
          </w:rPr>
          <w:t>四、水泥熟料及水泥项目建设背景及必要性分析</w:t>
        </w:r>
        <w:r>
          <w:tab/>
        </w:r>
        <w:r>
          <w:fldChar w:fldCharType="begin"/>
        </w:r>
        <w:r>
          <w:instrText xml:space="preserve"> PAGEREF _Toc16855 \h </w:instrText>
        </w:r>
        <w:r>
          <w:fldChar w:fldCharType="separate"/>
        </w:r>
        <w:r>
          <w:t>12</w:t>
        </w:r>
        <w:r>
          <w:fldChar w:fldCharType="end"/>
        </w:r>
      </w:hyperlink>
    </w:p>
    <w:p>
      <w:pPr>
        <w:pStyle w:val="TOC2"/>
        <w:tabs>
          <w:tab w:val="right" w:leader="dot" w:pos="8306"/>
        </w:tabs>
      </w:pPr>
      <w:hyperlink w:anchor="_Toc20285" w:history="1">
        <w:r>
          <w:rPr>
            <w:rFonts w:ascii="仿宋" w:eastAsia="仿宋" w:hAnsi="仿宋" w:cs="仿宋" w:hint="eastAsia"/>
            <w:lang w:eastAsia="zh-CN"/>
          </w:rPr>
          <w:t>(一)、水泥熟料及水泥项目背景分析</w:t>
        </w:r>
        <w:r>
          <w:tab/>
        </w:r>
        <w:r>
          <w:fldChar w:fldCharType="begin"/>
        </w:r>
        <w:r>
          <w:instrText xml:space="preserve"> PAGEREF _Toc20285 \h </w:instrText>
        </w:r>
        <w:r>
          <w:fldChar w:fldCharType="separate"/>
        </w:r>
        <w:r>
          <w:t>12</w:t>
        </w:r>
        <w:r>
          <w:fldChar w:fldCharType="end"/>
        </w:r>
      </w:hyperlink>
    </w:p>
    <w:p>
      <w:pPr>
        <w:pStyle w:val="TOC2"/>
        <w:tabs>
          <w:tab w:val="right" w:leader="dot" w:pos="8306"/>
        </w:tabs>
      </w:pPr>
      <w:hyperlink w:anchor="_Toc30716" w:history="1">
        <w:r>
          <w:rPr>
            <w:rFonts w:ascii="仿宋" w:eastAsia="仿宋" w:hAnsi="仿宋" w:cs="仿宋" w:hint="eastAsia"/>
            <w:lang w:eastAsia="zh-CN"/>
          </w:rPr>
          <w:t>(二)、水泥熟料及水泥项目建设必要性分析</w:t>
        </w:r>
        <w:r>
          <w:tab/>
        </w:r>
        <w:r>
          <w:fldChar w:fldCharType="begin"/>
        </w:r>
        <w:r>
          <w:instrText xml:space="preserve"> PAGEREF _Toc30716 \h </w:instrText>
        </w:r>
        <w:r>
          <w:fldChar w:fldCharType="separate"/>
        </w:r>
        <w:r>
          <w:t>14</w:t>
        </w:r>
        <w:r>
          <w:fldChar w:fldCharType="end"/>
        </w:r>
      </w:hyperlink>
    </w:p>
    <w:p>
      <w:pPr>
        <w:pStyle w:val="TOC1"/>
        <w:tabs>
          <w:tab w:val="right" w:leader="dot" w:pos="8306"/>
        </w:tabs>
      </w:pPr>
      <w:hyperlink w:anchor="_Toc8534" w:history="1">
        <w:r>
          <w:rPr>
            <w:rFonts w:ascii="仿宋" w:eastAsia="仿宋" w:hAnsi="仿宋" w:cs="仿宋" w:hint="eastAsia"/>
            <w:lang w:eastAsia="zh-CN"/>
          </w:rPr>
          <w:t>五、水泥熟料及水泥项目可持续发展</w:t>
        </w:r>
        <w:r>
          <w:tab/>
        </w:r>
        <w:r>
          <w:fldChar w:fldCharType="begin"/>
        </w:r>
        <w:r>
          <w:instrText xml:space="preserve"> PAGEREF _Toc8534 \h </w:instrText>
        </w:r>
        <w:r>
          <w:fldChar w:fldCharType="separate"/>
        </w:r>
        <w:r>
          <w:t>15</w:t>
        </w:r>
        <w:r>
          <w:fldChar w:fldCharType="end"/>
        </w:r>
      </w:hyperlink>
    </w:p>
    <w:p>
      <w:pPr>
        <w:pStyle w:val="TOC2"/>
        <w:tabs>
          <w:tab w:val="right" w:leader="dot" w:pos="8306"/>
        </w:tabs>
      </w:pPr>
      <w:hyperlink w:anchor="_Toc14131" w:history="1">
        <w:r>
          <w:rPr>
            <w:rFonts w:ascii="仿宋" w:eastAsia="仿宋" w:hAnsi="仿宋" w:cs="仿宋" w:hint="eastAsia"/>
            <w:lang w:eastAsia="zh-CN"/>
          </w:rPr>
          <w:t>(一)、可持续战略与实践</w:t>
        </w:r>
        <w:r>
          <w:tab/>
        </w:r>
        <w:r>
          <w:fldChar w:fldCharType="begin"/>
        </w:r>
        <w:r>
          <w:instrText xml:space="preserve"> PAGEREF _Toc14131 \h </w:instrText>
        </w:r>
        <w:r>
          <w:fldChar w:fldCharType="separate"/>
        </w:r>
        <w:r>
          <w:t>15</w:t>
        </w:r>
        <w:r>
          <w:fldChar w:fldCharType="end"/>
        </w:r>
      </w:hyperlink>
    </w:p>
    <w:p>
      <w:pPr>
        <w:pStyle w:val="TOC2"/>
        <w:tabs>
          <w:tab w:val="right" w:leader="dot" w:pos="8306"/>
        </w:tabs>
      </w:pPr>
      <w:hyperlink w:anchor="_Toc2511" w:history="1">
        <w:r>
          <w:rPr>
            <w:rFonts w:ascii="仿宋" w:eastAsia="仿宋" w:hAnsi="仿宋" w:cs="仿宋" w:hint="eastAsia"/>
            <w:lang w:eastAsia="zh-CN"/>
          </w:rPr>
          <w:t>(二)、环保与社会责任</w:t>
        </w:r>
        <w:r>
          <w:tab/>
        </w:r>
        <w:r>
          <w:fldChar w:fldCharType="begin"/>
        </w:r>
        <w:r>
          <w:instrText xml:space="preserve"> PAGEREF _Toc2511 \h </w:instrText>
        </w:r>
        <w:r>
          <w:fldChar w:fldCharType="separate"/>
        </w:r>
        <w:r>
          <w:t>16</w:t>
        </w:r>
        <w:r>
          <w:fldChar w:fldCharType="end"/>
        </w:r>
      </w:hyperlink>
    </w:p>
    <w:p>
      <w:pPr>
        <w:pStyle w:val="TOC1"/>
        <w:tabs>
          <w:tab w:val="right" w:leader="dot" w:pos="8306"/>
        </w:tabs>
      </w:pPr>
      <w:hyperlink w:anchor="_Toc14227" w:history="1">
        <w:r>
          <w:rPr>
            <w:rFonts w:ascii="仿宋" w:eastAsia="仿宋" w:hAnsi="仿宋" w:cs="仿宋" w:hint="eastAsia"/>
            <w:lang w:eastAsia="zh-CN"/>
          </w:rPr>
          <w:t>六、水泥熟料及水泥项目概论</w:t>
        </w:r>
        <w:r>
          <w:tab/>
        </w:r>
        <w:r>
          <w:fldChar w:fldCharType="begin"/>
        </w:r>
        <w:r>
          <w:instrText xml:space="preserve"> PAGEREF _Toc14227 \h </w:instrText>
        </w:r>
        <w:r>
          <w:fldChar w:fldCharType="separate"/>
        </w:r>
        <w:r>
          <w:t>17</w:t>
        </w:r>
        <w:r>
          <w:fldChar w:fldCharType="end"/>
        </w:r>
      </w:hyperlink>
    </w:p>
    <w:p>
      <w:pPr>
        <w:pStyle w:val="TOC2"/>
        <w:tabs>
          <w:tab w:val="right" w:leader="dot" w:pos="8306"/>
        </w:tabs>
      </w:pPr>
      <w:hyperlink w:anchor="_Toc22256" w:history="1">
        <w:r>
          <w:rPr>
            <w:rFonts w:ascii="仿宋" w:eastAsia="仿宋" w:hAnsi="仿宋" w:cs="仿宋" w:hint="eastAsia"/>
            <w:lang w:eastAsia="zh-CN"/>
          </w:rPr>
          <w:t>(一)、水泥熟料及水泥项目概况</w:t>
        </w:r>
        <w:r>
          <w:tab/>
        </w:r>
        <w:r>
          <w:fldChar w:fldCharType="begin"/>
        </w:r>
        <w:r>
          <w:instrText xml:space="preserve"> PAGEREF _Toc22256 \h </w:instrText>
        </w:r>
        <w:r>
          <w:fldChar w:fldCharType="separate"/>
        </w:r>
        <w:r>
          <w:t>17</w:t>
        </w:r>
        <w:r>
          <w:fldChar w:fldCharType="end"/>
        </w:r>
      </w:hyperlink>
    </w:p>
    <w:p>
      <w:pPr>
        <w:pStyle w:val="TOC2"/>
        <w:tabs>
          <w:tab w:val="right" w:leader="dot" w:pos="8306"/>
        </w:tabs>
      </w:pPr>
      <w:hyperlink w:anchor="_Toc29324" w:history="1">
        <w:r>
          <w:rPr>
            <w:rFonts w:ascii="仿宋" w:eastAsia="仿宋" w:hAnsi="仿宋" w:cs="仿宋" w:hint="eastAsia"/>
            <w:lang w:eastAsia="zh-CN"/>
          </w:rPr>
          <w:t>(二)、水泥熟料及水泥项目目标</w:t>
        </w:r>
        <w:r>
          <w:tab/>
        </w:r>
        <w:r>
          <w:fldChar w:fldCharType="begin"/>
        </w:r>
        <w:r>
          <w:instrText xml:space="preserve"> PAGEREF _Toc29324 \h </w:instrText>
        </w:r>
        <w:r>
          <w:fldChar w:fldCharType="separate"/>
        </w:r>
        <w:r>
          <w:t>19</w:t>
        </w:r>
        <w:r>
          <w:fldChar w:fldCharType="end"/>
        </w:r>
      </w:hyperlink>
    </w:p>
    <w:p>
      <w:pPr>
        <w:pStyle w:val="TOC2"/>
        <w:tabs>
          <w:tab w:val="right" w:leader="dot" w:pos="8306"/>
        </w:tabs>
      </w:pPr>
      <w:hyperlink w:anchor="_Toc6027" w:history="1">
        <w:r>
          <w:rPr>
            <w:rFonts w:ascii="仿宋" w:eastAsia="仿宋" w:hAnsi="仿宋" w:cs="仿宋" w:hint="eastAsia"/>
            <w:lang w:eastAsia="zh-CN"/>
          </w:rPr>
          <w:t>(三)、水泥熟料及水泥项目提出的理由</w:t>
        </w:r>
        <w:r>
          <w:tab/>
        </w:r>
        <w:r>
          <w:fldChar w:fldCharType="begin"/>
        </w:r>
        <w:r>
          <w:instrText xml:space="preserve"> PAGEREF _Toc6027 \h </w:instrText>
        </w:r>
        <w:r>
          <w:fldChar w:fldCharType="separate"/>
        </w:r>
        <w:r>
          <w:t>20</w:t>
        </w:r>
        <w:r>
          <w:fldChar w:fldCharType="end"/>
        </w:r>
      </w:hyperlink>
    </w:p>
    <w:p>
      <w:pPr>
        <w:pStyle w:val="TOC2"/>
        <w:tabs>
          <w:tab w:val="right" w:leader="dot" w:pos="8306"/>
        </w:tabs>
      </w:pPr>
      <w:hyperlink w:anchor="_Toc21063" w:history="1">
        <w:r>
          <w:rPr>
            <w:rFonts w:ascii="仿宋" w:eastAsia="仿宋" w:hAnsi="仿宋" w:cs="仿宋" w:hint="eastAsia"/>
            <w:lang w:eastAsia="zh-CN"/>
          </w:rPr>
          <w:t>(四)、水泥熟料及水泥项目意义</w:t>
        </w:r>
        <w:r>
          <w:tab/>
        </w:r>
        <w:r>
          <w:fldChar w:fldCharType="begin"/>
        </w:r>
        <w:r>
          <w:instrText xml:space="preserve"> PAGEREF _Toc21063 \h </w:instrText>
        </w:r>
        <w:r>
          <w:fldChar w:fldCharType="separate"/>
        </w:r>
        <w:r>
          <w:t>22</w:t>
        </w:r>
        <w:r>
          <w:fldChar w:fldCharType="end"/>
        </w:r>
      </w:hyperlink>
    </w:p>
    <w:p>
      <w:pPr>
        <w:pStyle w:val="TOC2"/>
        <w:tabs>
          <w:tab w:val="right" w:leader="dot" w:pos="8306"/>
        </w:tabs>
      </w:pPr>
      <w:hyperlink w:anchor="_Toc12635" w:history="1">
        <w:r>
          <w:rPr>
            <w:rFonts w:ascii="仿宋" w:eastAsia="仿宋" w:hAnsi="仿宋" w:cs="仿宋" w:hint="eastAsia"/>
            <w:lang w:eastAsia="zh-CN"/>
          </w:rPr>
          <w:t>(五)、水泥熟料及水泥项目背景</w:t>
        </w:r>
        <w:r>
          <w:tab/>
        </w:r>
        <w:r>
          <w:fldChar w:fldCharType="begin"/>
        </w:r>
        <w:r>
          <w:instrText xml:space="preserve"> PAGEREF _Toc12635 \h </w:instrText>
        </w:r>
        <w:r>
          <w:fldChar w:fldCharType="separate"/>
        </w:r>
        <w:r>
          <w:t>23</w:t>
        </w:r>
        <w:r>
          <w:fldChar w:fldCharType="end"/>
        </w:r>
      </w:hyperlink>
    </w:p>
    <w:p>
      <w:pPr>
        <w:pStyle w:val="TOC1"/>
        <w:tabs>
          <w:tab w:val="right" w:leader="dot" w:pos="8306"/>
        </w:tabs>
      </w:pPr>
      <w:hyperlink w:anchor="_Toc249" w:history="1">
        <w:r>
          <w:rPr>
            <w:rFonts w:ascii="仿宋" w:eastAsia="仿宋" w:hAnsi="仿宋" w:cs="仿宋" w:hint="eastAsia"/>
            <w:lang w:eastAsia="zh-CN"/>
          </w:rPr>
          <w:t>七、水泥熟料及水泥项目技术管理</w:t>
        </w:r>
        <w:r>
          <w:tab/>
        </w:r>
        <w:r>
          <w:fldChar w:fldCharType="begin"/>
        </w:r>
        <w:r>
          <w:instrText xml:space="preserve"> PAGEREF _Toc249 \h </w:instrText>
        </w:r>
        <w:r>
          <w:fldChar w:fldCharType="separate"/>
        </w:r>
        <w:r>
          <w:t>24</w:t>
        </w:r>
        <w:r>
          <w:fldChar w:fldCharType="end"/>
        </w:r>
      </w:hyperlink>
    </w:p>
    <w:p>
      <w:pPr>
        <w:pStyle w:val="TOC2"/>
        <w:tabs>
          <w:tab w:val="right" w:leader="dot" w:pos="8306"/>
        </w:tabs>
      </w:pPr>
      <w:hyperlink w:anchor="_Toc15231" w:history="1">
        <w:r>
          <w:rPr>
            <w:rFonts w:ascii="仿宋" w:eastAsia="仿宋" w:hAnsi="仿宋" w:cs="仿宋" w:hint="eastAsia"/>
            <w:lang w:eastAsia="zh-CN"/>
          </w:rPr>
          <w:t>(一)、技术方案选用方向</w:t>
        </w:r>
        <w:r>
          <w:tab/>
        </w:r>
        <w:r>
          <w:fldChar w:fldCharType="begin"/>
        </w:r>
        <w:r>
          <w:instrText xml:space="preserve"> PAGEREF _Toc15231 \h </w:instrText>
        </w:r>
        <w:r>
          <w:fldChar w:fldCharType="separate"/>
        </w:r>
        <w:r>
          <w:t>24</w:t>
        </w:r>
        <w:r>
          <w:fldChar w:fldCharType="end"/>
        </w:r>
      </w:hyperlink>
    </w:p>
    <w:p>
      <w:pPr>
        <w:pStyle w:val="TOC2"/>
        <w:tabs>
          <w:tab w:val="right" w:leader="dot" w:pos="8306"/>
        </w:tabs>
      </w:pPr>
      <w:hyperlink w:anchor="_Toc1" w:history="1">
        <w:r>
          <w:rPr>
            <w:rFonts w:ascii="仿宋" w:eastAsia="仿宋" w:hAnsi="仿宋" w:cs="仿宋" w:hint="eastAsia"/>
            <w:lang w:eastAsia="zh-CN"/>
          </w:rPr>
          <w:t>(二)、工艺技术方案选用原则</w:t>
        </w:r>
        <w:r>
          <w:tab/>
        </w:r>
        <w:r>
          <w:fldChar w:fldCharType="begin"/>
        </w:r>
        <w:r>
          <w:instrText xml:space="preserve"> PAGEREF _Toc1 \h </w:instrText>
        </w:r>
        <w:r>
          <w:fldChar w:fldCharType="separate"/>
        </w:r>
        <w:r>
          <w:t>26</w:t>
        </w:r>
        <w:r>
          <w:fldChar w:fldCharType="end"/>
        </w:r>
      </w:hyperlink>
    </w:p>
    <w:p>
      <w:pPr>
        <w:pStyle w:val="TOC2"/>
        <w:tabs>
          <w:tab w:val="right" w:leader="dot" w:pos="8306"/>
        </w:tabs>
      </w:pPr>
      <w:hyperlink w:anchor="_Toc17836" w:history="1">
        <w:r>
          <w:rPr>
            <w:rFonts w:ascii="仿宋" w:eastAsia="仿宋" w:hAnsi="仿宋" w:cs="仿宋" w:hint="eastAsia"/>
            <w:lang w:eastAsia="zh-CN"/>
          </w:rPr>
          <w:t>(三)、工艺技术方案要求</w:t>
        </w:r>
        <w:r>
          <w:tab/>
        </w:r>
        <w:r>
          <w:fldChar w:fldCharType="begin"/>
        </w:r>
        <w:r>
          <w:instrText xml:space="preserve"> PAGEREF _Toc17836 \h </w:instrText>
        </w:r>
        <w:r>
          <w:fldChar w:fldCharType="separate"/>
        </w:r>
        <w:r>
          <w:t>28</w:t>
        </w:r>
        <w:r>
          <w:fldChar w:fldCharType="end"/>
        </w:r>
      </w:hyperlink>
    </w:p>
    <w:p>
      <w:pPr>
        <w:pStyle w:val="TOC1"/>
        <w:tabs>
          <w:tab w:val="right" w:leader="dot" w:pos="8306"/>
        </w:tabs>
      </w:pPr>
      <w:hyperlink w:anchor="_Toc11465" w:history="1">
        <w:r>
          <w:rPr>
            <w:rFonts w:ascii="仿宋" w:eastAsia="仿宋" w:hAnsi="仿宋" w:cs="仿宋" w:hint="eastAsia"/>
            <w:lang w:eastAsia="zh-CN"/>
          </w:rPr>
          <w:t>八、水泥熟料及水泥项目计划安排</w:t>
        </w:r>
        <w:r>
          <w:tab/>
        </w:r>
        <w:r>
          <w:fldChar w:fldCharType="begin"/>
        </w:r>
        <w:r>
          <w:instrText xml:space="preserve"> PAGEREF _Toc11465 \h </w:instrText>
        </w:r>
        <w:r>
          <w:fldChar w:fldCharType="separate"/>
        </w:r>
        <w:r>
          <w:t>30</w:t>
        </w:r>
        <w:r>
          <w:fldChar w:fldCharType="end"/>
        </w:r>
      </w:hyperlink>
    </w:p>
    <w:p>
      <w:pPr>
        <w:pStyle w:val="TOC2"/>
        <w:tabs>
          <w:tab w:val="right" w:leader="dot" w:pos="8306"/>
        </w:tabs>
      </w:pPr>
      <w:hyperlink w:anchor="_Toc14857" w:history="1">
        <w:r>
          <w:rPr>
            <w:rFonts w:ascii="仿宋" w:eastAsia="仿宋" w:hAnsi="仿宋" w:cs="仿宋" w:hint="eastAsia"/>
            <w:lang w:eastAsia="zh-CN"/>
          </w:rPr>
          <w:t>(一)、建设周期</w:t>
        </w:r>
        <w:r>
          <w:tab/>
        </w:r>
        <w:r>
          <w:fldChar w:fldCharType="begin"/>
        </w:r>
        <w:r>
          <w:instrText xml:space="preserve"> PAGEREF _Toc14857 \h </w:instrText>
        </w:r>
        <w:r>
          <w:fldChar w:fldCharType="separate"/>
        </w:r>
        <w:r>
          <w:t>30</w:t>
        </w:r>
        <w:r>
          <w:fldChar w:fldCharType="end"/>
        </w:r>
      </w:hyperlink>
    </w:p>
    <w:p>
      <w:pPr>
        <w:pStyle w:val="TOC2"/>
        <w:tabs>
          <w:tab w:val="right" w:leader="dot" w:pos="8306"/>
        </w:tabs>
      </w:pPr>
      <w:hyperlink w:anchor="_Toc18871" w:history="1">
        <w:r>
          <w:rPr>
            <w:rFonts w:ascii="仿宋" w:eastAsia="仿宋" w:hAnsi="仿宋" w:cs="仿宋" w:hint="eastAsia"/>
            <w:lang w:eastAsia="zh-CN"/>
          </w:rPr>
          <w:t>(二)、建设进度</w:t>
        </w:r>
        <w:r>
          <w:tab/>
        </w:r>
        <w:r>
          <w:fldChar w:fldCharType="begin"/>
        </w:r>
        <w:r>
          <w:instrText xml:space="preserve"> PAGEREF _Toc18871 \h </w:instrText>
        </w:r>
        <w:r>
          <w:fldChar w:fldCharType="separate"/>
        </w:r>
        <w:r>
          <w:t>31</w:t>
        </w:r>
        <w:r>
          <w:fldChar w:fldCharType="end"/>
        </w:r>
      </w:hyperlink>
    </w:p>
    <w:p>
      <w:pPr>
        <w:pStyle w:val="TOC2"/>
        <w:tabs>
          <w:tab w:val="right" w:leader="dot" w:pos="8306"/>
        </w:tabs>
      </w:pPr>
      <w:hyperlink w:anchor="_Toc14035" w:history="1">
        <w:r>
          <w:rPr>
            <w:rFonts w:ascii="仿宋" w:eastAsia="仿宋" w:hAnsi="仿宋" w:cs="仿宋" w:hint="eastAsia"/>
            <w:lang w:eastAsia="zh-CN"/>
          </w:rPr>
          <w:t>(三)、进度安排注意事项</w:t>
        </w:r>
        <w:r>
          <w:tab/>
        </w:r>
        <w:r>
          <w:fldChar w:fldCharType="begin"/>
        </w:r>
        <w:r>
          <w:instrText xml:space="preserve"> PAGEREF _Toc14035 \h </w:instrText>
        </w:r>
        <w:r>
          <w:fldChar w:fldCharType="separate"/>
        </w:r>
        <w:r>
          <w:t>32</w:t>
        </w:r>
        <w:r>
          <w:fldChar w:fldCharType="end"/>
        </w:r>
      </w:hyperlink>
    </w:p>
    <w:p>
      <w:pPr>
        <w:pStyle w:val="TOC2"/>
        <w:tabs>
          <w:tab w:val="right" w:leader="dot" w:pos="8306"/>
        </w:tabs>
      </w:pPr>
      <w:hyperlink w:anchor="_Toc5051" w:history="1">
        <w:r>
          <w:rPr>
            <w:rFonts w:ascii="仿宋" w:eastAsia="仿宋" w:hAnsi="仿宋" w:cs="仿宋" w:hint="eastAsia"/>
            <w:lang w:eastAsia="zh-CN"/>
          </w:rPr>
          <w:t>(四)、人力资源配置</w:t>
        </w:r>
        <w:r>
          <w:tab/>
        </w:r>
        <w:r>
          <w:fldChar w:fldCharType="begin"/>
        </w:r>
        <w:r>
          <w:instrText xml:space="preserve"> PAGEREF _Toc5051 \h </w:instrText>
        </w:r>
        <w:r>
          <w:fldChar w:fldCharType="separate"/>
        </w:r>
        <w:r>
          <w:t>34</w:t>
        </w:r>
        <w:r>
          <w:fldChar w:fldCharType="end"/>
        </w:r>
      </w:hyperlink>
    </w:p>
    <w:p>
      <w:pPr>
        <w:pStyle w:val="TOC1"/>
        <w:tabs>
          <w:tab w:val="right" w:leader="dot" w:pos="8306"/>
        </w:tabs>
      </w:pPr>
      <w:hyperlink w:anchor="_Toc26171" w:history="1">
        <w:r>
          <w:rPr>
            <w:rFonts w:ascii="仿宋" w:eastAsia="仿宋" w:hAnsi="仿宋" w:cs="仿宋" w:hint="eastAsia"/>
            <w:lang w:eastAsia="zh-CN"/>
          </w:rPr>
          <w:t>九、水泥熟料及水泥项目创新与研发</w:t>
        </w:r>
        <w:r>
          <w:tab/>
        </w:r>
        <w:r>
          <w:fldChar w:fldCharType="begin"/>
        </w:r>
        <w:r>
          <w:instrText xml:space="preserve"> PAGEREF _Toc26171 \h </w:instrText>
        </w:r>
        <w:r>
          <w:fldChar w:fldCharType="separate"/>
        </w:r>
        <w:r>
          <w:t>34</w:t>
        </w:r>
        <w:r>
          <w:fldChar w:fldCharType="end"/>
        </w:r>
      </w:hyperlink>
    </w:p>
    <w:p>
      <w:pPr>
        <w:pStyle w:val="TOC2"/>
        <w:tabs>
          <w:tab w:val="right" w:leader="dot" w:pos="8306"/>
        </w:tabs>
      </w:pPr>
      <w:hyperlink w:anchor="_Toc28990" w:history="1">
        <w:r>
          <w:rPr>
            <w:rFonts w:ascii="仿宋" w:eastAsia="仿宋" w:hAnsi="仿宋" w:cs="仿宋" w:hint="eastAsia"/>
            <w:lang w:eastAsia="zh-CN"/>
          </w:rPr>
          <w:t>(一)、创新策略与方向</w:t>
        </w:r>
        <w:r>
          <w:tab/>
        </w:r>
        <w:r>
          <w:fldChar w:fldCharType="begin"/>
        </w:r>
        <w:r>
          <w:instrText xml:space="preserve"> PAGEREF _Toc28990 \h </w:instrText>
        </w:r>
        <w:r>
          <w:fldChar w:fldCharType="separate"/>
        </w:r>
        <w:r>
          <w:t>34</w:t>
        </w:r>
        <w:r>
          <w:fldChar w:fldCharType="end"/>
        </w:r>
      </w:hyperlink>
    </w:p>
    <w:p>
      <w:pPr>
        <w:pStyle w:val="TOC2"/>
        <w:tabs>
          <w:tab w:val="right" w:leader="dot" w:pos="8306"/>
        </w:tabs>
      </w:pPr>
      <w:hyperlink w:anchor="_Toc19999" w:history="1">
        <w:r>
          <w:rPr>
            <w:rFonts w:ascii="仿宋" w:eastAsia="仿宋" w:hAnsi="仿宋" w:cs="仿宋" w:hint="eastAsia"/>
            <w:lang w:eastAsia="zh-CN"/>
          </w:rPr>
          <w:t>(二)、研发规划与投入</w:t>
        </w:r>
        <w:r>
          <w:tab/>
        </w:r>
        <w:r>
          <w:fldChar w:fldCharType="begin"/>
        </w:r>
        <w:r>
          <w:instrText xml:space="preserve"> PAGEREF _Toc19999 \h </w:instrText>
        </w:r>
        <w:r>
          <w:fldChar w:fldCharType="separate"/>
        </w:r>
        <w:r>
          <w:t>36</w:t>
        </w:r>
        <w:r>
          <w:fldChar w:fldCharType="end"/>
        </w:r>
      </w:hyperlink>
    </w:p>
    <w:p>
      <w:pPr>
        <w:pStyle w:val="TOC1"/>
        <w:tabs>
          <w:tab w:val="right" w:leader="dot" w:pos="8306"/>
        </w:tabs>
      </w:pPr>
      <w:hyperlink w:anchor="_Toc28018" w:history="1">
        <w:r>
          <w:rPr>
            <w:rFonts w:ascii="仿宋" w:eastAsia="仿宋" w:hAnsi="仿宋" w:cs="仿宋" w:hint="eastAsia"/>
            <w:lang w:eastAsia="zh-CN"/>
          </w:rPr>
          <w:t>十、水泥熟料及水泥项目风险管理</w:t>
        </w:r>
        <w:r>
          <w:tab/>
        </w:r>
        <w:r>
          <w:fldChar w:fldCharType="begin"/>
        </w:r>
        <w:r>
          <w:instrText xml:space="preserve"> PAGEREF _Toc28018 \h </w:instrText>
        </w:r>
        <w:r>
          <w:fldChar w:fldCharType="separate"/>
        </w:r>
        <w:r>
          <w:t>38</w:t>
        </w:r>
        <w:r>
          <w:fldChar w:fldCharType="end"/>
        </w:r>
      </w:hyperlink>
    </w:p>
    <w:p>
      <w:pPr>
        <w:pStyle w:val="TOC2"/>
        <w:tabs>
          <w:tab w:val="right" w:leader="dot" w:pos="8306"/>
        </w:tabs>
      </w:pPr>
      <w:hyperlink w:anchor="_Toc7812" w:history="1">
        <w:r>
          <w:rPr>
            <w:rFonts w:ascii="仿宋" w:eastAsia="仿宋" w:hAnsi="仿宋" w:cs="仿宋" w:hint="eastAsia"/>
            <w:lang w:eastAsia="zh-CN"/>
          </w:rPr>
          <w:t>(一)、风险识别与评估</w:t>
        </w:r>
        <w:r>
          <w:tab/>
        </w:r>
        <w:r>
          <w:fldChar w:fldCharType="begin"/>
        </w:r>
        <w:r>
          <w:instrText xml:space="preserve"> PAGEREF _Toc7812 \h </w:instrText>
        </w:r>
        <w:r>
          <w:fldChar w:fldCharType="separate"/>
        </w:r>
        <w:r>
          <w:t>38</w:t>
        </w:r>
        <w:r>
          <w:fldChar w:fldCharType="end"/>
        </w:r>
      </w:hyperlink>
    </w:p>
    <w:p>
      <w:pPr>
        <w:pStyle w:val="TOC2"/>
        <w:tabs>
          <w:tab w:val="right" w:leader="dot" w:pos="8306"/>
        </w:tabs>
      </w:pPr>
      <w:hyperlink w:anchor="_Toc2911" w:history="1">
        <w:r>
          <w:rPr>
            <w:rFonts w:ascii="仿宋" w:eastAsia="仿宋" w:hAnsi="仿宋" w:cs="仿宋" w:hint="eastAsia"/>
            <w:lang w:eastAsia="zh-CN"/>
          </w:rPr>
          <w:t>(二)、风险应对策略</w:t>
        </w:r>
        <w:r>
          <w:tab/>
        </w:r>
        <w:r>
          <w:fldChar w:fldCharType="begin"/>
        </w:r>
        <w:r>
          <w:instrText xml:space="preserve"> PAGEREF _Toc2911 \h </w:instrText>
        </w:r>
        <w:r>
          <w:fldChar w:fldCharType="separate"/>
        </w:r>
        <w:r>
          <w:t>39</w:t>
        </w:r>
        <w:r>
          <w:fldChar w:fldCharType="end"/>
        </w:r>
      </w:hyperlink>
    </w:p>
    <w:p>
      <w:pPr>
        <w:pStyle w:val="TOC2"/>
        <w:tabs>
          <w:tab w:val="right" w:leader="dot" w:pos="8306"/>
        </w:tabs>
      </w:pPr>
      <w:hyperlink w:anchor="_Toc32005" w:history="1">
        <w:r>
          <w:rPr>
            <w:rFonts w:ascii="仿宋" w:eastAsia="仿宋" w:hAnsi="仿宋" w:cs="仿宋" w:hint="eastAsia"/>
            <w:lang w:eastAsia="zh-CN"/>
          </w:rPr>
          <w:t>(三)、风险监控与控制</w:t>
        </w:r>
        <w:r>
          <w:tab/>
        </w:r>
        <w:r>
          <w:fldChar w:fldCharType="begin"/>
        </w:r>
        <w:r>
          <w:instrText xml:space="preserve"> PAGEREF _Toc32005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667" w:history="1">
        <w:r>
          <w:rPr>
            <w:rFonts w:ascii="仿宋" w:eastAsia="仿宋" w:hAnsi="仿宋" w:cs="仿宋" w:hint="eastAsia"/>
            <w:lang w:eastAsia="zh-CN"/>
          </w:rPr>
          <w:t>十一、水泥熟料及水泥项目人力资源管理</w:t>
        </w:r>
        <w:r>
          <w:tab/>
        </w:r>
        <w:r>
          <w:fldChar w:fldCharType="begin"/>
        </w:r>
        <w:r>
          <w:instrText xml:space="preserve"> PAGEREF _Toc5667 \h </w:instrText>
        </w:r>
        <w:r>
          <w:fldChar w:fldCharType="separate"/>
        </w:r>
        <w:r>
          <w:t>42</w:t>
        </w:r>
        <w:r>
          <w:fldChar w:fldCharType="end"/>
        </w:r>
      </w:hyperlink>
    </w:p>
    <w:p>
      <w:pPr>
        <w:pStyle w:val="TOC2"/>
        <w:tabs>
          <w:tab w:val="right" w:leader="dot" w:pos="8306"/>
        </w:tabs>
      </w:pPr>
      <w:hyperlink w:anchor="_Toc31885" w:history="1">
        <w:r>
          <w:rPr>
            <w:rFonts w:ascii="仿宋" w:eastAsia="仿宋" w:hAnsi="仿宋" w:cs="仿宋" w:hint="eastAsia"/>
            <w:lang w:eastAsia="zh-CN"/>
          </w:rPr>
          <w:t>(一)、建立健全的预算管理制度</w:t>
        </w:r>
        <w:r>
          <w:tab/>
        </w:r>
        <w:r>
          <w:fldChar w:fldCharType="begin"/>
        </w:r>
        <w:r>
          <w:instrText xml:space="preserve"> PAGEREF _Toc31885 \h </w:instrText>
        </w:r>
        <w:r>
          <w:fldChar w:fldCharType="separate"/>
        </w:r>
        <w:r>
          <w:t>42</w:t>
        </w:r>
        <w:r>
          <w:fldChar w:fldCharType="end"/>
        </w:r>
      </w:hyperlink>
    </w:p>
    <w:p>
      <w:pPr>
        <w:pStyle w:val="TOC2"/>
        <w:tabs>
          <w:tab w:val="right" w:leader="dot" w:pos="8306"/>
        </w:tabs>
      </w:pPr>
      <w:hyperlink w:anchor="_Toc46" w:history="1">
        <w:r>
          <w:rPr>
            <w:rFonts w:ascii="仿宋" w:eastAsia="仿宋" w:hAnsi="仿宋" w:cs="仿宋" w:hint="eastAsia"/>
            <w:lang w:eastAsia="zh-CN"/>
          </w:rPr>
          <w:t>(二)、加强资金流动监控</w:t>
        </w:r>
        <w:r>
          <w:tab/>
        </w:r>
        <w:r>
          <w:fldChar w:fldCharType="begin"/>
        </w:r>
        <w:r>
          <w:instrText xml:space="preserve"> PAGEREF _Toc46 \h </w:instrText>
        </w:r>
        <w:r>
          <w:fldChar w:fldCharType="separate"/>
        </w:r>
        <w:r>
          <w:t>43</w:t>
        </w:r>
        <w:r>
          <w:fldChar w:fldCharType="end"/>
        </w:r>
      </w:hyperlink>
    </w:p>
    <w:p>
      <w:pPr>
        <w:pStyle w:val="TOC2"/>
        <w:tabs>
          <w:tab w:val="right" w:leader="dot" w:pos="8306"/>
        </w:tabs>
      </w:pPr>
      <w:hyperlink w:anchor="_Toc11293" w:history="1">
        <w:r>
          <w:rPr>
            <w:rFonts w:ascii="仿宋" w:eastAsia="仿宋" w:hAnsi="仿宋" w:cs="仿宋" w:hint="eastAsia"/>
            <w:lang w:eastAsia="zh-CN"/>
          </w:rPr>
          <w:t>(三)、制定完善的风险控制机制</w:t>
        </w:r>
        <w:r>
          <w:tab/>
        </w:r>
        <w:r>
          <w:fldChar w:fldCharType="begin"/>
        </w:r>
        <w:r>
          <w:instrText xml:space="preserve"> PAGEREF _Toc11293 \h </w:instrText>
        </w:r>
        <w:r>
          <w:fldChar w:fldCharType="separate"/>
        </w:r>
        <w:r>
          <w:t>45</w:t>
        </w:r>
        <w:r>
          <w:fldChar w:fldCharType="end"/>
        </w:r>
      </w:hyperlink>
    </w:p>
    <w:p>
      <w:pPr>
        <w:pStyle w:val="TOC2"/>
        <w:tabs>
          <w:tab w:val="right" w:leader="dot" w:pos="8306"/>
        </w:tabs>
      </w:pPr>
      <w:hyperlink w:anchor="_Toc12689" w:history="1">
        <w:r>
          <w:rPr>
            <w:rFonts w:ascii="仿宋" w:eastAsia="仿宋" w:hAnsi="仿宋" w:cs="仿宋" w:hint="eastAsia"/>
            <w:lang w:eastAsia="zh-CN"/>
          </w:rPr>
          <w:t>(四)、优化成本管理</w:t>
        </w:r>
        <w:r>
          <w:tab/>
        </w:r>
        <w:r>
          <w:fldChar w:fldCharType="begin"/>
        </w:r>
        <w:r>
          <w:instrText xml:space="preserve"> PAGEREF _Toc12689 \h </w:instrText>
        </w:r>
        <w:r>
          <w:fldChar w:fldCharType="separate"/>
        </w:r>
        <w:r>
          <w:t>46</w:t>
        </w:r>
        <w:r>
          <w:fldChar w:fldCharType="end"/>
        </w:r>
      </w:hyperlink>
    </w:p>
    <w:p>
      <w:pPr>
        <w:pStyle w:val="TOC1"/>
        <w:tabs>
          <w:tab w:val="right" w:leader="dot" w:pos="8306"/>
        </w:tabs>
      </w:pPr>
      <w:hyperlink w:anchor="_Toc15458" w:history="1">
        <w:r>
          <w:rPr>
            <w:rFonts w:ascii="仿宋" w:eastAsia="仿宋" w:hAnsi="仿宋" w:cs="仿宋" w:hint="eastAsia"/>
            <w:lang w:eastAsia="zh-CN"/>
          </w:rPr>
          <w:t>十二、水泥熟料及水泥项目人力资源培养与发展</w:t>
        </w:r>
        <w:r>
          <w:tab/>
        </w:r>
        <w:r>
          <w:fldChar w:fldCharType="begin"/>
        </w:r>
        <w:r>
          <w:instrText xml:space="preserve"> PAGEREF _Toc15458 \h </w:instrText>
        </w:r>
        <w:r>
          <w:fldChar w:fldCharType="separate"/>
        </w:r>
        <w:r>
          <w:t>47</w:t>
        </w:r>
        <w:r>
          <w:fldChar w:fldCharType="end"/>
        </w:r>
      </w:hyperlink>
    </w:p>
    <w:p>
      <w:pPr>
        <w:pStyle w:val="TOC2"/>
        <w:tabs>
          <w:tab w:val="right" w:leader="dot" w:pos="8306"/>
        </w:tabs>
      </w:pPr>
      <w:hyperlink w:anchor="_Toc26007" w:history="1">
        <w:r>
          <w:rPr>
            <w:rFonts w:ascii="仿宋" w:eastAsia="仿宋" w:hAnsi="仿宋" w:cs="仿宋" w:hint="eastAsia"/>
            <w:lang w:eastAsia="zh-CN"/>
          </w:rPr>
          <w:t>(一)、人才需求与规划</w:t>
        </w:r>
        <w:r>
          <w:tab/>
        </w:r>
        <w:r>
          <w:fldChar w:fldCharType="begin"/>
        </w:r>
        <w:r>
          <w:instrText xml:space="preserve"> PAGEREF _Toc26007 \h </w:instrText>
        </w:r>
        <w:r>
          <w:fldChar w:fldCharType="separate"/>
        </w:r>
        <w:r>
          <w:t>47</w:t>
        </w:r>
        <w:r>
          <w:fldChar w:fldCharType="end"/>
        </w:r>
      </w:hyperlink>
    </w:p>
    <w:p>
      <w:pPr>
        <w:pStyle w:val="TOC2"/>
        <w:tabs>
          <w:tab w:val="right" w:leader="dot" w:pos="8306"/>
        </w:tabs>
      </w:pPr>
      <w:hyperlink w:anchor="_Toc31597" w:history="1">
        <w:r>
          <w:rPr>
            <w:rFonts w:ascii="仿宋" w:eastAsia="仿宋" w:hAnsi="仿宋" w:cs="仿宋" w:hint="eastAsia"/>
            <w:lang w:eastAsia="zh-CN"/>
          </w:rPr>
          <w:t>(二)、培训与发展计划</w:t>
        </w:r>
        <w:r>
          <w:tab/>
        </w:r>
        <w:r>
          <w:fldChar w:fldCharType="begin"/>
        </w:r>
        <w:r>
          <w:instrText xml:space="preserve"> PAGEREF _Toc31597 \h </w:instrText>
        </w:r>
        <w:r>
          <w:fldChar w:fldCharType="separate"/>
        </w:r>
        <w:r>
          <w:t>48</w:t>
        </w:r>
        <w:r>
          <w:fldChar w:fldCharType="end"/>
        </w:r>
      </w:hyperlink>
    </w:p>
    <w:p>
      <w:pPr>
        <w:pStyle w:val="TOC1"/>
        <w:tabs>
          <w:tab w:val="right" w:leader="dot" w:pos="8306"/>
        </w:tabs>
      </w:pPr>
      <w:hyperlink w:anchor="_Toc31291" w:history="1">
        <w:r>
          <w:rPr>
            <w:rFonts w:ascii="仿宋" w:eastAsia="仿宋" w:hAnsi="仿宋" w:cs="仿宋" w:hint="eastAsia"/>
            <w:lang w:eastAsia="zh-CN"/>
          </w:rPr>
          <w:t>十三、风险识别与分类</w:t>
        </w:r>
        <w:r>
          <w:tab/>
        </w:r>
        <w:r>
          <w:fldChar w:fldCharType="begin"/>
        </w:r>
        <w:r>
          <w:instrText xml:space="preserve"> PAGEREF _Toc31291 \h </w:instrText>
        </w:r>
        <w:r>
          <w:fldChar w:fldCharType="separate"/>
        </w:r>
        <w:r>
          <w:t>48</w:t>
        </w:r>
        <w:r>
          <w:fldChar w:fldCharType="end"/>
        </w:r>
      </w:hyperlink>
    </w:p>
    <w:p>
      <w:pPr>
        <w:pStyle w:val="TOC2"/>
        <w:tabs>
          <w:tab w:val="right" w:leader="dot" w:pos="8306"/>
        </w:tabs>
      </w:pPr>
      <w:hyperlink w:anchor="_Toc7890" w:history="1">
        <w:r>
          <w:rPr>
            <w:rFonts w:ascii="仿宋" w:eastAsia="仿宋" w:hAnsi="仿宋" w:cs="仿宋" w:hint="eastAsia"/>
            <w:lang w:eastAsia="zh-CN"/>
          </w:rPr>
          <w:t>(一)、风险识别</w:t>
        </w:r>
        <w:r>
          <w:tab/>
        </w:r>
        <w:r>
          <w:fldChar w:fldCharType="begin"/>
        </w:r>
        <w:r>
          <w:instrText xml:space="preserve"> PAGEREF _Toc7890 \h </w:instrText>
        </w:r>
        <w:r>
          <w:fldChar w:fldCharType="separate"/>
        </w:r>
        <w:r>
          <w:t>48</w:t>
        </w:r>
        <w:r>
          <w:fldChar w:fldCharType="end"/>
        </w:r>
      </w:hyperlink>
    </w:p>
    <w:p>
      <w:pPr>
        <w:pStyle w:val="TOC2"/>
        <w:tabs>
          <w:tab w:val="right" w:leader="dot" w:pos="8306"/>
        </w:tabs>
      </w:pPr>
      <w:hyperlink w:anchor="_Toc26682" w:history="1">
        <w:r>
          <w:rPr>
            <w:rFonts w:ascii="仿宋" w:eastAsia="仿宋" w:hAnsi="仿宋" w:cs="仿宋" w:hint="eastAsia"/>
            <w:lang w:eastAsia="zh-CN"/>
          </w:rPr>
          <w:t>(二)、风险分类</w:t>
        </w:r>
        <w:r>
          <w:tab/>
        </w:r>
        <w:r>
          <w:fldChar w:fldCharType="begin"/>
        </w:r>
        <w:r>
          <w:instrText xml:space="preserve"> PAGEREF _Toc26682 \h </w:instrText>
        </w:r>
        <w:r>
          <w:fldChar w:fldCharType="separate"/>
        </w:r>
        <w:r>
          <w:t>50</w:t>
        </w:r>
        <w:r>
          <w:fldChar w:fldCharType="end"/>
        </w:r>
      </w:hyperlink>
    </w:p>
    <w:p>
      <w:pPr>
        <w:pStyle w:val="TOC1"/>
        <w:tabs>
          <w:tab w:val="right" w:leader="dot" w:pos="8306"/>
        </w:tabs>
      </w:pPr>
      <w:hyperlink w:anchor="_Toc22506" w:history="1">
        <w:r>
          <w:rPr>
            <w:rFonts w:ascii="仿宋" w:eastAsia="仿宋" w:hAnsi="仿宋" w:cs="仿宋" w:hint="eastAsia"/>
            <w:lang w:eastAsia="zh-CN"/>
          </w:rPr>
          <w:t>十四、利益相关者分析与沟通计划</w:t>
        </w:r>
        <w:r>
          <w:tab/>
        </w:r>
        <w:r>
          <w:fldChar w:fldCharType="begin"/>
        </w:r>
        <w:r>
          <w:instrText xml:space="preserve"> PAGEREF _Toc22506 \h </w:instrText>
        </w:r>
        <w:r>
          <w:fldChar w:fldCharType="separate"/>
        </w:r>
        <w:r>
          <w:t>52</w:t>
        </w:r>
        <w:r>
          <w:fldChar w:fldCharType="end"/>
        </w:r>
      </w:hyperlink>
    </w:p>
    <w:p>
      <w:pPr>
        <w:pStyle w:val="TOC2"/>
        <w:tabs>
          <w:tab w:val="right" w:leader="dot" w:pos="8306"/>
        </w:tabs>
      </w:pPr>
      <w:hyperlink w:anchor="_Toc4307" w:history="1">
        <w:r>
          <w:rPr>
            <w:rFonts w:ascii="仿宋" w:eastAsia="仿宋" w:hAnsi="仿宋" w:cs="仿宋" w:hint="eastAsia"/>
            <w:lang w:eastAsia="zh-CN"/>
          </w:rPr>
          <w:t>(一)、利益相关者分析</w:t>
        </w:r>
        <w:r>
          <w:tab/>
        </w:r>
        <w:r>
          <w:fldChar w:fldCharType="begin"/>
        </w:r>
        <w:r>
          <w:instrText xml:space="preserve"> PAGEREF _Toc4307 \h </w:instrText>
        </w:r>
        <w:r>
          <w:fldChar w:fldCharType="separate"/>
        </w:r>
        <w:r>
          <w:t>52</w:t>
        </w:r>
        <w:r>
          <w:fldChar w:fldCharType="end"/>
        </w:r>
      </w:hyperlink>
    </w:p>
    <w:p>
      <w:pPr>
        <w:pStyle w:val="TOC2"/>
        <w:tabs>
          <w:tab w:val="right" w:leader="dot" w:pos="8306"/>
        </w:tabs>
      </w:pPr>
      <w:hyperlink w:anchor="_Toc19224" w:history="1">
        <w:r>
          <w:rPr>
            <w:rFonts w:ascii="仿宋" w:eastAsia="仿宋" w:hAnsi="仿宋" w:cs="仿宋" w:hint="eastAsia"/>
            <w:lang w:eastAsia="zh-CN"/>
          </w:rPr>
          <w:t>(二)、沟通计划</w:t>
        </w:r>
        <w:r>
          <w:tab/>
        </w:r>
        <w:r>
          <w:fldChar w:fldCharType="begin"/>
        </w:r>
        <w:r>
          <w:instrText xml:space="preserve"> PAGEREF _Toc19224 \h </w:instrText>
        </w:r>
        <w:r>
          <w:fldChar w:fldCharType="separate"/>
        </w:r>
        <w:r>
          <w:t>53</w:t>
        </w:r>
        <w:r>
          <w:fldChar w:fldCharType="end"/>
        </w:r>
      </w:hyperlink>
    </w:p>
    <w:p>
      <w:pPr>
        <w:pStyle w:val="TOC1"/>
        <w:tabs>
          <w:tab w:val="right" w:leader="dot" w:pos="8306"/>
        </w:tabs>
      </w:pPr>
      <w:hyperlink w:anchor="_Toc13945" w:history="1">
        <w:r>
          <w:rPr>
            <w:rFonts w:ascii="仿宋" w:eastAsia="仿宋" w:hAnsi="仿宋" w:cs="仿宋" w:hint="eastAsia"/>
            <w:lang w:eastAsia="zh-CN"/>
          </w:rPr>
          <w:t>十五、水泥熟料及水泥项目工程方案分析</w:t>
        </w:r>
        <w:r>
          <w:tab/>
        </w:r>
        <w:r>
          <w:fldChar w:fldCharType="begin"/>
        </w:r>
        <w:r>
          <w:instrText xml:space="preserve"> PAGEREF _Toc13945 \h </w:instrText>
        </w:r>
        <w:r>
          <w:fldChar w:fldCharType="separate"/>
        </w:r>
        <w:r>
          <w:t>54</w:t>
        </w:r>
        <w:r>
          <w:fldChar w:fldCharType="end"/>
        </w:r>
      </w:hyperlink>
    </w:p>
    <w:p>
      <w:pPr>
        <w:pStyle w:val="TOC2"/>
        <w:tabs>
          <w:tab w:val="right" w:leader="dot" w:pos="8306"/>
        </w:tabs>
      </w:pPr>
      <w:hyperlink w:anchor="_Toc2620" w:history="1">
        <w:r>
          <w:rPr>
            <w:rFonts w:ascii="仿宋" w:eastAsia="仿宋" w:hAnsi="仿宋" w:cs="仿宋" w:hint="eastAsia"/>
            <w:lang w:eastAsia="zh-CN"/>
          </w:rPr>
          <w:t>(一)、建筑工程设计原则</w:t>
        </w:r>
        <w:r>
          <w:tab/>
        </w:r>
        <w:r>
          <w:fldChar w:fldCharType="begin"/>
        </w:r>
        <w:r>
          <w:instrText xml:space="preserve"> PAGEREF _Toc2620 \h </w:instrText>
        </w:r>
        <w:r>
          <w:fldChar w:fldCharType="separate"/>
        </w:r>
        <w:r>
          <w:t>54</w:t>
        </w:r>
        <w:r>
          <w:fldChar w:fldCharType="end"/>
        </w:r>
      </w:hyperlink>
    </w:p>
    <w:p>
      <w:pPr>
        <w:pStyle w:val="TOC2"/>
        <w:tabs>
          <w:tab w:val="right" w:leader="dot" w:pos="8306"/>
        </w:tabs>
      </w:pPr>
      <w:hyperlink w:anchor="_Toc24563" w:history="1">
        <w:r>
          <w:rPr>
            <w:rFonts w:ascii="仿宋" w:eastAsia="仿宋" w:hAnsi="仿宋" w:cs="仿宋" w:hint="eastAsia"/>
            <w:lang w:eastAsia="zh-CN"/>
          </w:rPr>
          <w:t>(二)、土建工程建设指标</w:t>
        </w:r>
        <w:r>
          <w:tab/>
        </w:r>
        <w:r>
          <w:fldChar w:fldCharType="begin"/>
        </w:r>
        <w:r>
          <w:instrText xml:space="preserve"> PAGEREF _Toc24563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7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245"/>
      <w:r>
        <w:rPr>
          <w:rFonts w:ascii="仿宋" w:eastAsia="仿宋" w:hAnsi="仿宋" w:cs="仿宋" w:hint="eastAsia"/>
          <w:sz w:val="28"/>
          <w:lang w:eastAsia="zh-CN"/>
        </w:rPr>
        <w:t>一、水泥熟料及水泥项目危机管理</w:t>
      </w:r>
      <w:bookmarkEnd w:id="2"/>
    </w:p>
    <w:p>
      <w:pPr>
        <w:pStyle w:val="Heading2"/>
        <w:rPr>
          <w:rFonts w:ascii="仿宋" w:eastAsia="仿宋" w:hAnsi="仿宋" w:cs="仿宋" w:hint="eastAsia"/>
          <w:lang w:eastAsia="zh-CN"/>
        </w:rPr>
      </w:pPr>
      <w:bookmarkStart w:id="3" w:name="_Toc1883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水泥熟料及水泥项目危机管理中，危机预警与识别是确保水泥熟料及水泥项目稳健运行的核心步骤。通过建立全面的监测机制，水泥熟料及水泥项目团队旨在及时发现和理解潜在的风险和危机因素，以便采取及时的预防和应对措施，确保水泥熟料及水泥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水泥熟料及水泥项目团队全面分析了整个水泥熟料及水泥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水泥熟料及水泥项目团队着重于明确定义水泥熟料及水泥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水泥熟料及水泥项目进展的持续监控，团队能够及时发现潜在问题并作出迅速反应。水泥熟料及水泥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在这一阶段，团队的专业素养和反应速度将发挥至关重要的作用，以确保潜在危机能够在初期得到有效的处理，最大程度地减轻负面影响。通过危机预警与识别，水泥熟料及水泥项目得以更有序、可控地推进。</w:t>
      </w:r>
    </w:p>
    <w:p>
      <w:pPr>
        <w:pStyle w:val="Heading2"/>
        <w:ind w:firstLine="560" w:firstLineChars="200"/>
        <w:rPr>
          <w:rFonts w:ascii="仿宋" w:eastAsia="仿宋" w:hAnsi="仿宋" w:cs="仿宋" w:hint="eastAsia"/>
          <w:sz w:val="28"/>
          <w:lang w:eastAsia="zh-CN"/>
        </w:rPr>
      </w:pPr>
      <w:bookmarkStart w:id="4" w:name="_Toc2230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在危机发生时，水泥熟料及水泥项目团队立即行动，成立了应急小组。该小组的任务是迅速制定并实施紧急应对措施，以最小化潜在损失。以下是采取的主要措施：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暂停水泥熟料及水泥项目进度：为遏制危机蔓延，水泥熟料及水泥项目暂时停止进行，以便全面评估当前状况。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资源重新分配：重新评估水泥熟料及水泥项目资源的分配，确保最大限度地减小损失。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实时沟通：与关键利益相关者建立实时沟通机制，向他们传递水泥熟料及水泥项目危机的实际状况，保障水泥熟料及水泥项目核心利益。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在紧急应对的同时，水泥熟料及水泥项目团队强调了团队协作和有效沟通的重要性。以下是团队协作的关键举措：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信息共享机制：建立了信息共享平台，确保团队成员能够及时获取水泥熟料及水泥项目危机的实时信息。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领导者沟通：水泥熟料及水泥项目领导者通过定期会议和即时沟通工具，指导团队应对危机，保持团队稳定运行。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随着危机得到初步控制，水泥熟料及水泥项目团队转向制定恢复计划，以确保水泥熟料及水泥项目能够从中迅速恢复。主要恢复计划包括：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修复受损的进度计划：重新评估水泥熟料及水泥项目进度，制定修复计划，确保水泥熟料及水泥项目尽快回归正常进程。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重新调整资源分配：优化资源分配，确保水泥熟料及水泥项目在有限资源下高效运转。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风险管理机制加强：对水泥熟料及水泥项目风险进行全面评估，制定更强化的风险管理策略，以预防未来可能的危机。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716"/>
      <w:r>
        <w:rPr>
          <w:rFonts w:ascii="仿宋" w:eastAsia="仿宋" w:hAnsi="仿宋" w:cs="仿宋" w:hint="eastAsia"/>
          <w:sz w:val="28"/>
          <w:lang w:eastAsia="zh-CN"/>
        </w:rPr>
        <w:t>二、水泥熟料及水泥项目土建工程</w:t>
      </w:r>
      <w:bookmarkEnd w:id="5"/>
    </w:p>
    <w:p>
      <w:pPr>
        <w:pStyle w:val="Heading2"/>
        <w:rPr>
          <w:rFonts w:ascii="仿宋" w:eastAsia="仿宋" w:hAnsi="仿宋" w:cs="仿宋" w:hint="eastAsia"/>
          <w:lang w:eastAsia="zh-CN"/>
        </w:rPr>
      </w:pPr>
      <w:bookmarkStart w:id="6" w:name="_Toc4966"/>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在水泥熟料及水泥项目的建筑工程设计中，我们将秉承一系列重要的设计原则，以确保水泥熟料及水泥项目建筑在功能、美观、可持续性等方面达到最佳效果。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首要原则是确保建筑的功能性得到最大化的发挥。我们将充分理解水泥熟料及水泥项目的实际需求，合理布局各个功能区域，保证建筑在满足业务需求的同时，提供高效的工作环境。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在建筑设计中，我们将综合考虑建设和运营成本。通过精细的经济效益分析，确保设计方案在高效利用资源的同时，对水泥熟料及水泥项目的长期盈利能力有积极的贡献。</w:t>
      </w:r>
    </w:p>
    <w:p>
      <w:pPr>
        <w:pStyle w:val="Heading2"/>
        <w:ind w:firstLine="560" w:firstLineChars="200"/>
        <w:rPr>
          <w:rFonts w:ascii="仿宋" w:eastAsia="仿宋" w:hAnsi="仿宋" w:cs="仿宋" w:hint="eastAsia"/>
          <w:sz w:val="28"/>
          <w:lang w:eastAsia="zh-CN"/>
        </w:rPr>
      </w:pPr>
      <w:bookmarkStart w:id="7" w:name="_Toc10339"/>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泥熟料及水泥项目的土建工程设计中，我们将精准设定设计年限，结合水泥熟料及水泥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水泥熟料及水泥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0618"/>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水泥熟料及水泥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水泥熟料及水泥项目的设计在符合法规的同时，达到最高的安全标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水泥熟料及水泥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815"/>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本期工程水泥熟料及水泥项目预计总建筑面积XXX平方米，其中：计容建筑面积XXX平方米，计划建筑工程投资XX万元，占水泥熟料及水泥项目总投资的XX%。</w:t>
      </w:r>
    </w:p>
    <w:p>
      <w:pPr>
        <w:pStyle w:val="Heading1"/>
        <w:ind w:firstLine="560" w:firstLineChars="200"/>
        <w:rPr>
          <w:rFonts w:ascii="仿宋" w:eastAsia="仿宋" w:hAnsi="仿宋" w:cs="仿宋" w:hint="eastAsia"/>
          <w:sz w:val="28"/>
          <w:lang w:eastAsia="zh-CN"/>
        </w:rPr>
      </w:pPr>
      <w:bookmarkStart w:id="10" w:name="_Toc2215"/>
      <w:r>
        <w:rPr>
          <w:rFonts w:ascii="仿宋" w:eastAsia="仿宋" w:hAnsi="仿宋" w:cs="仿宋" w:hint="eastAsia"/>
          <w:sz w:val="28"/>
          <w:lang w:eastAsia="zh-CN"/>
        </w:rPr>
        <w:t>三、水泥熟料及水泥项目绩效评估</w:t>
      </w:r>
      <w:bookmarkEnd w:id="10"/>
    </w:p>
    <w:p>
      <w:pPr>
        <w:pStyle w:val="Heading2"/>
        <w:rPr>
          <w:rFonts w:ascii="仿宋" w:eastAsia="仿宋" w:hAnsi="仿宋" w:cs="仿宋" w:hint="eastAsia"/>
          <w:lang w:eastAsia="zh-CN"/>
        </w:rPr>
      </w:pPr>
      <w:bookmarkStart w:id="11" w:name="_Toc1014"/>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水泥熟料及水泥项目中，我们设计了一套全面的绩效评估指标，以确保水泥熟料及水泥项目的可控和成功交付。这些指标跨足水泥熟料及水泥项目目标、成本、进度和质量等多个维度，为我们提供了全面洞察水泥熟料及水泥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熟料及水泥项目目标达成率是我们关注的首要指标。我们设定了明确的目标，并通过定期监测和评估，迅速发现并应对潜在的目标偏差。这为水泥熟料及水泥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成本绩效是另一个核心关注点。通过实际成本与预算成本的对比分析，我们深入了解成本差异的原因，及时调整资源分配，保持水泥熟料及水泥项目在经济效益方面的合理水平。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泥熟料及水泥项目进度作为关键的绩效指标之一，得到了精心的关注。我们制定了详细的水泥熟料及水泥项目进度计划，并设立了进度符合度指标，确保实际进度与计划进度保持一致。这使我们能够快速发现和解决潜在的进度问题，保持水泥熟料及水泥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水泥熟料及水泥项目绩效的不可或缺的一环。我们引入了一系列的质量标准和客户满意度指标，以确保水泥熟料及水泥项目交付的成果在质量上达到或超越预期水平。通过持续监测这些指标，我们努力提升水泥熟料及水泥项目整体质量水平，为水泥熟料及水泥项目的成功交付提供有力保障。通过这些科学且全面的绩效评估，我们能够更好地引导水泥熟料及水泥项目的持续改进，确保水泥熟料及水泥项目目标的顺利达成。</w:t>
      </w:r>
    </w:p>
    <w:p>
      <w:pPr>
        <w:pStyle w:val="Heading2"/>
        <w:ind w:firstLine="560" w:firstLineChars="200"/>
        <w:rPr>
          <w:rFonts w:ascii="仿宋" w:eastAsia="仿宋" w:hAnsi="仿宋" w:cs="仿宋" w:hint="eastAsia"/>
          <w:sz w:val="28"/>
          <w:lang w:eastAsia="zh-CN"/>
        </w:rPr>
      </w:pPr>
      <w:bookmarkStart w:id="12" w:name="_Toc787"/>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绩效评估是水泥熟料及水泥项目中的关键环节，为确保水泥熟料及水泥项目达到预期目标，我们采用了多层次、多维度的绩效评估方法。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水泥熟料及水泥项目的战略目标对齐，确保每个决策和行动都与水泥熟料及水泥项目整体目标保持一致。团队会定期召开战略对齐会议，审视当前工作与水泥熟料及水泥项目战略是否保持一致，以及是否需要调整战略方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水泥熟料及水泥项目进度、质量、成本和风险等方面。这些指标通过数据收集和分析，为水泥熟料及水泥项目管理团队提供了客观的评估依据。例如，我们通过水泥熟料及水泥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水泥熟料及水泥项目内部，还考虑了水泥熟料及水泥项目对外部环境的影响。我们定期进行干系人满意度调查，以了解各利益相关方对水泥熟料及水泥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这种多层次、多角度的绩效评估方法，使得我们能够全面了解水泥熟料及水泥项目的运行状态，及时做出调整，确保水泥熟料及水泥项目在不断变化的环境中保持稳健前行。</w:t>
      </w:r>
    </w:p>
    <w:p>
      <w:pPr>
        <w:pStyle w:val="Heading2"/>
        <w:ind w:firstLine="560" w:firstLineChars="200"/>
        <w:rPr>
          <w:rFonts w:ascii="仿宋" w:eastAsia="仿宋" w:hAnsi="仿宋" w:cs="仿宋" w:hint="eastAsia"/>
          <w:sz w:val="28"/>
          <w:lang w:eastAsia="zh-CN"/>
        </w:rPr>
      </w:pPr>
      <w:bookmarkStart w:id="13" w:name="_Toc13838"/>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为了确保水泥熟料及水泥项目的有效管理和不断优化，我们采用了精心设计的绩效评估周期。这个周期旨在实现灵活、实时和全面的评估，以适应水泥熟料及水泥项目执行中的各种挑战。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水泥熟料及水泥项目的不同需求，分为短期、中期和长期。短期评估关注每个迭代或工作周期，以及时发现和解决当前任务中的问题。中期评估涵盖几个迭代，深入了解整体水泥熟料及水泥项目的趋势和性能。长期评估则着眼于整个水泥熟料及水泥项目阶段，确保水泥熟料及水泥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水泥熟料及水泥项目管理工具和协作平台，团队成员能够随时更新和分享水泥熟料及水泥项目数据。这种实时性的反馈机制使我们能够及时察觉潜在问题，快速调整，保持水泥熟料及水泥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水泥熟料及水泥项目的决策制定密不可分。每个周期的水泥熟料及水泥项目回顾会议成为集体总结经验、识别问题深层次原因并找到创新解决方案的平台。这种定期的反思与调整机制使水泥熟料及水泥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16855"/>
      <w:r>
        <w:rPr>
          <w:rFonts w:ascii="仿宋" w:eastAsia="仿宋" w:hAnsi="仿宋" w:cs="仿宋" w:hint="eastAsia"/>
          <w:sz w:val="28"/>
          <w:lang w:eastAsia="zh-CN"/>
        </w:rPr>
        <w:t>四、水泥熟料及水泥项目建设背景及必要性分析</w:t>
      </w:r>
      <w:bookmarkEnd w:id="14"/>
    </w:p>
    <w:p>
      <w:pPr>
        <w:pStyle w:val="Heading2"/>
        <w:rPr>
          <w:rFonts w:ascii="仿宋" w:eastAsia="仿宋" w:hAnsi="仿宋" w:cs="仿宋" w:hint="eastAsia"/>
          <w:lang w:eastAsia="zh-CN"/>
        </w:rPr>
      </w:pPr>
      <w:bookmarkStart w:id="15" w:name="_Toc20285"/>
      <w:r>
        <w:rPr>
          <w:rFonts w:ascii="仿宋" w:eastAsia="仿宋" w:hAnsi="仿宋" w:cs="仿宋" w:hint="eastAsia"/>
          <w:lang w:eastAsia="zh-CN"/>
        </w:rPr>
        <w:t>(一)、水泥熟料及水泥项目背景分析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熟料及水泥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水泥熟料及水泥项目提供了机遇和挑战的交汇点。</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水泥熟料及水泥项目在这个潮流中的定位。同时，我们将关注行业内涌现的新兴机遇，以便水泥熟料及水泥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水泥熟料及水泥项目提供了强大的发展动力。我们将聚焦于行业内最新的技术发展趋势，包括但不限于人工智能、大数据分析、物联网等领域。通过深度的技术研究，我们将确保水泥熟料及水泥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水泥熟料及水泥项目发展的源泉。我们将投入更多的精力对市场需求进行深入剖析，超越表面的需求，深入挖掘潜在的市场痛点和机遇。通过对市场需求的细致了解，水泥熟料及水泥项目将更有针对性地设计解决方案，满足市场的多样化需求，从而更好地促进水泥熟料及水泥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水泥熟料及水泥项目战略至关重要。我们将对竞争态势进行更为深入的分析，包括但不限于市场份额、产品特点、客户满意度等多个维度。通过深度的竞争分析，水泥熟料及水泥项目将能够更准确地把握市场脉搏，制定具有竞争力的水泥熟料及水泥项目推进策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水泥熟料及水泥项目的发展具有直接的影响。我们将进行更为全面的法规和政策分析，了解行业发展中的潜在法律风险和合规挑战。通过充分了解和遵守相关法规，水泥熟料及水泥项目将确保在法律框架内合法合规运营，为水泥熟料及水泥项目的稳健发展提供有力支持。</w:t>
      </w:r>
    </w:p>
    <w:p>
      <w:pPr>
        <w:pStyle w:val="Heading2"/>
        <w:ind w:firstLine="560" w:firstLineChars="200"/>
        <w:rPr>
          <w:rFonts w:ascii="仿宋" w:eastAsia="仿宋" w:hAnsi="仿宋" w:cs="仿宋" w:hint="eastAsia"/>
          <w:sz w:val="28"/>
          <w:lang w:eastAsia="zh-CN"/>
        </w:rPr>
      </w:pPr>
      <w:bookmarkStart w:id="16" w:name="_Toc30716"/>
      <w:r>
        <w:rPr>
          <w:rFonts w:ascii="仿宋" w:eastAsia="仿宋" w:hAnsi="仿宋" w:cs="仿宋" w:hint="eastAsia"/>
          <w:sz w:val="28"/>
          <w:lang w:eastAsia="zh-CN"/>
        </w:rPr>
        <w:t>(二)、水泥熟料及水泥项目建设必要性分析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熟料及水泥项目建设的迫切性源于对行业发展趋势的深刻洞察。我们正处于一个行业变革的时代，科技创新、数字化转型成为企业发展的关键动力。水泥熟料及水泥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熟料及水泥项目建设不仅仅是为了跟上潮流，更是为了通过技术创新推动企业的持续发展。通过引入先进的技术和解决方案，水泥熟料及水泥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水泥熟料及水泥项目的建设成为必然选择，通过提高产品质量、拓展服务领域，从而在竞争中获得更多的机会。水泥熟料及水泥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水泥熟料及水泥项目建设的必要性体现在对客户需求更精准的满足。通过水泥熟料及水泥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熟料及水泥项目建设的背后是对企业持续创新的追求。只有通过不断创新，企业才能在竞争中立于不败之地。水泥熟料及水泥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8534"/>
      <w:r>
        <w:rPr>
          <w:rFonts w:ascii="仿宋" w:eastAsia="仿宋" w:hAnsi="仿宋" w:cs="仿宋" w:hint="eastAsia"/>
          <w:sz w:val="28"/>
          <w:lang w:eastAsia="zh-CN"/>
        </w:rPr>
        <w:t>五、水泥熟料及水泥项目可持续发展</w:t>
      </w:r>
      <w:bookmarkEnd w:id="17"/>
    </w:p>
    <w:p>
      <w:pPr>
        <w:pStyle w:val="Heading2"/>
        <w:rPr>
          <w:rFonts w:ascii="仿宋" w:eastAsia="仿宋" w:hAnsi="仿宋" w:cs="仿宋" w:hint="eastAsia"/>
          <w:lang w:eastAsia="zh-CN"/>
        </w:rPr>
      </w:pPr>
      <w:bookmarkStart w:id="18" w:name="_Toc14131"/>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水泥熟料及水泥项目中，水泥熟料及水泥项目团队着眼于未来，明确了可持续发展的战略方向。制定的具体可持续发展目标包括降低资源使用、采用环保技术、最大化社会效益等。这一步骤不仅有助于水泥熟料及水泥项目在环保和社会责任方面达到最高标准，也为未来提供了明确的指引，确保水泥熟料及水泥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可持续实践的融入水泥熟料及水泥项目管理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水泥熟料及水泥项目管理周期。从水泥熟料及水泥项目规划开始，水泥熟料及水泥项目团队就考虑了环境和社会的因素。在执行阶段，水泥熟料及水泥项目团队积极推动绿色技术的应用，优化资源利用。此外，关注员工的社会责任，通过培训和沟通活动提高员工对可持续发展的认知，使他们能够在日常工作中践行可持续实践。这些举措不仅为水泥熟料及水泥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2511"/>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扎根于水泥熟料及水泥项目的可持续发展理念，我们深信环保与社会责任是水泥熟料及水泥项目成功的关键支柱。在水泥熟料及水泥项目的每一步，我们都致力于通过创新和实践，履行对环境和社会的坚定责任。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熟料及水泥项目团队通过引入先进的环保技术、建立高效的废物处理系统以及推动能源节约措施，积极履行环保责任。定期的环保监测和评估确保水泥熟料及水泥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https://d.book118.com/056124153010010103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水泥熟料及水泥项目计划设计方案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水泥熟料及水泥项目计划设计方案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水泥熟料及水泥项目计划设计方案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水泥熟料及水泥项目计划设计方案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水泥熟料及水泥项目计划设计方案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水泥熟料及水泥项目计划设计方案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水泥熟料及水泥项目计划设计方案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水泥熟料及水泥项目计划设计方案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水泥熟料及水泥项目计划设计方案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水泥熟料及水泥项目计划设计方案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水泥熟料及水泥项目计划设计方案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水泥熟料及水泥项目计划设计方案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水泥熟料及水泥项目计划设计方案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水泥熟料及水泥项目计划设计方案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水泥熟料及水泥项目计划设计方案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水泥熟料及水泥项目计划设计方案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水泥熟料及水泥项目计划设计方案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7F796E"/>
    <w:rsid w:val="637F796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56124153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2024-03-03T02:48:00Z</dcterms:created>
  <dcterms:modified xsi:type="dcterms:W3CDTF">2024-03-03T02:49:06Z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F0384224DB1D43EBB0B85B5A837FBBAA_11</vt:lpwstr>
  </property>
  <property fmtid="{D5CDD505-2E9C-101B-9397-08002B2CF9AE}" pid="3" name="KSOProductBuildVer">
    <vt:lpwstr>2052-12.1.0.16388</vt:lpwstr>
  </property>
</Properties>
</file>