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7" w:lineRule="auto"/>
      </w:pPr>
    </w:p>
    <w:p>
      <w:pPr>
        <w:spacing w:line="277" w:lineRule="auto"/>
      </w:pPr>
    </w:p>
    <w:p>
      <w:pPr>
        <w:spacing w:line="277" w:lineRule="auto"/>
      </w:pPr>
    </w:p>
    <w:p>
      <w:pPr>
        <w:spacing w:line="277" w:lineRule="auto"/>
      </w:pPr>
    </w:p>
    <w:p>
      <w:pPr>
        <w:spacing w:line="277" w:lineRule="auto"/>
      </w:pPr>
    </w:p>
    <w:p>
      <w:pPr>
        <w:spacing w:line="278" w:lineRule="auto"/>
      </w:pPr>
    </w:p>
    <w:p>
      <w:pPr>
        <w:spacing w:before="205" w:line="212" w:lineRule="auto"/>
        <w:ind w:left="812"/>
        <w:rPr>
          <w:rFonts w:ascii="微软雅黑" w:eastAsia="微软雅黑" w:hAnsi="微软雅黑" w:cs="微软雅黑"/>
          <w:sz w:val="48"/>
          <w:szCs w:val="48"/>
        </w:rPr>
      </w:pPr>
      <w:r>
        <w:rPr>
          <w:rFonts w:ascii="微软雅黑" w:eastAsia="微软雅黑" w:hAnsi="微软雅黑" w:cs="微软雅黑"/>
          <w:spacing w:val="-1"/>
          <w:sz w:val="48"/>
          <w:szCs w:val="48"/>
        </w:rPr>
        <w:t>东台市生产</w:t>
      </w:r>
      <w:r>
        <w:rPr>
          <w:rFonts w:ascii="微软雅黑" w:eastAsia="微软雅黑" w:hAnsi="微软雅黑" w:cs="微软雅黑"/>
          <w:sz w:val="48"/>
          <w:szCs w:val="48"/>
        </w:rPr>
        <w:t>性物流园区发展规划</w:t>
      </w:r>
    </w:p>
    <w:p>
      <w:pPr>
        <w:spacing w:line="290" w:lineRule="auto"/>
      </w:pPr>
    </w:p>
    <w:p>
      <w:pPr>
        <w:spacing w:line="290" w:lineRule="auto"/>
      </w:pPr>
    </w:p>
    <w:p>
      <w:pPr>
        <w:spacing w:line="291" w:lineRule="auto"/>
      </w:pPr>
    </w:p>
    <w:p>
      <w:pPr>
        <w:tabs>
          <w:tab w:val="left" w:pos="3397"/>
        </w:tabs>
        <w:spacing w:before="155" w:line="171" w:lineRule="auto"/>
        <w:ind w:left="3218"/>
        <w:rPr>
          <w:rFonts w:ascii="微软雅黑" w:eastAsia="微软雅黑" w:hAnsi="微软雅黑" w:cs="微软雅黑"/>
          <w:sz w:val="36"/>
          <w:szCs w:val="36"/>
        </w:rPr>
      </w:pPr>
      <w:r>
        <w:rPr>
          <w:rFonts w:ascii="微软雅黑" w:eastAsia="微软雅黑" w:hAnsi="微软雅黑" w:cs="微软雅黑"/>
          <w:sz w:val="36"/>
          <w:szCs w:val="36"/>
        </w:rPr>
        <w:tab/>
      </w:r>
      <w:r>
        <w:rPr>
          <w:rFonts w:ascii="微软雅黑" w:eastAsia="微软雅黑" w:hAnsi="微软雅黑" w:cs="微软雅黑"/>
          <w:spacing w:val="12"/>
          <w:sz w:val="36"/>
          <w:szCs w:val="36"/>
        </w:rPr>
        <w:t>(</w:t>
      </w:r>
      <w:r>
        <w:rPr>
          <w:rFonts w:ascii="微软雅黑" w:eastAsia="微软雅黑" w:hAnsi="微软雅黑" w:cs="微软雅黑"/>
          <w:spacing w:val="10"/>
          <w:sz w:val="36"/>
          <w:szCs w:val="36"/>
        </w:rPr>
        <w:t>征求意见稿)</w:t>
      </w:r>
    </w:p>
    <w:p>
      <w:pPr>
        <w:spacing w:line="247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ectPr>
          <w:pgSz w:w="11907" w:h="16839"/>
          <w:pgMar w:top="1431" w:right="1785" w:bottom="0" w:left="1785" w:header="0" w:footer="0" w:gutter="0"/>
          <w:cols w:num="1" w:space="720"/>
        </w:sectPr>
      </w:pPr>
      <w:bookmarkStart w:id="0" w:name="_GoBack"/>
      <w:bookmarkEnd w:id="0"/>
    </w:p>
    <w:p>
      <w:pPr>
        <w:spacing w:line="386" w:lineRule="auto"/>
      </w:pPr>
    </w:p>
    <w:sdt>
      <w:sdtPr>
        <w:rPr>
          <w:rFonts w:ascii="黑体" w:eastAsia="黑体" w:hAnsi="黑体" w:cs="黑体"/>
          <w:sz w:val="36"/>
          <w:szCs w:val="36"/>
        </w:rPr>
        <w:id w:val="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1"/>
          <w:szCs w:val="31"/>
        </w:rPr>
      </w:sdtEndPr>
      <w:sdtContent>
        <w:p>
          <w:pPr>
            <w:spacing w:before="117" w:line="219" w:lineRule="auto"/>
            <w:ind w:left="4196"/>
            <w:rPr>
              <w:rFonts w:ascii="黑体" w:eastAsia="黑体" w:hAnsi="黑体" w:cs="黑体"/>
              <w:sz w:val="36"/>
              <w:szCs w:val="36"/>
            </w:rPr>
          </w:pPr>
          <w:r>
            <w:rPr>
              <w:rFonts w:ascii="黑体" w:eastAsia="黑体" w:hAnsi="黑体" w:cs="黑体"/>
              <w:spacing w:val="-17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0"/>
              </w14:textOutline>
            </w:rPr>
            <w:t>目录</w:t>
          </w:r>
        </w:p>
        <w:p>
          <w:pPr>
            <w:spacing w:line="268" w:lineRule="auto"/>
          </w:pPr>
        </w:p>
        <w:p>
          <w:pPr>
            <w:tabs>
              <w:tab w:val="right" w:leader="dot" w:pos="8312"/>
            </w:tabs>
            <w:spacing w:before="101" w:line="415" w:lineRule="exact"/>
            <w:ind w:left="30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1" w:history="1">
            <w:r>
              <w:rPr>
                <w:rFonts w:ascii="黑体" w:eastAsia="黑体" w:hAnsi="黑体" w:cs="黑体"/>
                <w:spacing w:val="8"/>
                <w:position w:val="1"/>
                <w:sz w:val="31"/>
                <w:szCs w:val="31"/>
              </w:rPr>
              <w:t>第</w:t>
            </w:r>
            <w:r>
              <w:rPr>
                <w:rFonts w:ascii="黑体" w:eastAsia="黑体" w:hAnsi="黑体" w:cs="黑体"/>
                <w:spacing w:val="4"/>
                <w:position w:val="1"/>
                <w:sz w:val="31"/>
                <w:szCs w:val="31"/>
              </w:rPr>
              <w:t xml:space="preserve">一章 规划概述 </w:t>
            </w:r>
            <w:r>
              <w:rPr>
                <w:rFonts w:ascii="黑体" w:eastAsia="黑体" w:hAnsi="黑体" w:cs="黑体"/>
                <w:position w:val="1"/>
                <w:sz w:val="31"/>
                <w:szCs w:val="31"/>
              </w:rPr>
              <w:tab/>
            </w:r>
          </w:hyperlink>
          <w:hyperlink w:anchor="_bookmark2" w:history="1"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31"/>
                <w:szCs w:val="31"/>
              </w:rPr>
              <w:t>1</w:t>
            </w:r>
          </w:hyperlink>
        </w:p>
        <w:p>
          <w:pPr>
            <w:tabs>
              <w:tab w:val="right" w:leader="dot" w:pos="8312"/>
            </w:tabs>
            <w:spacing w:before="185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3" w:history="1">
            <w:r>
              <w:rPr>
                <w:rFonts w:ascii="微软雅黑" w:eastAsia="微软雅黑" w:hAnsi="微软雅黑" w:cs="微软雅黑"/>
                <w:spacing w:val="15"/>
                <w:sz w:val="31"/>
                <w:szCs w:val="31"/>
              </w:rPr>
              <w:t xml:space="preserve">第一节 规划背景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4" w:history="1">
            <w:r>
              <w:rPr>
                <w:rFonts w:ascii="Times New Roman" w:eastAsia="Times New Roman" w:hAnsi="Times New Roman" w:cs="Times New Roman"/>
                <w:spacing w:val="15"/>
                <w:sz w:val="31"/>
                <w:szCs w:val="31"/>
              </w:rPr>
              <w:t>1</w:t>
            </w:r>
          </w:hyperlink>
        </w:p>
        <w:p>
          <w:pPr>
            <w:tabs>
              <w:tab w:val="right" w:leader="dot" w:pos="8312"/>
            </w:tabs>
            <w:spacing w:before="142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5" w:history="1">
            <w:r>
              <w:rPr>
                <w:rFonts w:ascii="微软雅黑" w:eastAsia="微软雅黑" w:hAnsi="微软雅黑" w:cs="微软雅黑"/>
                <w:spacing w:val="15"/>
                <w:sz w:val="31"/>
                <w:szCs w:val="31"/>
              </w:rPr>
              <w:t xml:space="preserve">第二节 规划范围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6" w:history="1">
            <w:r>
              <w:rPr>
                <w:rFonts w:ascii="Times New Roman" w:eastAsia="Times New Roman" w:hAnsi="Times New Roman" w:cs="Times New Roman"/>
                <w:spacing w:val="15"/>
                <w:sz w:val="31"/>
                <w:szCs w:val="31"/>
              </w:rPr>
              <w:t>1</w:t>
            </w:r>
          </w:hyperlink>
        </w:p>
        <w:p>
          <w:pPr>
            <w:tabs>
              <w:tab w:val="right" w:leader="dot" w:pos="8312"/>
            </w:tabs>
            <w:spacing w:before="143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7" w:history="1">
            <w:r>
              <w:rPr>
                <w:rFonts w:ascii="微软雅黑" w:eastAsia="微软雅黑" w:hAnsi="微软雅黑" w:cs="微软雅黑"/>
                <w:spacing w:val="8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5"/>
                <w:sz w:val="31"/>
                <w:szCs w:val="31"/>
              </w:rPr>
              <w:t xml:space="preserve">三节  园区概况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8" w:history="1">
            <w:r>
              <w:rPr>
                <w:rFonts w:ascii="Times New Roman" w:eastAsia="Times New Roman" w:hAnsi="Times New Roman" w:cs="Times New Roman"/>
                <w:spacing w:val="5"/>
                <w:sz w:val="31"/>
                <w:szCs w:val="31"/>
              </w:rPr>
              <w:t>2</w:t>
            </w:r>
          </w:hyperlink>
        </w:p>
        <w:p>
          <w:pPr>
            <w:tabs>
              <w:tab w:val="right" w:leader="dot" w:pos="8312"/>
            </w:tabs>
            <w:spacing w:before="143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9" w:history="1">
            <w:r>
              <w:rPr>
                <w:rFonts w:ascii="微软雅黑" w:eastAsia="微软雅黑" w:hAnsi="微软雅黑" w:cs="微软雅黑"/>
                <w:spacing w:val="15"/>
                <w:sz w:val="31"/>
                <w:szCs w:val="31"/>
              </w:rPr>
              <w:t xml:space="preserve">第四节 规划依据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10" w:history="1">
            <w:r>
              <w:rPr>
                <w:rFonts w:ascii="Times New Roman" w:eastAsia="Times New Roman" w:hAnsi="Times New Roman" w:cs="Times New Roman"/>
                <w:spacing w:val="15"/>
                <w:sz w:val="31"/>
                <w:szCs w:val="31"/>
              </w:rPr>
              <w:t>3</w:t>
            </w:r>
          </w:hyperlink>
        </w:p>
        <w:p>
          <w:pPr>
            <w:tabs>
              <w:tab w:val="right" w:leader="dot" w:pos="8312"/>
            </w:tabs>
            <w:spacing w:before="144" w:line="201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11" w:history="1">
            <w:r>
              <w:rPr>
                <w:rFonts w:ascii="微软雅黑" w:eastAsia="微软雅黑" w:hAnsi="微软雅黑" w:cs="微软雅黑"/>
                <w:spacing w:val="15"/>
                <w:sz w:val="31"/>
                <w:szCs w:val="31"/>
              </w:rPr>
              <w:t xml:space="preserve">第五节 规划期限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12" w:history="1">
            <w:r>
              <w:rPr>
                <w:rFonts w:ascii="Times New Roman" w:eastAsia="Times New Roman" w:hAnsi="Times New Roman" w:cs="Times New Roman"/>
                <w:spacing w:val="15"/>
                <w:sz w:val="31"/>
                <w:szCs w:val="31"/>
              </w:rPr>
              <w:t>3</w:t>
            </w:r>
          </w:hyperlink>
        </w:p>
        <w:p>
          <w:pPr>
            <w:tabs>
              <w:tab w:val="right" w:leader="dot" w:pos="8312"/>
            </w:tabs>
            <w:spacing w:before="131" w:line="415" w:lineRule="exact"/>
            <w:ind w:left="30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13" w:history="1">
            <w:r>
              <w:rPr>
                <w:rFonts w:ascii="黑体" w:eastAsia="黑体" w:hAnsi="黑体" w:cs="黑体"/>
                <w:spacing w:val="8"/>
                <w:position w:val="1"/>
                <w:sz w:val="31"/>
                <w:szCs w:val="31"/>
              </w:rPr>
              <w:t>第</w:t>
            </w:r>
            <w:r>
              <w:rPr>
                <w:rFonts w:ascii="黑体" w:eastAsia="黑体" w:hAnsi="黑体" w:cs="黑体"/>
                <w:spacing w:val="4"/>
                <w:position w:val="1"/>
                <w:sz w:val="31"/>
                <w:szCs w:val="31"/>
              </w:rPr>
              <w:t xml:space="preserve">二章 发展条件 </w:t>
            </w:r>
            <w:r>
              <w:rPr>
                <w:rFonts w:ascii="黑体" w:eastAsia="黑体" w:hAnsi="黑体" w:cs="黑体"/>
                <w:position w:val="1"/>
                <w:sz w:val="31"/>
                <w:szCs w:val="31"/>
              </w:rPr>
              <w:tab/>
            </w:r>
          </w:hyperlink>
          <w:hyperlink w:anchor="_bookmark14" w:history="1"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31"/>
                <w:szCs w:val="31"/>
              </w:rPr>
              <w:t>5</w:t>
            </w:r>
          </w:hyperlink>
        </w:p>
        <w:p>
          <w:pPr>
            <w:tabs>
              <w:tab w:val="right" w:leader="dot" w:pos="8312"/>
            </w:tabs>
            <w:spacing w:before="187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15" w:history="1">
            <w:r>
              <w:rPr>
                <w:rFonts w:ascii="微软雅黑" w:eastAsia="微软雅黑" w:hAnsi="微软雅黑" w:cs="微软雅黑"/>
                <w:spacing w:val="8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5"/>
                <w:sz w:val="31"/>
                <w:szCs w:val="31"/>
              </w:rPr>
              <w:t xml:space="preserve">一节  区位条件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16" w:history="1">
            <w:r>
              <w:rPr>
                <w:rFonts w:ascii="Times New Roman" w:eastAsia="Times New Roman" w:hAnsi="Times New Roman" w:cs="Times New Roman"/>
                <w:spacing w:val="5"/>
                <w:sz w:val="31"/>
                <w:szCs w:val="31"/>
              </w:rPr>
              <w:t>5</w:t>
            </w:r>
          </w:hyperlink>
        </w:p>
        <w:p>
          <w:pPr>
            <w:tabs>
              <w:tab w:val="right" w:leader="dot" w:pos="8312"/>
            </w:tabs>
            <w:spacing w:before="142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17" w:history="1">
            <w:r>
              <w:rPr>
                <w:rFonts w:ascii="微软雅黑" w:eastAsia="微软雅黑" w:hAnsi="微软雅黑" w:cs="微软雅黑"/>
                <w:spacing w:val="8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5"/>
                <w:sz w:val="31"/>
                <w:szCs w:val="31"/>
              </w:rPr>
              <w:t xml:space="preserve">二节  交通条件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18" w:history="1">
            <w:r>
              <w:rPr>
                <w:rFonts w:ascii="Times New Roman" w:eastAsia="Times New Roman" w:hAnsi="Times New Roman" w:cs="Times New Roman"/>
                <w:spacing w:val="5"/>
                <w:sz w:val="31"/>
                <w:szCs w:val="31"/>
              </w:rPr>
              <w:t>6</w:t>
            </w:r>
          </w:hyperlink>
        </w:p>
        <w:p>
          <w:pPr>
            <w:tabs>
              <w:tab w:val="right" w:leader="dot" w:pos="8314"/>
            </w:tabs>
            <w:spacing w:before="143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19" w:history="1">
            <w:r>
              <w:rPr>
                <w:rFonts w:ascii="微软雅黑" w:eastAsia="微软雅黑" w:hAnsi="微软雅黑" w:cs="微软雅黑"/>
                <w:spacing w:val="10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7"/>
                <w:sz w:val="31"/>
                <w:szCs w:val="31"/>
              </w:rPr>
              <w:t>三</w:t>
            </w:r>
            <w:r>
              <w:rPr>
                <w:rFonts w:ascii="微软雅黑" w:eastAsia="微软雅黑" w:hAnsi="微软雅黑" w:cs="微软雅黑"/>
                <w:spacing w:val="5"/>
                <w:sz w:val="31"/>
                <w:szCs w:val="31"/>
              </w:rPr>
              <w:t xml:space="preserve">节  经济产业条件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20" w:history="1">
            <w:r>
              <w:rPr>
                <w:rFonts w:ascii="Times New Roman" w:eastAsia="Times New Roman" w:hAnsi="Times New Roman" w:cs="Times New Roman"/>
                <w:spacing w:val="5"/>
                <w:sz w:val="31"/>
                <w:szCs w:val="31"/>
              </w:rPr>
              <w:t>12</w:t>
            </w:r>
          </w:hyperlink>
        </w:p>
        <w:p>
          <w:pPr>
            <w:tabs>
              <w:tab w:val="right" w:leader="dot" w:pos="8314"/>
            </w:tabs>
            <w:spacing w:before="142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21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四节 政策条件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22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15</w:t>
            </w:r>
          </w:hyperlink>
        </w:p>
        <w:p>
          <w:pPr>
            <w:tabs>
              <w:tab w:val="right" w:leader="dot" w:pos="8314"/>
            </w:tabs>
            <w:spacing w:before="133" w:line="416" w:lineRule="exact"/>
            <w:ind w:left="30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23" w:history="1">
            <w:r>
              <w:rPr>
                <w:rFonts w:ascii="黑体" w:eastAsia="黑体" w:hAnsi="黑体" w:cs="黑体"/>
                <w:spacing w:val="8"/>
                <w:position w:val="1"/>
                <w:sz w:val="31"/>
                <w:szCs w:val="31"/>
              </w:rPr>
              <w:t>第</w:t>
            </w:r>
            <w:r>
              <w:rPr>
                <w:rFonts w:ascii="黑体" w:eastAsia="黑体" w:hAnsi="黑体" w:cs="黑体"/>
                <w:spacing w:val="5"/>
                <w:position w:val="1"/>
                <w:sz w:val="31"/>
                <w:szCs w:val="31"/>
              </w:rPr>
              <w:t>三</w:t>
            </w:r>
            <w:r>
              <w:rPr>
                <w:rFonts w:ascii="黑体" w:eastAsia="黑体" w:hAnsi="黑体" w:cs="黑体"/>
                <w:spacing w:val="4"/>
                <w:position w:val="1"/>
                <w:sz w:val="31"/>
                <w:szCs w:val="31"/>
              </w:rPr>
              <w:t xml:space="preserve">章 需求预测 </w:t>
            </w:r>
            <w:r>
              <w:rPr>
                <w:rFonts w:ascii="黑体" w:eastAsia="黑体" w:hAnsi="黑体" w:cs="黑体"/>
                <w:position w:val="1"/>
                <w:sz w:val="31"/>
                <w:szCs w:val="31"/>
              </w:rPr>
              <w:tab/>
            </w:r>
          </w:hyperlink>
          <w:hyperlink w:anchor="_bookmark24" w:history="1"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31"/>
                <w:szCs w:val="31"/>
              </w:rPr>
              <w:t>18</w:t>
            </w:r>
          </w:hyperlink>
        </w:p>
        <w:p>
          <w:pPr>
            <w:tabs>
              <w:tab w:val="right" w:leader="dot" w:pos="8314"/>
            </w:tabs>
            <w:spacing w:before="182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25" w:history="1">
            <w:r>
              <w:rPr>
                <w:rFonts w:ascii="微软雅黑" w:eastAsia="微软雅黑" w:hAnsi="微软雅黑" w:cs="微软雅黑"/>
                <w:spacing w:val="20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2"/>
                <w:sz w:val="31"/>
                <w:szCs w:val="31"/>
              </w:rPr>
              <w:t xml:space="preserve">一节 基本思路和方法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26" w:history="1">
            <w:r>
              <w:rPr>
                <w:rFonts w:ascii="Times New Roman" w:eastAsia="Times New Roman" w:hAnsi="Times New Roman" w:cs="Times New Roman"/>
                <w:spacing w:val="12"/>
                <w:sz w:val="31"/>
                <w:szCs w:val="31"/>
              </w:rPr>
              <w:t>18</w:t>
            </w:r>
          </w:hyperlink>
        </w:p>
        <w:p>
          <w:pPr>
            <w:tabs>
              <w:tab w:val="right" w:leader="dot" w:pos="8314"/>
            </w:tabs>
            <w:spacing w:before="144" w:line="201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27" w:history="1">
            <w:r>
              <w:rPr>
                <w:rFonts w:ascii="微软雅黑" w:eastAsia="微软雅黑" w:hAnsi="微软雅黑" w:cs="微软雅黑"/>
                <w:spacing w:val="20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1"/>
                <w:sz w:val="31"/>
                <w:szCs w:val="31"/>
              </w:rPr>
              <w:t xml:space="preserve">二节 全市生产性物流量预测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28" w:history="1">
            <w:r>
              <w:rPr>
                <w:rFonts w:ascii="Times New Roman" w:eastAsia="Times New Roman" w:hAnsi="Times New Roman" w:cs="Times New Roman"/>
                <w:spacing w:val="11"/>
                <w:sz w:val="31"/>
                <w:szCs w:val="31"/>
              </w:rPr>
              <w:t>19</w:t>
            </w:r>
          </w:hyperlink>
        </w:p>
        <w:p>
          <w:pPr>
            <w:tabs>
              <w:tab w:val="right" w:leader="dot" w:pos="8314"/>
            </w:tabs>
            <w:spacing w:before="145" w:line="201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29" w:history="1">
            <w:r>
              <w:rPr>
                <w:rFonts w:ascii="微软雅黑" w:eastAsia="微软雅黑" w:hAnsi="微软雅黑" w:cs="微软雅黑"/>
                <w:spacing w:val="15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2"/>
                <w:sz w:val="31"/>
                <w:szCs w:val="31"/>
              </w:rPr>
              <w:t xml:space="preserve">三节 重点产业分析预测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30" w:history="1">
            <w:r>
              <w:rPr>
                <w:rFonts w:ascii="Times New Roman" w:eastAsia="Times New Roman" w:hAnsi="Times New Roman" w:cs="Times New Roman"/>
                <w:spacing w:val="12"/>
                <w:sz w:val="31"/>
                <w:szCs w:val="31"/>
              </w:rPr>
              <w:t>23</w:t>
            </w:r>
          </w:hyperlink>
        </w:p>
        <w:p>
          <w:pPr>
            <w:tabs>
              <w:tab w:val="right" w:leader="dot" w:pos="8314"/>
            </w:tabs>
            <w:spacing w:before="144" w:line="201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31" w:history="1">
            <w:r>
              <w:rPr>
                <w:rFonts w:ascii="微软雅黑" w:eastAsia="微软雅黑" w:hAnsi="微软雅黑" w:cs="微软雅黑"/>
                <w:spacing w:val="10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7"/>
                <w:sz w:val="31"/>
                <w:szCs w:val="31"/>
              </w:rPr>
              <w:t>四</w:t>
            </w:r>
            <w:r>
              <w:rPr>
                <w:rFonts w:ascii="微软雅黑" w:eastAsia="微软雅黑" w:hAnsi="微软雅黑" w:cs="微软雅黑"/>
                <w:spacing w:val="5"/>
                <w:sz w:val="31"/>
                <w:szCs w:val="31"/>
              </w:rPr>
              <w:t xml:space="preserve">节  用地需求预测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32" w:history="1">
            <w:r>
              <w:rPr>
                <w:rFonts w:ascii="Times New Roman" w:eastAsia="Times New Roman" w:hAnsi="Times New Roman" w:cs="Times New Roman"/>
                <w:spacing w:val="5"/>
                <w:sz w:val="31"/>
                <w:szCs w:val="31"/>
              </w:rPr>
              <w:t>28</w:t>
            </w:r>
          </w:hyperlink>
        </w:p>
        <w:p>
          <w:pPr>
            <w:tabs>
              <w:tab w:val="right" w:leader="dot" w:pos="8314"/>
            </w:tabs>
            <w:spacing w:before="135" w:line="415" w:lineRule="exact"/>
            <w:ind w:left="30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33" w:history="1">
            <w:r>
              <w:rPr>
                <w:rFonts w:ascii="黑体" w:eastAsia="黑体" w:hAnsi="黑体" w:cs="黑体"/>
                <w:spacing w:val="5"/>
                <w:position w:val="1"/>
                <w:sz w:val="31"/>
                <w:szCs w:val="31"/>
              </w:rPr>
              <w:t xml:space="preserve">第四章 发展战略及定位 </w:t>
            </w:r>
            <w:r>
              <w:rPr>
                <w:rFonts w:ascii="黑体" w:eastAsia="黑体" w:hAnsi="黑体" w:cs="黑体"/>
                <w:position w:val="1"/>
                <w:sz w:val="31"/>
                <w:szCs w:val="31"/>
              </w:rPr>
              <w:tab/>
            </w:r>
          </w:hyperlink>
          <w:hyperlink w:anchor="_bookmark34" w:history="1"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31"/>
                <w:szCs w:val="31"/>
              </w:rPr>
              <w:t>33</w:t>
            </w:r>
          </w:hyperlink>
        </w:p>
        <w:p>
          <w:pPr>
            <w:tabs>
              <w:tab w:val="right" w:leader="dot" w:pos="8314"/>
            </w:tabs>
            <w:spacing w:before="187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35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一节 指导思想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36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33</w:t>
            </w:r>
          </w:hyperlink>
        </w:p>
        <w:p>
          <w:pPr>
            <w:tabs>
              <w:tab w:val="right" w:leader="dot" w:pos="8314"/>
            </w:tabs>
            <w:spacing w:before="141" w:line="201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37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二节 基本原则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38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33</w:t>
            </w:r>
          </w:hyperlink>
        </w:p>
        <w:p>
          <w:pPr>
            <w:tabs>
              <w:tab w:val="right" w:leader="dot" w:pos="8314"/>
            </w:tabs>
            <w:spacing w:before="143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39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三节 战略定位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40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34</w:t>
            </w:r>
          </w:hyperlink>
        </w:p>
        <w:p>
          <w:pPr>
            <w:tabs>
              <w:tab w:val="right" w:leader="dot" w:pos="8314"/>
            </w:tabs>
            <w:spacing w:before="144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41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四节 重点业态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42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35</w:t>
            </w:r>
          </w:hyperlink>
        </w:p>
      </w:sdtContent>
    </w:sdt>
    <w:p>
      <w:pPr>
        <w:sectPr>
          <w:footerReference w:type="default" r:id="rId5"/>
          <w:pgSz w:w="11907" w:h="16839"/>
          <w:pgMar w:top="1431" w:right="1785" w:bottom="1251" w:left="1785" w:header="0" w:footer="980" w:gutter="0"/>
          <w:pgNumType w:start="2"/>
          <w:cols w:num="1" w:space="720"/>
        </w:sectPr>
      </w:pPr>
    </w:p>
    <w:sdt>
      <w:sdtPr>
        <w:rPr>
          <w:rFonts w:ascii="微软雅黑" w:eastAsia="微软雅黑" w:hAnsi="微软雅黑" w:cs="微软雅黑"/>
          <w:sz w:val="31"/>
          <w:szCs w:val="31"/>
        </w:rPr>
        <w:id w:val="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1"/>
          <w:szCs w:val="31"/>
        </w:rPr>
      </w:sdtEndPr>
      <w:sdtContent>
        <w:p>
          <w:pPr>
            <w:tabs>
              <w:tab w:val="right" w:leader="dot" w:pos="8314"/>
            </w:tabs>
            <w:spacing w:before="206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43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五节 发展目标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44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36</w:t>
            </w:r>
          </w:hyperlink>
        </w:p>
        <w:p>
          <w:pPr>
            <w:tabs>
              <w:tab w:val="right" w:leader="dot" w:pos="8314"/>
            </w:tabs>
            <w:spacing w:before="131" w:line="417" w:lineRule="exact"/>
            <w:ind w:left="30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45" w:history="1">
            <w:r>
              <w:rPr>
                <w:rFonts w:ascii="黑体" w:eastAsia="黑体" w:hAnsi="黑体" w:cs="黑体"/>
                <w:spacing w:val="8"/>
                <w:position w:val="1"/>
                <w:sz w:val="31"/>
                <w:szCs w:val="31"/>
              </w:rPr>
              <w:t>第</w:t>
            </w:r>
            <w:r>
              <w:rPr>
                <w:rFonts w:ascii="黑体" w:eastAsia="黑体" w:hAnsi="黑体" w:cs="黑体"/>
                <w:spacing w:val="5"/>
                <w:position w:val="1"/>
                <w:sz w:val="31"/>
                <w:szCs w:val="31"/>
              </w:rPr>
              <w:t>五</w:t>
            </w:r>
            <w:r>
              <w:rPr>
                <w:rFonts w:ascii="黑体" w:eastAsia="黑体" w:hAnsi="黑体" w:cs="黑体"/>
                <w:spacing w:val="4"/>
                <w:position w:val="1"/>
                <w:sz w:val="31"/>
                <w:szCs w:val="31"/>
              </w:rPr>
              <w:t xml:space="preserve">章 空间布局 </w:t>
            </w:r>
            <w:r>
              <w:rPr>
                <w:rFonts w:ascii="黑体" w:eastAsia="黑体" w:hAnsi="黑体" w:cs="黑体"/>
                <w:position w:val="1"/>
                <w:sz w:val="31"/>
                <w:szCs w:val="31"/>
              </w:rPr>
              <w:tab/>
            </w:r>
          </w:hyperlink>
          <w:hyperlink w:anchor="_bookmark46" w:history="1"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31"/>
                <w:szCs w:val="31"/>
              </w:rPr>
              <w:t>38</w:t>
            </w:r>
          </w:hyperlink>
        </w:p>
        <w:p>
          <w:pPr>
            <w:tabs>
              <w:tab w:val="right" w:leader="dot" w:pos="8314"/>
            </w:tabs>
            <w:spacing w:before="184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47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一节 功能设计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48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38</w:t>
            </w:r>
          </w:hyperlink>
        </w:p>
        <w:p>
          <w:pPr>
            <w:tabs>
              <w:tab w:val="right" w:leader="dot" w:pos="8314"/>
            </w:tabs>
            <w:spacing w:before="141" w:line="201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49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二节 布局原则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50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40</w:t>
            </w:r>
          </w:hyperlink>
        </w:p>
        <w:p>
          <w:pPr>
            <w:tabs>
              <w:tab w:val="right" w:leader="dot" w:pos="8314"/>
            </w:tabs>
            <w:spacing w:before="143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51" w:history="1">
            <w:r>
              <w:rPr>
                <w:rFonts w:ascii="微软雅黑" w:eastAsia="微软雅黑" w:hAnsi="微软雅黑" w:cs="微软雅黑"/>
                <w:spacing w:val="20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2"/>
                <w:sz w:val="31"/>
                <w:szCs w:val="31"/>
              </w:rPr>
              <w:t xml:space="preserve">三节 功能区布局方案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52" w:history="1">
            <w:r>
              <w:rPr>
                <w:rFonts w:ascii="Times New Roman" w:eastAsia="Times New Roman" w:hAnsi="Times New Roman" w:cs="Times New Roman"/>
                <w:spacing w:val="12"/>
                <w:sz w:val="31"/>
                <w:szCs w:val="31"/>
              </w:rPr>
              <w:t>40</w:t>
            </w:r>
          </w:hyperlink>
        </w:p>
        <w:p>
          <w:pPr>
            <w:tabs>
              <w:tab w:val="right" w:leader="dot" w:pos="8314"/>
            </w:tabs>
            <w:spacing w:before="142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53" w:history="1">
            <w:r>
              <w:rPr>
                <w:rFonts w:ascii="微软雅黑" w:eastAsia="微软雅黑" w:hAnsi="微软雅黑" w:cs="微软雅黑"/>
                <w:spacing w:val="10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9"/>
                <w:sz w:val="31"/>
                <w:szCs w:val="31"/>
              </w:rPr>
              <w:t>四</w:t>
            </w:r>
            <w:r>
              <w:rPr>
                <w:rFonts w:ascii="微软雅黑" w:eastAsia="微软雅黑" w:hAnsi="微软雅黑" w:cs="微软雅黑"/>
                <w:spacing w:val="5"/>
                <w:sz w:val="31"/>
                <w:szCs w:val="31"/>
              </w:rPr>
              <w:t xml:space="preserve">节  交通组织与设计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54" w:history="1">
            <w:r>
              <w:rPr>
                <w:rFonts w:ascii="Times New Roman" w:eastAsia="Times New Roman" w:hAnsi="Times New Roman" w:cs="Times New Roman"/>
                <w:spacing w:val="5"/>
                <w:sz w:val="31"/>
                <w:szCs w:val="31"/>
              </w:rPr>
              <w:t>43</w:t>
            </w:r>
          </w:hyperlink>
        </w:p>
        <w:p>
          <w:pPr>
            <w:tabs>
              <w:tab w:val="right" w:leader="dot" w:pos="8314"/>
            </w:tabs>
            <w:spacing w:before="133" w:line="417" w:lineRule="exact"/>
            <w:ind w:left="30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55" w:history="1">
            <w:r>
              <w:rPr>
                <w:rFonts w:ascii="黑体" w:eastAsia="黑体" w:hAnsi="黑体" w:cs="黑体"/>
                <w:spacing w:val="8"/>
                <w:position w:val="1"/>
                <w:sz w:val="31"/>
                <w:szCs w:val="31"/>
              </w:rPr>
              <w:t>第</w:t>
            </w:r>
            <w:r>
              <w:rPr>
                <w:rFonts w:ascii="黑体" w:eastAsia="黑体" w:hAnsi="黑体" w:cs="黑体"/>
                <w:spacing w:val="5"/>
                <w:position w:val="1"/>
                <w:sz w:val="31"/>
                <w:szCs w:val="31"/>
              </w:rPr>
              <w:t>六</w:t>
            </w:r>
            <w:r>
              <w:rPr>
                <w:rFonts w:ascii="黑体" w:eastAsia="黑体" w:hAnsi="黑体" w:cs="黑体"/>
                <w:spacing w:val="4"/>
                <w:position w:val="1"/>
                <w:sz w:val="31"/>
                <w:szCs w:val="31"/>
              </w:rPr>
              <w:t xml:space="preserve">章 运营管理 </w:t>
            </w:r>
            <w:r>
              <w:rPr>
                <w:rFonts w:ascii="黑体" w:eastAsia="黑体" w:hAnsi="黑体" w:cs="黑体"/>
                <w:position w:val="1"/>
                <w:sz w:val="31"/>
                <w:szCs w:val="31"/>
              </w:rPr>
              <w:tab/>
            </w:r>
          </w:hyperlink>
          <w:hyperlink w:anchor="_bookmark56" w:history="1"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31"/>
                <w:szCs w:val="31"/>
              </w:rPr>
              <w:t>48</w:t>
            </w:r>
          </w:hyperlink>
        </w:p>
        <w:p>
          <w:pPr>
            <w:tabs>
              <w:tab w:val="right" w:leader="dot" w:pos="8314"/>
            </w:tabs>
            <w:spacing w:before="184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57" w:history="1">
            <w:r>
              <w:rPr>
                <w:rFonts w:ascii="微软雅黑" w:eastAsia="微软雅黑" w:hAnsi="微软雅黑" w:cs="微软雅黑"/>
                <w:spacing w:val="10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7"/>
                <w:sz w:val="31"/>
                <w:szCs w:val="31"/>
              </w:rPr>
              <w:t>一</w:t>
            </w:r>
            <w:r>
              <w:rPr>
                <w:rFonts w:ascii="微软雅黑" w:eastAsia="微软雅黑" w:hAnsi="微软雅黑" w:cs="微软雅黑"/>
                <w:spacing w:val="5"/>
                <w:sz w:val="31"/>
                <w:szCs w:val="31"/>
              </w:rPr>
              <w:t xml:space="preserve">节  开发运营模式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58" w:history="1">
            <w:r>
              <w:rPr>
                <w:rFonts w:ascii="Times New Roman" w:eastAsia="Times New Roman" w:hAnsi="Times New Roman" w:cs="Times New Roman"/>
                <w:spacing w:val="5"/>
                <w:sz w:val="31"/>
                <w:szCs w:val="31"/>
              </w:rPr>
              <w:t>48</w:t>
            </w:r>
          </w:hyperlink>
        </w:p>
        <w:p>
          <w:pPr>
            <w:tabs>
              <w:tab w:val="right" w:leader="dot" w:pos="8314"/>
            </w:tabs>
            <w:spacing w:before="144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59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二节 招商策略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60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50</w:t>
            </w:r>
          </w:hyperlink>
        </w:p>
        <w:p>
          <w:pPr>
            <w:tabs>
              <w:tab w:val="right" w:leader="dot" w:pos="8314"/>
            </w:tabs>
            <w:spacing w:before="140" w:line="201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61" w:history="1">
            <w:r>
              <w:rPr>
                <w:rFonts w:ascii="微软雅黑" w:eastAsia="微软雅黑" w:hAnsi="微软雅黑" w:cs="微软雅黑"/>
                <w:spacing w:val="13"/>
                <w:sz w:val="31"/>
                <w:szCs w:val="31"/>
              </w:rPr>
              <w:t xml:space="preserve">第三节 公共服务平台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62" w:history="1">
            <w:r>
              <w:rPr>
                <w:rFonts w:ascii="Times New Roman" w:eastAsia="Times New Roman" w:hAnsi="Times New Roman" w:cs="Times New Roman"/>
                <w:spacing w:val="13"/>
                <w:sz w:val="31"/>
                <w:szCs w:val="31"/>
              </w:rPr>
              <w:t>53</w:t>
            </w:r>
          </w:hyperlink>
        </w:p>
        <w:p>
          <w:pPr>
            <w:tabs>
              <w:tab w:val="right" w:leader="dot" w:pos="8314"/>
            </w:tabs>
            <w:spacing w:before="145" w:line="202" w:lineRule="auto"/>
            <w:ind w:left="685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63" w:history="1">
            <w:r>
              <w:rPr>
                <w:rFonts w:ascii="微软雅黑" w:eastAsia="微软雅黑" w:hAnsi="微软雅黑" w:cs="微软雅黑"/>
                <w:spacing w:val="16"/>
                <w:sz w:val="31"/>
                <w:szCs w:val="31"/>
              </w:rPr>
              <w:t>第</w:t>
            </w:r>
            <w:r>
              <w:rPr>
                <w:rFonts w:ascii="微软雅黑" w:eastAsia="微软雅黑" w:hAnsi="微软雅黑" w:cs="微软雅黑"/>
                <w:spacing w:val="14"/>
                <w:sz w:val="31"/>
                <w:szCs w:val="31"/>
              </w:rPr>
              <w:t xml:space="preserve">四节 保障措施 </w:t>
            </w:r>
            <w:r>
              <w:rPr>
                <w:rFonts w:ascii="微软雅黑" w:eastAsia="微软雅黑" w:hAnsi="微软雅黑" w:cs="微软雅黑"/>
                <w:sz w:val="31"/>
                <w:szCs w:val="31"/>
              </w:rPr>
              <w:tab/>
            </w:r>
          </w:hyperlink>
          <w:hyperlink w:anchor="_bookmark64" w:history="1">
            <w:r>
              <w:rPr>
                <w:rFonts w:ascii="Times New Roman" w:eastAsia="Times New Roman" w:hAnsi="Times New Roman" w:cs="Times New Roman"/>
                <w:spacing w:val="14"/>
                <w:sz w:val="31"/>
                <w:szCs w:val="31"/>
              </w:rPr>
              <w:t>54</w:t>
            </w:r>
          </w:hyperlink>
        </w:p>
        <w:p>
          <w:pPr>
            <w:tabs>
              <w:tab w:val="right" w:leader="dot" w:pos="8314"/>
            </w:tabs>
            <w:spacing w:before="162" w:line="202" w:lineRule="auto"/>
            <w:ind w:left="47"/>
            <w:rPr>
              <w:rFonts w:ascii="Times New Roman" w:eastAsia="Times New Roman" w:hAnsi="Times New Roman" w:cs="Times New Roman"/>
              <w:sz w:val="31"/>
              <w:szCs w:val="31"/>
            </w:rPr>
          </w:pPr>
          <w:hyperlink w:anchor="_bookmark65" w:history="1">
            <w:r>
              <w:rPr>
                <w:rFonts w:ascii="黑体" w:eastAsia="黑体" w:hAnsi="黑体" w:cs="黑体"/>
                <w:spacing w:val="8"/>
                <w:sz w:val="31"/>
                <w:szCs w:val="31"/>
              </w:rPr>
              <w:t>附图</w:t>
            </w:r>
            <w:r>
              <w:rPr>
                <w:rFonts w:ascii="黑体" w:eastAsia="黑体" w:hAnsi="黑体" w:cs="黑体"/>
                <w:sz w:val="31"/>
                <w:szCs w:val="31"/>
              </w:rPr>
              <w:tab/>
            </w:r>
          </w:hyperlink>
          <w:hyperlink w:anchor="_bookmark66" w:history="1">
            <w:r>
              <w:rPr>
                <w:rFonts w:ascii="Times New Roman" w:eastAsia="Times New Roman" w:hAnsi="Times New Roman" w:cs="Times New Roman"/>
                <w:spacing w:val="8"/>
                <w:sz w:val="31"/>
                <w:szCs w:val="31"/>
              </w:rPr>
              <w:t>56</w:t>
            </w:r>
          </w:hyperlink>
        </w:p>
      </w:sdtContent>
    </w:sdt>
    <w:p>
      <w:pPr>
        <w:sectPr>
          <w:footerReference w:type="default" r:id="rId6"/>
          <w:pgSz w:w="11907" w:h="16839"/>
          <w:pgMar w:top="1431" w:right="1785" w:bottom="1251" w:left="1785" w:header="0" w:footer="980" w:gutter="0"/>
          <w:pgNumType w:start="3"/>
          <w:cols w:num="1" w:space="720"/>
        </w:sectPr>
      </w:pPr>
    </w:p>
    <w:p>
      <w:pPr>
        <w:spacing w:before="195" w:line="415" w:lineRule="exact"/>
        <w:ind w:left="2978"/>
        <w:rPr>
          <w:rFonts w:ascii="黑体" w:eastAsia="黑体" w:hAnsi="黑体" w:cs="黑体"/>
          <w:sz w:val="31"/>
          <w:szCs w:val="31"/>
        </w:rPr>
      </w:pPr>
      <w:bookmarkStart w:id="1" w:name="_bookmark2"/>
      <w:bookmarkEnd w:id="1"/>
      <w:bookmarkStart w:id="2" w:name="_bookmark1"/>
      <w:bookmarkEnd w:id="2"/>
      <w:r>
        <w:rPr>
          <w:rFonts w:ascii="黑体" w:eastAsia="黑体" w:hAnsi="黑体" w:cs="黑体"/>
          <w:spacing w:val="12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黑体" w:eastAsia="黑体" w:hAnsi="黑体" w:cs="黑体"/>
          <w:spacing w:val="8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一章</w:t>
      </w:r>
      <w:r>
        <w:rPr>
          <w:rFonts w:ascii="黑体" w:eastAsia="黑体" w:hAnsi="黑体" w:cs="黑体"/>
          <w:spacing w:val="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8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规划概述</w:t>
      </w:r>
    </w:p>
    <w:p>
      <w:pPr>
        <w:spacing w:line="241" w:lineRule="auto"/>
      </w:pPr>
    </w:p>
    <w:p>
      <w:pPr>
        <w:spacing w:line="242" w:lineRule="auto"/>
      </w:pPr>
    </w:p>
    <w:p>
      <w:pPr>
        <w:spacing w:before="133" w:line="202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3" w:name="_bookmark3"/>
      <w:bookmarkEnd w:id="3"/>
      <w:bookmarkStart w:id="4" w:name="_bookmark4"/>
      <w:bookmarkEnd w:id="4"/>
      <w:r>
        <w:rPr>
          <w:rFonts w:ascii="微软雅黑" w:eastAsia="微软雅黑" w:hAnsi="微软雅黑" w:cs="微软雅黑"/>
          <w:spacing w:val="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一节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规划背景</w:t>
      </w:r>
    </w:p>
    <w:p>
      <w:pPr>
        <w:spacing w:before="358" w:line="266" w:lineRule="auto"/>
        <w:ind w:left="28" w:firstLine="64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"/>
          <w:sz w:val="31"/>
          <w:szCs w:val="31"/>
        </w:rPr>
        <w:t>现代物流业是以</w:t>
      </w:r>
      <w:r>
        <w:rPr>
          <w:rFonts w:ascii="微软雅黑" w:eastAsia="微软雅黑" w:hAnsi="微软雅黑" w:cs="微软雅黑"/>
          <w:sz w:val="31"/>
          <w:szCs w:val="31"/>
        </w:rPr>
        <w:t xml:space="preserve">现代运输业为重点，  以信息技术为支撑，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 xml:space="preserve">以现代制造业和商业为基础， 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集系统化、信息化、仓储现代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>化为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一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体的综合性产业。发展现代物流业对于促进传统运输、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4"/>
          <w:sz w:val="31"/>
          <w:szCs w:val="31"/>
        </w:rPr>
        <w:t>仓储企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业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转型， 服务社会生产生活具有重要意义。《东台市国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31"/>
          <w:sz w:val="31"/>
          <w:szCs w:val="31"/>
        </w:rPr>
        <w:t>民</w:t>
      </w:r>
      <w:r>
        <w:rPr>
          <w:rFonts w:ascii="微软雅黑" w:eastAsia="微软雅黑" w:hAnsi="微软雅黑" w:cs="微软雅黑"/>
          <w:spacing w:val="21"/>
          <w:sz w:val="31"/>
          <w:szCs w:val="31"/>
        </w:rPr>
        <w:t>经济和社会发展第十四个五年规划和二〇三五年远景目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标纲要》 将现代物流业作为五大重点服务业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之一，  要求节点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化布局一批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专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业物流园区和基地，  打造综合物流中心，  形成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一批骨干物流企业，压降物流成本，放大竞争优势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。</w:t>
      </w:r>
    </w:p>
    <w:p>
      <w:pPr>
        <w:spacing w:before="1" w:line="206" w:lineRule="auto"/>
        <w:ind w:left="68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2"/>
          <w:sz w:val="31"/>
          <w:szCs w:val="31"/>
        </w:rPr>
        <w:t>物流园区是现代物流业发展的重要基础设施和空间</w:t>
      </w:r>
      <w:r>
        <w:rPr>
          <w:rFonts w:ascii="微软雅黑" w:eastAsia="微软雅黑" w:hAnsi="微软雅黑" w:cs="微软雅黑"/>
          <w:spacing w:val="20"/>
          <w:sz w:val="31"/>
          <w:szCs w:val="31"/>
        </w:rPr>
        <w:t>载</w:t>
      </w:r>
    </w:p>
    <w:p>
      <w:pPr>
        <w:spacing w:before="126" w:line="271" w:lineRule="auto"/>
        <w:ind w:left="32" w:right="2" w:hanging="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8"/>
          <w:sz w:val="31"/>
          <w:szCs w:val="31"/>
        </w:rPr>
        <w:t xml:space="preserve">体， 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是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对物流组织管理节点进行相对集中建设与发展，  具有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14"/>
          <w:sz w:val="31"/>
          <w:szCs w:val="31"/>
        </w:rPr>
        <w:t>经济</w:t>
      </w:r>
      <w:r>
        <w:rPr>
          <w:rFonts w:ascii="微软雅黑" w:eastAsia="微软雅黑" w:hAnsi="微软雅黑" w:cs="微软雅黑"/>
          <w:spacing w:val="-10"/>
          <w:sz w:val="31"/>
          <w:szCs w:val="31"/>
        </w:rPr>
        <w:t>开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发性质的城市物流功能区域 。  同时，  也是依托相关物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流服务设施降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低物流成本，  提高物流运作效率，  具有产业发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展性质的经济功能区 。科学编制《东台市生产性物流园区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发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9"/>
          <w:sz w:val="31"/>
          <w:szCs w:val="31"/>
        </w:rPr>
        <w:t>展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规划》，系统预测东台生产性物流需求， 明确园区战略定位、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重点业态、发展目标、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空间布局和运营管理模式，  对于指导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东台市生产性物流园区开发建设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，  服务全市制造业高质量发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展具有重要意义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。</w:t>
      </w:r>
    </w:p>
    <w:p>
      <w:pPr>
        <w:spacing w:before="147" w:line="202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5" w:name="_bookmark6"/>
      <w:bookmarkEnd w:id="5"/>
      <w:bookmarkStart w:id="6" w:name="_bookmark5"/>
      <w:bookmarkEnd w:id="6"/>
      <w:r>
        <w:rPr>
          <w:rFonts w:ascii="微软雅黑" w:eastAsia="微软雅黑" w:hAnsi="微软雅黑" w:cs="微软雅黑"/>
          <w:spacing w:val="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二节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规划范围</w:t>
      </w:r>
    </w:p>
    <w:p>
      <w:pPr>
        <w:spacing w:before="351" w:line="207" w:lineRule="auto"/>
        <w:ind w:left="68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东台市生产性物流园区位于东台经济</w:t>
      </w:r>
      <w:r>
        <w:rPr>
          <w:rFonts w:ascii="微软雅黑" w:eastAsia="微软雅黑" w:hAnsi="微软雅黑" w:cs="微软雅黑"/>
          <w:sz w:val="31"/>
          <w:szCs w:val="31"/>
        </w:rPr>
        <w:t>开发区内，  北至城</w:t>
      </w:r>
    </w:p>
    <w:p>
      <w:pPr>
        <w:sectPr>
          <w:footerReference w:type="default" r:id="rId7"/>
          <w:pgSz w:w="11907" w:h="16839"/>
          <w:pgMar w:top="1431" w:right="1517" w:bottom="1255" w:left="1785" w:header="0" w:footer="980" w:gutter="0"/>
          <w:pgNumType w:start="4"/>
          <w:cols w:num="1" w:space="720"/>
        </w:sectPr>
      </w:pPr>
    </w:p>
    <w:p>
      <w:pPr>
        <w:spacing w:before="200" w:line="590" w:lineRule="exact"/>
        <w:ind w:left="3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6"/>
          <w:position w:val="18"/>
          <w:sz w:val="31"/>
          <w:szCs w:val="31"/>
        </w:rPr>
        <w:t>镇</w:t>
      </w:r>
      <w:r>
        <w:rPr>
          <w:rFonts w:ascii="微软雅黑" w:eastAsia="微软雅黑" w:hAnsi="微软雅黑" w:cs="微软雅黑"/>
          <w:spacing w:val="12"/>
          <w:position w:val="18"/>
          <w:sz w:val="31"/>
          <w:szCs w:val="31"/>
        </w:rPr>
        <w:t>开</w:t>
      </w:r>
      <w:r>
        <w:rPr>
          <w:rFonts w:ascii="微软雅黑" w:eastAsia="微软雅黑" w:hAnsi="微软雅黑" w:cs="微软雅黑"/>
          <w:spacing w:val="8"/>
          <w:position w:val="18"/>
          <w:sz w:val="31"/>
          <w:szCs w:val="31"/>
        </w:rPr>
        <w:t>发边界、东至站前路、南至港区四路、西至中心作业区</w:t>
      </w:r>
    </w:p>
    <w:p>
      <w:pPr>
        <w:spacing w:line="180" w:lineRule="auto"/>
        <w:ind w:left="3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作业前沿，占地面积约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617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亩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。</w:t>
      </w:r>
    </w:p>
    <w:p>
      <w:pPr>
        <w:spacing w:line="8698" w:lineRule="exact"/>
        <w:ind w:firstLine="14"/>
        <w:textAlignment w:val="center"/>
      </w:pPr>
      <w:r>
        <w:drawing>
          <wp:inline distT="0" distB="0" distL="0" distR="0">
            <wp:extent cx="5273675" cy="552323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552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1" w:line="197" w:lineRule="auto"/>
        <w:ind w:left="179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8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1- 1  </w:t>
      </w:r>
      <w:r>
        <w:rPr>
          <w:rFonts w:ascii="微软雅黑" w:eastAsia="微软雅黑" w:hAnsi="微软雅黑" w:cs="微软雅黑"/>
          <w:spacing w:val="-4"/>
          <w:sz w:val="24"/>
          <w:szCs w:val="24"/>
        </w:rPr>
        <w:t>东台市生产性物流园区规划范围示意图</w:t>
      </w:r>
    </w:p>
    <w:p/>
    <w:p/>
    <w:p>
      <w:pPr>
        <w:spacing w:line="241" w:lineRule="auto"/>
      </w:pPr>
    </w:p>
    <w:p>
      <w:pPr>
        <w:spacing w:before="133" w:line="202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7" w:name="_bookmark7"/>
      <w:bookmarkEnd w:id="7"/>
      <w:bookmarkStart w:id="8" w:name="_bookmark8"/>
      <w:bookmarkEnd w:id="8"/>
      <w:r>
        <w:rPr>
          <w:rFonts w:ascii="微软雅黑" w:eastAsia="微软雅黑" w:hAnsi="微软雅黑" w:cs="微软雅黑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三节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园区概况</w:t>
      </w:r>
    </w:p>
    <w:p>
      <w:pPr>
        <w:spacing w:before="351" w:line="284" w:lineRule="auto"/>
        <w:ind w:left="32" w:firstLine="68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5"/>
          <w:sz w:val="31"/>
          <w:szCs w:val="31"/>
        </w:rPr>
        <w:t>园区规划范围内 目前尚未开发建设，  现状为村庄和耕地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。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周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边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港口等基础设施同样尚未建设。</w:t>
      </w:r>
    </w:p>
    <w:p>
      <w:pPr>
        <w:sectPr>
          <w:footerReference w:type="default" r:id="rId9"/>
          <w:pgSz w:w="11907" w:h="16839"/>
          <w:pgMar w:top="1431" w:right="1520" w:bottom="1255" w:left="1785" w:header="0" w:footer="980" w:gutter="0"/>
          <w:pgNumType w:start="5"/>
          <w:cols w:num="1" w:space="720"/>
        </w:sectPr>
      </w:pPr>
    </w:p>
    <w:p>
      <w:pPr>
        <w:spacing w:before="44" w:line="2541" w:lineRule="exact"/>
        <w:ind w:firstLine="3841"/>
        <w:textAlignment w:val="center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929640</wp:posOffset>
            </wp:positionV>
            <wp:extent cx="2328545" cy="162687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8545" cy="1626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2776855" cy="16129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6982" cy="161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197" w:lineRule="auto"/>
        <w:ind w:left="227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4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  </w:t>
      </w:r>
      <w:r>
        <w:rPr>
          <w:rFonts w:ascii="微软雅黑" w:eastAsia="微软雅黑" w:hAnsi="微软雅黑" w:cs="微软雅黑"/>
          <w:spacing w:val="-2"/>
          <w:sz w:val="24"/>
          <w:szCs w:val="24"/>
        </w:rPr>
        <w:t>东台市生产性物流园区现状图</w:t>
      </w:r>
    </w:p>
    <w:p/>
    <w:p/>
    <w:p/>
    <w:p>
      <w:pPr>
        <w:spacing w:before="133" w:line="202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9" w:name="_bookmark9"/>
      <w:bookmarkEnd w:id="9"/>
      <w:bookmarkStart w:id="10" w:name="_bookmark10"/>
      <w:bookmarkEnd w:id="10"/>
      <w:r>
        <w:rPr>
          <w:rFonts w:ascii="微软雅黑" w:eastAsia="微软雅黑" w:hAnsi="微软雅黑" w:cs="微软雅黑"/>
          <w:spacing w:val="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四节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规划依据</w:t>
      </w:r>
    </w:p>
    <w:p>
      <w:pPr>
        <w:spacing w:before="354" w:line="202" w:lineRule="auto"/>
        <w:ind w:left="51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1.  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《物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流园区分类与规划基本要求》( </w:t>
      </w:r>
      <w:r>
        <w:rPr>
          <w:rFonts w:ascii="Times New Roman" w:eastAsia="Times New Roman" w:hAnsi="Times New Roman" w:cs="Times New Roman"/>
          <w:sz w:val="31"/>
          <w:szCs w:val="31"/>
        </w:rPr>
        <w:t>GB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>/</w:t>
      </w:r>
      <w:r>
        <w:rPr>
          <w:rFonts w:ascii="Times New Roman" w:eastAsia="Times New Roman" w:hAnsi="Times New Roman" w:cs="Times New Roman"/>
          <w:sz w:val="31"/>
          <w:szCs w:val="31"/>
        </w:rPr>
        <w:t>T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21334-2017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)</w:t>
      </w:r>
    </w:p>
    <w:p>
      <w:pPr>
        <w:spacing w:before="140" w:line="202" w:lineRule="auto"/>
        <w:ind w:left="21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.   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 xml:space="preserve">《国家物流枢纽网络建设实施方案( 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2021-2025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年)》</w:t>
      </w:r>
    </w:p>
    <w:p>
      <w:pPr>
        <w:spacing w:before="142" w:line="207" w:lineRule="auto"/>
        <w:ind w:left="27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.   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《江苏省“十四五”现代物流业发展规划》</w:t>
      </w:r>
    </w:p>
    <w:p>
      <w:pPr>
        <w:spacing w:before="131" w:line="207" w:lineRule="auto"/>
        <w:ind w:left="1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4. 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《盐城市“十四五”现代服务业发展规划》</w:t>
      </w:r>
    </w:p>
    <w:p>
      <w:pPr>
        <w:spacing w:before="132" w:line="237" w:lineRule="auto"/>
        <w:ind w:left="476" w:right="157" w:hanging="447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spacing w:val="9"/>
          <w:sz w:val="31"/>
          <w:szCs w:val="31"/>
        </w:rPr>
        <w:t>.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   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《东台市国民经济和社会发展第十四个五年规划和二〇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三五年远景目标纲要》</w:t>
      </w:r>
    </w:p>
    <w:p>
      <w:pPr>
        <w:spacing w:before="132" w:line="202" w:lineRule="auto"/>
        <w:ind w:left="2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>6.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 xml:space="preserve">《东台市城市总体规划(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2015-2030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年)》</w:t>
      </w:r>
    </w:p>
    <w:p>
      <w:pPr>
        <w:spacing w:before="139" w:line="207" w:lineRule="auto"/>
        <w:ind w:left="26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7. 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《东台市“十四五”制造业高质量发展规划》</w:t>
      </w:r>
    </w:p>
    <w:p>
      <w:pPr>
        <w:spacing w:before="132" w:line="207" w:lineRule="auto"/>
        <w:ind w:left="3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8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.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  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《东台市“十四五”电子信息产业发展规划》</w:t>
      </w:r>
    </w:p>
    <w:p>
      <w:pPr>
        <w:spacing w:before="130" w:line="247" w:lineRule="auto"/>
        <w:ind w:left="51" w:right="134" w:hanging="2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9.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《东台市“十四五”综合交通运输发展规划》</w:t>
      </w:r>
      <w:r>
        <w:rPr>
          <w:rFonts w:ascii="微软雅黑" w:eastAsia="微软雅黑" w:hAnsi="微软雅黑" w:cs="微软雅黑"/>
          <w:sz w:val="31"/>
          <w:szCs w:val="31"/>
        </w:rPr>
        <w:t xml:space="preserve">              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 xml:space="preserve">0.  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《东台统计年鉴》</w:t>
      </w:r>
      <w:r>
        <w:rPr>
          <w:rFonts w:ascii="微软雅黑" w:eastAsia="微软雅黑" w:hAnsi="微软雅黑" w:cs="微软雅黑"/>
          <w:sz w:val="31"/>
          <w:szCs w:val="31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>11</w:t>
      </w:r>
      <w:r>
        <w:rPr>
          <w:rFonts w:ascii="Times New Roman" w:eastAsia="Times New Roman" w:hAnsi="Times New Roman" w:cs="Times New Roman"/>
          <w:spacing w:val="11"/>
          <w:sz w:val="31"/>
          <w:szCs w:val="31"/>
        </w:rPr>
        <w:t>.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《盐城内河港东台港区中心作业区码头工程可行性研究</w:t>
      </w:r>
    </w:p>
    <w:p>
      <w:pPr>
        <w:spacing w:before="132" w:line="202" w:lineRule="auto"/>
        <w:ind w:left="46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0"/>
          <w:sz w:val="31"/>
          <w:szCs w:val="31"/>
        </w:rPr>
        <w:t>报告》(报批稿)</w:t>
      </w:r>
    </w:p>
    <w:p>
      <w:pPr>
        <w:spacing w:before="367" w:line="201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11" w:name="_bookmark12"/>
      <w:bookmarkEnd w:id="11"/>
      <w:bookmarkStart w:id="12" w:name="_bookmark11"/>
      <w:bookmarkEnd w:id="12"/>
      <w:r>
        <w:rPr>
          <w:rFonts w:ascii="微软雅黑" w:eastAsia="微软雅黑" w:hAnsi="微软雅黑" w:cs="微软雅黑"/>
          <w:spacing w:val="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五节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规划期限</w:t>
      </w:r>
    </w:p>
    <w:p>
      <w:pPr>
        <w:spacing w:before="351" w:line="207" w:lineRule="auto"/>
        <w:ind w:left="71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"/>
          <w:sz w:val="31"/>
          <w:szCs w:val="31"/>
        </w:rPr>
        <w:t xml:space="preserve">园区规划基准年为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202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0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 xml:space="preserve">年，  规划期限为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2021-2035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年，</w:t>
      </w:r>
    </w:p>
    <w:p>
      <w:pPr>
        <w:sectPr>
          <w:footerReference w:type="default" r:id="rId12"/>
          <w:pgSz w:w="11907" w:h="16839"/>
          <w:pgMar w:top="1431" w:right="1700" w:bottom="1255" w:left="1785" w:header="0" w:footer="980" w:gutter="0"/>
          <w:pgNumType w:start="6"/>
          <w:cols w:num="1" w:space="720"/>
        </w:sectPr>
      </w:pPr>
    </w:p>
    <w:p>
      <w:pPr>
        <w:spacing w:before="199" w:line="207" w:lineRule="auto"/>
        <w:ind w:left="3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4"/>
          <w:sz w:val="31"/>
          <w:szCs w:val="31"/>
        </w:rPr>
        <w:t>近期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规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 xml:space="preserve">划至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 xml:space="preserve">2025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 xml:space="preserve">年，  远景展望至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 xml:space="preserve">2035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年。</w:t>
      </w:r>
    </w:p>
    <w:p>
      <w:pPr>
        <w:sectPr>
          <w:footerReference w:type="default" r:id="rId13"/>
          <w:pgSz w:w="11907" w:h="16839"/>
          <w:pgMar w:top="1431" w:right="1785" w:bottom="1255" w:left="1785" w:header="0" w:footer="980" w:gutter="0"/>
          <w:pgNumType w:start="7"/>
          <w:cols w:num="1" w:space="720"/>
        </w:sectPr>
      </w:pPr>
    </w:p>
    <w:p>
      <w:pPr>
        <w:spacing w:line="311" w:lineRule="auto"/>
      </w:pPr>
    </w:p>
    <w:p>
      <w:pPr>
        <w:spacing w:before="100" w:line="416" w:lineRule="exact"/>
        <w:ind w:left="2978"/>
        <w:rPr>
          <w:rFonts w:ascii="黑体" w:eastAsia="黑体" w:hAnsi="黑体" w:cs="黑体"/>
          <w:sz w:val="31"/>
          <w:szCs w:val="31"/>
        </w:rPr>
      </w:pPr>
      <w:bookmarkStart w:id="13" w:name="_bookmark14"/>
      <w:bookmarkEnd w:id="13"/>
      <w:bookmarkStart w:id="14" w:name="_bookmark13"/>
      <w:bookmarkEnd w:id="14"/>
      <w:r>
        <w:rPr>
          <w:rFonts w:ascii="黑体" w:eastAsia="黑体" w:hAnsi="黑体" w:cs="黑体"/>
          <w:spacing w:val="12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黑体" w:eastAsia="黑体" w:hAnsi="黑体" w:cs="黑体"/>
          <w:spacing w:val="8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二章</w:t>
      </w:r>
      <w:r>
        <w:rPr>
          <w:rFonts w:ascii="黑体" w:eastAsia="黑体" w:hAnsi="黑体" w:cs="黑体"/>
          <w:spacing w:val="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8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发展条件</w:t>
      </w:r>
    </w:p>
    <w:p>
      <w:pPr>
        <w:spacing w:line="242" w:lineRule="auto"/>
      </w:pPr>
    </w:p>
    <w:p>
      <w:pPr>
        <w:spacing w:line="242" w:lineRule="auto"/>
      </w:pPr>
    </w:p>
    <w:p>
      <w:pPr>
        <w:spacing w:before="133" w:line="202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15" w:name="_bookmark15"/>
      <w:bookmarkEnd w:id="15"/>
      <w:bookmarkStart w:id="16" w:name="_bookmark16"/>
      <w:bookmarkEnd w:id="16"/>
      <w:r>
        <w:rPr>
          <w:rFonts w:ascii="微软雅黑" w:eastAsia="微软雅黑" w:hAnsi="微软雅黑" w:cs="微软雅黑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第一节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区位条件</w:t>
      </w:r>
    </w:p>
    <w:p>
      <w:pPr>
        <w:spacing w:before="354" w:line="266" w:lineRule="auto"/>
        <w:ind w:left="34" w:firstLine="645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6"/>
          <w:sz w:val="31"/>
          <w:szCs w:val="31"/>
        </w:rPr>
        <w:t>东</w:t>
      </w:r>
      <w:r>
        <w:rPr>
          <w:rFonts w:ascii="微软雅黑" w:eastAsia="微软雅黑" w:hAnsi="微软雅黑" w:cs="微软雅黑"/>
          <w:spacing w:val="22"/>
          <w:sz w:val="31"/>
          <w:szCs w:val="31"/>
        </w:rPr>
        <w:t>台市生产性物流园区所在地东台市位于盐城市最南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8"/>
          <w:sz w:val="31"/>
          <w:szCs w:val="31"/>
        </w:rPr>
        <w:t>端</w:t>
      </w:r>
      <w:r>
        <w:rPr>
          <w:rFonts w:ascii="微软雅黑" w:eastAsia="微软雅黑" w:hAnsi="微软雅黑" w:cs="微软雅黑"/>
          <w:spacing w:val="-10"/>
          <w:sz w:val="31"/>
          <w:szCs w:val="31"/>
        </w:rPr>
        <w:t>，  连接苏中苏北，  东临黄海，  南与南通接壤，西与泰州毗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4"/>
          <w:sz w:val="31"/>
          <w:szCs w:val="31"/>
        </w:rPr>
        <w:t>邻，</w:t>
      </w:r>
      <w:r>
        <w:rPr>
          <w:rFonts w:ascii="微软雅黑" w:eastAsia="微软雅黑" w:hAnsi="微软雅黑" w:cs="微软雅黑"/>
          <w:spacing w:val="-12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 是扬子江城市群、沿海城镇轴的交叉辐射区。   目前东台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已融入上海两小时经济圈，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  长三角城市群沿海发展带和江苏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沿海城镇轴横贯市域。  境内交通四通八达，  与</w:t>
      </w:r>
      <w:r>
        <w:rPr>
          <w:rFonts w:ascii="微软雅黑" w:eastAsia="微软雅黑" w:hAnsi="微软雅黑" w:cs="微软雅黑"/>
          <w:sz w:val="31"/>
          <w:szCs w:val="31"/>
        </w:rPr>
        <w:t xml:space="preserve">沿海、启扬、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盐洛、盐靖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高速沟通便捷，  新长铁路、盐通高铁穿境而过，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高等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级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内河航道连申线可连接上海港、苏州港、连云港港等</w:t>
      </w:r>
    </w:p>
    <w:p>
      <w:pPr>
        <w:spacing w:line="187" w:lineRule="auto"/>
        <w:ind w:left="3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"/>
          <w:sz w:val="31"/>
          <w:szCs w:val="31"/>
        </w:rPr>
        <w:t>全国主要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港口。</w:t>
      </w:r>
    </w:p>
    <w:p>
      <w:pPr>
        <w:spacing w:line="4320" w:lineRule="exact"/>
        <w:ind w:firstLine="68"/>
        <w:textAlignment w:val="center"/>
      </w:pPr>
      <w:r>
        <w:drawing>
          <wp:inline distT="0" distB="0" distL="0" distR="0">
            <wp:extent cx="5204460" cy="27432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05094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198" w:lineRule="auto"/>
        <w:ind w:left="311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14"/>
          <w:sz w:val="24"/>
          <w:szCs w:val="24"/>
        </w:rPr>
        <w:t>图</w:t>
      </w:r>
      <w:r>
        <w:rPr>
          <w:rFonts w:ascii="微软雅黑" w:eastAsia="微软雅黑" w:hAnsi="微软雅黑" w:cs="微软雅黑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2- 1  </w:t>
      </w:r>
      <w:r>
        <w:rPr>
          <w:rFonts w:ascii="微软雅黑" w:eastAsia="微软雅黑" w:hAnsi="微软雅黑" w:cs="微软雅黑"/>
          <w:spacing w:val="-7"/>
          <w:sz w:val="24"/>
          <w:szCs w:val="24"/>
        </w:rPr>
        <w:t>东台市区位图</w:t>
      </w:r>
    </w:p>
    <w:p>
      <w:pPr>
        <w:spacing w:line="247" w:lineRule="auto"/>
      </w:pPr>
    </w:p>
    <w:p>
      <w:pPr>
        <w:spacing w:line="248" w:lineRule="auto"/>
      </w:pPr>
    </w:p>
    <w:p>
      <w:pPr>
        <w:spacing w:before="133" w:line="278" w:lineRule="auto"/>
        <w:ind w:left="25" w:right="21" w:firstLine="65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东台市生产性物流园区位于城市北部</w:t>
      </w:r>
      <w:r>
        <w:rPr>
          <w:rFonts w:ascii="微软雅黑" w:eastAsia="微软雅黑" w:hAnsi="微软雅黑" w:cs="微软雅黑"/>
          <w:sz w:val="31"/>
          <w:szCs w:val="31"/>
        </w:rPr>
        <w:t xml:space="preserve">，  江苏东台经济开 </w:t>
      </w:r>
      <w:r>
        <w:rPr>
          <w:rFonts w:ascii="微软雅黑" w:eastAsia="微软雅黑" w:hAnsi="微软雅黑" w:cs="微软雅黑"/>
          <w:spacing w:val="-18"/>
          <w:sz w:val="31"/>
          <w:szCs w:val="31"/>
        </w:rPr>
        <w:t>发区内</w:t>
      </w:r>
      <w:r>
        <w:rPr>
          <w:rFonts w:ascii="微软雅黑" w:eastAsia="微软雅黑" w:hAnsi="微软雅黑" w:cs="微软雅黑"/>
          <w:spacing w:val="-9"/>
          <w:sz w:val="31"/>
          <w:szCs w:val="31"/>
        </w:rPr>
        <w:t xml:space="preserve">，  紧邻产业腹地，  距离市中心约 </w:t>
      </w:r>
      <w:r>
        <w:rPr>
          <w:rFonts w:ascii="Times New Roman" w:eastAsia="Times New Roman" w:hAnsi="Times New Roman" w:cs="Times New Roman"/>
          <w:spacing w:val="-9"/>
          <w:sz w:val="31"/>
          <w:szCs w:val="31"/>
        </w:rPr>
        <w:t xml:space="preserve">7 </w:t>
      </w:r>
      <w:r>
        <w:rPr>
          <w:rFonts w:ascii="微软雅黑" w:eastAsia="微软雅黑" w:hAnsi="微软雅黑" w:cs="微软雅黑"/>
          <w:spacing w:val="-9"/>
          <w:sz w:val="31"/>
          <w:szCs w:val="31"/>
        </w:rPr>
        <w:t>公里。  园区北侧为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城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镇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开发边界，  东南侧现状为规划工业用地和东台高新区，</w:t>
      </w:r>
    </w:p>
    <w:p>
      <w:pPr>
        <w:sectPr>
          <w:footerReference w:type="default" r:id="rId15"/>
          <w:pgSz w:w="11907" w:h="16839"/>
          <w:pgMar w:top="1431" w:right="1682" w:bottom="1251" w:left="1785" w:header="0" w:footer="980" w:gutter="0"/>
          <w:pgNumType w:start="8"/>
          <w:cols w:num="1" w:space="720"/>
        </w:sectPr>
      </w:pPr>
    </w:p>
    <w:p>
      <w:pPr>
        <w:spacing w:before="200" w:line="590" w:lineRule="exact"/>
        <w:ind w:left="71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1"/>
          <w:position w:val="18"/>
          <w:sz w:val="31"/>
          <w:szCs w:val="31"/>
        </w:rPr>
        <w:t>园</w:t>
      </w:r>
      <w:r>
        <w:rPr>
          <w:rFonts w:ascii="微软雅黑" w:eastAsia="微软雅黑" w:hAnsi="微软雅黑" w:cs="微软雅黑"/>
          <w:spacing w:val="-6"/>
          <w:position w:val="18"/>
          <w:sz w:val="31"/>
          <w:szCs w:val="31"/>
        </w:rPr>
        <w:t>区南部为主城区，  东部为东台经济开发区，  经开区内分布</w:t>
      </w:r>
    </w:p>
    <w:p>
      <w:pPr>
        <w:spacing w:before="1" w:line="206" w:lineRule="auto"/>
        <w:ind w:left="3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4"/>
          <w:sz w:val="31"/>
          <w:szCs w:val="31"/>
        </w:rPr>
        <w:t>有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领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胜科技、生辉光电、科森精密金属等工业企业。</w:t>
      </w:r>
    </w:p>
    <w:p>
      <w:pPr>
        <w:spacing w:before="50" w:line="5433" w:lineRule="exact"/>
        <w:ind w:firstLine="14"/>
        <w:textAlignment w:val="center"/>
      </w:pPr>
      <w:r>
        <w:drawing>
          <wp:inline distT="0" distB="0" distL="0" distR="0">
            <wp:extent cx="5337175" cy="344932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37809" cy="344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0" w:line="197" w:lineRule="auto"/>
        <w:ind w:left="239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4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  </w:t>
      </w:r>
      <w:r>
        <w:rPr>
          <w:rFonts w:ascii="微软雅黑" w:eastAsia="微软雅黑" w:hAnsi="微软雅黑" w:cs="微软雅黑"/>
          <w:spacing w:val="-2"/>
          <w:sz w:val="24"/>
          <w:szCs w:val="24"/>
        </w:rPr>
        <w:t>东台市生产性物流园区位图</w:t>
      </w:r>
    </w:p>
    <w:p/>
    <w:p/>
    <w:p>
      <w:pPr>
        <w:spacing w:line="241" w:lineRule="auto"/>
      </w:pPr>
    </w:p>
    <w:p>
      <w:pPr>
        <w:spacing w:before="134" w:line="202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17" w:name="_bookmark17"/>
      <w:bookmarkEnd w:id="17"/>
      <w:bookmarkStart w:id="18" w:name="_bookmark18"/>
      <w:bookmarkEnd w:id="18"/>
      <w:r>
        <w:rPr>
          <w:rFonts w:ascii="微软雅黑" w:eastAsia="微软雅黑" w:hAnsi="微软雅黑" w:cs="微软雅黑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第二节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交通条</w:t>
      </w:r>
      <w:r>
        <w:rPr>
          <w:rFonts w:ascii="微软雅黑" w:eastAsia="微软雅黑" w:hAnsi="微软雅黑" w:cs="微软雅黑"/>
          <w:spacing w:val="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件</w:t>
      </w:r>
    </w:p>
    <w:p>
      <w:pPr>
        <w:spacing w:before="352" w:line="267" w:lineRule="auto"/>
        <w:ind w:left="39" w:firstLine="64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"/>
          <w:sz w:val="31"/>
          <w:szCs w:val="31"/>
        </w:rPr>
        <w:t>东台市生产性物流园</w:t>
      </w:r>
      <w:r>
        <w:rPr>
          <w:rFonts w:ascii="微软雅黑" w:eastAsia="微软雅黑" w:hAnsi="微软雅黑" w:cs="微软雅黑"/>
          <w:sz w:val="31"/>
          <w:szCs w:val="31"/>
        </w:rPr>
        <w:t xml:space="preserve">区对外交通条件优越，  高等级公路、 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>江苏省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内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河干线航道直达物流园区，“十四五”规划新增铁路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支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线连接园区与全国铁路网络。</w:t>
      </w:r>
    </w:p>
    <w:p>
      <w:pPr>
        <w:spacing w:before="1" w:line="202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16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公路条件</w:t>
      </w:r>
    </w:p>
    <w:p>
      <w:pPr>
        <w:spacing w:before="135" w:line="275" w:lineRule="auto"/>
        <w:ind w:left="33" w:right="451" w:firstLine="625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"/>
          <w:sz w:val="31"/>
          <w:szCs w:val="31"/>
        </w:rPr>
        <w:t xml:space="preserve">“井”字形公路网络架构基本形成。  截至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2020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年底，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东台境</w:t>
      </w:r>
      <w:r>
        <w:rPr>
          <w:rFonts w:ascii="微软雅黑" w:eastAsia="微软雅黑" w:hAnsi="微软雅黑" w:cs="微软雅黑"/>
          <w:sz w:val="31"/>
          <w:szCs w:val="31"/>
        </w:rPr>
        <w:t xml:space="preserve">内高速公路 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35.5 </w:t>
      </w:r>
      <w:r>
        <w:rPr>
          <w:rFonts w:ascii="微软雅黑" w:eastAsia="微软雅黑" w:hAnsi="微软雅黑" w:cs="微软雅黑"/>
          <w:sz w:val="31"/>
          <w:szCs w:val="31"/>
        </w:rPr>
        <w:t xml:space="preserve">公里，  一级公路 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328.42 </w:t>
      </w:r>
      <w:r>
        <w:rPr>
          <w:rFonts w:ascii="微软雅黑" w:eastAsia="微软雅黑" w:hAnsi="微软雅黑" w:cs="微软雅黑"/>
          <w:sz w:val="31"/>
          <w:szCs w:val="31"/>
        </w:rPr>
        <w:t xml:space="preserve">公里，二级 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>公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 xml:space="preserve">路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204.15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公里，所有公路均为等级以上公路。基本形成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了以高速公路、普通国省干线为骨架的“两横六纵”公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路</w:t>
      </w:r>
    </w:p>
    <w:p>
      <w:pPr>
        <w:sectPr>
          <w:footerReference w:type="default" r:id="rId17"/>
          <w:pgSz w:w="11907" w:h="16839"/>
          <w:pgMar w:top="1431" w:right="1515" w:bottom="1255" w:left="1785" w:header="0" w:footer="980" w:gutter="0"/>
          <w:pgNumType w:start="9"/>
          <w:cols w:num="1" w:space="720"/>
        </w:sectPr>
      </w:pPr>
    </w:p>
    <w:p>
      <w:pPr>
        <w:spacing w:line="289" w:lineRule="auto"/>
      </w:pPr>
    </w:p>
    <w:p>
      <w:pPr>
        <w:spacing w:before="133" w:line="191" w:lineRule="exact"/>
        <w:ind w:left="369"/>
        <w:rPr>
          <w:rFonts w:ascii="微软雅黑" w:eastAsia="微软雅黑" w:hAnsi="微软雅黑" w:cs="微软雅黑"/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15.2pt;height:21.5pt;margin-top:-4.2pt;margin-left:2.5pt;mso-height-relative:page;mso-width-relative:page;position:absolute;z-index:251659264" coordsize="21600,21600" filled="f" stroked="f">
            <o:lock v:ext="edit" aspectratio="f"/>
            <v:textbox inset="0,0,0,0">
              <w:txbxContent>
                <w:p>
                  <w:pPr>
                    <w:spacing w:before="19" w:line="176" w:lineRule="auto"/>
                    <w:ind w:left="20"/>
                    <w:rPr>
                      <w:rFonts w:ascii="微软雅黑" w:eastAsia="微软雅黑" w:hAnsi="微软雅黑" w:cs="微软雅黑"/>
                      <w:sz w:val="31"/>
                      <w:szCs w:val="31"/>
                    </w:rPr>
                  </w:pPr>
                  <w:r>
                    <w:rPr>
                      <w:rFonts w:ascii="微软雅黑" w:eastAsia="微软雅黑" w:hAnsi="微软雅黑" w:cs="微软雅黑"/>
                      <w:spacing w:val="-47"/>
                      <w:sz w:val="31"/>
                      <w:szCs w:val="31"/>
                    </w:rPr>
                    <w:t>网</w:t>
                  </w:r>
                </w:p>
              </w:txbxContent>
            </v:textbox>
          </v:shape>
        </w:pict>
      </w:r>
      <w:r>
        <w:rPr>
          <w:rFonts w:ascii="微软雅黑" w:eastAsia="微软雅黑" w:hAnsi="微软雅黑" w:cs="微软雅黑"/>
          <w:position w:val="5"/>
          <w:sz w:val="31"/>
          <w:szCs w:val="31"/>
        </w:rPr>
        <w:t>。</w:t>
      </w:r>
    </w:p>
    <w:p>
      <w:pPr>
        <w:spacing w:before="73" w:line="6766" w:lineRule="exact"/>
        <w:ind w:firstLine="551"/>
        <w:textAlignment w:val="center"/>
      </w:pPr>
      <w:r>
        <w:drawing>
          <wp:inline distT="0" distB="0" distL="0" distR="0">
            <wp:extent cx="4592320" cy="42957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92320" cy="429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4" w:line="198" w:lineRule="auto"/>
        <w:ind w:left="239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4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2-3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</w:t>
      </w:r>
      <w:r>
        <w:rPr>
          <w:rFonts w:ascii="微软雅黑" w:eastAsia="微软雅黑" w:hAnsi="微软雅黑" w:cs="微软雅黑"/>
          <w:spacing w:val="-2"/>
          <w:sz w:val="24"/>
          <w:szCs w:val="24"/>
        </w:rPr>
        <w:t>东台至周边县市通道现状图</w:t>
      </w:r>
    </w:p>
    <w:p>
      <w:pPr>
        <w:spacing w:line="250" w:lineRule="auto"/>
      </w:pPr>
    </w:p>
    <w:p>
      <w:pPr>
        <w:spacing w:line="250" w:lineRule="auto"/>
      </w:pPr>
    </w:p>
    <w:p>
      <w:pPr>
        <w:spacing w:before="133" w:line="273" w:lineRule="auto"/>
        <w:ind w:left="17" w:firstLine="64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0"/>
          <w:sz w:val="31"/>
          <w:szCs w:val="31"/>
        </w:rPr>
        <w:t>“</w:t>
      </w:r>
      <w:r>
        <w:rPr>
          <w:rFonts w:ascii="微软雅黑" w:eastAsia="微软雅黑" w:hAnsi="微软雅黑" w:cs="微软雅黑"/>
          <w:spacing w:val="-9"/>
          <w:sz w:val="31"/>
          <w:szCs w:val="31"/>
        </w:rPr>
        <w:t>十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四五”期间，  规划建成东兴高速，  与沈海高速组成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“十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”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字型高速公路主骨架。  规划建成东兴高速东延段，  完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善东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西向高速公路设施布局，  强化与沿海地区快速衔接。  至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1"/>
          <w:sz w:val="31"/>
          <w:szCs w:val="31"/>
        </w:rPr>
        <w:t>“十四五”末期， 形成“一横三纵”高速公路网，“三横六纵</w:t>
      </w:r>
      <w:r>
        <w:rPr>
          <w:rFonts w:ascii="微软雅黑" w:eastAsia="微软雅黑" w:hAnsi="微软雅黑" w:cs="微软雅黑"/>
          <w:spacing w:val="-10"/>
          <w:sz w:val="31"/>
          <w:szCs w:val="31"/>
        </w:rPr>
        <w:t>”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国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省干线路网格局。</w:t>
      </w:r>
    </w:p>
    <w:p>
      <w:pPr>
        <w:sectPr>
          <w:footerReference w:type="default" r:id="rId19"/>
          <w:pgSz w:w="11907" w:h="16839"/>
          <w:pgMar w:top="1431" w:right="1647" w:bottom="1251" w:left="1785" w:header="0" w:footer="980" w:gutter="0"/>
          <w:pgNumType w:start="10"/>
          <w:cols w:num="1" w:space="720"/>
        </w:sectPr>
      </w:pPr>
    </w:p>
    <w:p>
      <w:pPr>
        <w:spacing w:before="154" w:line="4928" w:lineRule="exact"/>
        <w:ind w:firstLine="522"/>
        <w:textAlignment w:val="center"/>
      </w:pPr>
      <w:r>
        <w:drawing>
          <wp:inline distT="0" distB="0" distL="0" distR="0">
            <wp:extent cx="4626610" cy="312864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26990" cy="3129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5" w:line="197" w:lineRule="auto"/>
        <w:ind w:left="179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8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-4  </w:t>
      </w:r>
      <w:r>
        <w:rPr>
          <w:rFonts w:ascii="微软雅黑" w:eastAsia="微软雅黑" w:hAnsi="微软雅黑" w:cs="微软雅黑"/>
          <w:spacing w:val="-4"/>
          <w:sz w:val="24"/>
          <w:szCs w:val="24"/>
        </w:rPr>
        <w:t>东台市 “三横六纵”普通国省干线网络</w:t>
      </w:r>
    </w:p>
    <w:p>
      <w:pPr>
        <w:spacing w:line="243" w:lineRule="auto"/>
      </w:pPr>
    </w:p>
    <w:p>
      <w:pPr>
        <w:spacing w:line="244" w:lineRule="auto"/>
      </w:pPr>
    </w:p>
    <w:p>
      <w:pPr>
        <w:spacing w:before="133" w:line="267" w:lineRule="auto"/>
        <w:ind w:left="28" w:right="91" w:firstLine="68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"/>
          <w:sz w:val="31"/>
          <w:szCs w:val="31"/>
        </w:rPr>
        <w:t>园区现状南侧建有国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 xml:space="preserve">道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344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 xml:space="preserve">，全长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55.3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公里，  双向四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车道，一级公路标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准，设计时速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100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公里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>/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小时，  实现东台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>东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西向快捷联系，一小时到达东台沿海开发区。同时园区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可通过国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道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344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连接南北走向的沈海高速和盐靖高速，  通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达盐城、南通、泰州等周边城市 。  园区南侧建有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 xml:space="preserve">老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204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国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道快速通道，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全长约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10.5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公里，  双向四车道，城际快速路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标准，设计时速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80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公里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>/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小时，  是东台市域南</w:t>
      </w:r>
      <w:r>
        <w:rPr>
          <w:rFonts w:ascii="微软雅黑" w:eastAsia="微软雅黑" w:hAnsi="微软雅黑" w:cs="微软雅黑"/>
          <w:sz w:val="31"/>
          <w:szCs w:val="31"/>
        </w:rPr>
        <w:t xml:space="preserve">北中轴线，通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 xml:space="preserve">过老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 xml:space="preserve">204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国道可串联东台南北向主要工业企业 。  至“</w:t>
      </w:r>
      <w:r>
        <w:rPr>
          <w:rFonts w:ascii="微软雅黑" w:eastAsia="微软雅黑" w:hAnsi="微软雅黑" w:cs="微软雅黑"/>
          <w:sz w:val="31"/>
          <w:szCs w:val="31"/>
        </w:rPr>
        <w:t xml:space="preserve">十四 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五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”末东兴高速及东兴高速东延段建成后，园区可强化与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>兴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化之间的交通联系，缩短至南京、沿海开发区的出行时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0"/>
          <w:sz w:val="31"/>
          <w:szCs w:val="31"/>
        </w:rPr>
        <w:t>间</w:t>
      </w:r>
      <w:r>
        <w:rPr>
          <w:rFonts w:ascii="微软雅黑" w:eastAsia="微软雅黑" w:hAnsi="微软雅黑" w:cs="微软雅黑"/>
          <w:spacing w:val="-9"/>
          <w:sz w:val="31"/>
          <w:szCs w:val="31"/>
        </w:rPr>
        <w:t>。</w:t>
      </w:r>
    </w:p>
    <w:p>
      <w:pPr>
        <w:spacing w:before="1" w:line="202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16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水运条件</w:t>
      </w:r>
    </w:p>
    <w:p>
      <w:pPr>
        <w:spacing w:before="132" w:line="207" w:lineRule="auto"/>
        <w:ind w:left="68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微软雅黑" w:eastAsia="微软雅黑" w:hAnsi="微软雅黑" w:cs="微软雅黑"/>
          <w:spacing w:val="8"/>
          <w:sz w:val="31"/>
          <w:szCs w:val="31"/>
        </w:rPr>
        <w:t>东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台市水系发达，现状共有航道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40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条，总里程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550.61</w:t>
      </w:r>
    </w:p>
    <w:p>
      <w:pPr>
        <w:sectPr>
          <w:footerReference w:type="default" r:id="rId21"/>
          <w:pgSz w:w="11907" w:h="16839"/>
          <w:pgMar w:top="1431" w:right="1785" w:bottom="1255" w:left="1785" w:header="0" w:footer="980" w:gutter="0"/>
          <w:pgNumType w:start="11"/>
          <w:cols w:num="1" w:space="720"/>
        </w:sectPr>
      </w:pPr>
    </w:p>
    <w:p>
      <w:pPr>
        <w:spacing w:before="201" w:line="266" w:lineRule="auto"/>
        <w:ind w:left="36" w:right="550" w:hanging="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4"/>
          <w:sz w:val="31"/>
          <w:szCs w:val="31"/>
        </w:rPr>
        <w:t>公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里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。其中等级航道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11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条，  里程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303.5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公里，   占全市总里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程的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55. 1%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。现状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12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条等级航道中，包括三级航道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2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条</w:t>
      </w:r>
    </w:p>
    <w:p>
      <w:pPr>
        <w:tabs>
          <w:tab w:val="left" w:pos="160"/>
        </w:tabs>
        <w:spacing w:before="2" w:line="219" w:lineRule="auto"/>
        <w:ind w:left="5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z w:val="31"/>
          <w:szCs w:val="31"/>
        </w:rPr>
        <w:tab/>
      </w:r>
      <w:r>
        <w:rPr>
          <w:rFonts w:ascii="微软雅黑" w:eastAsia="微软雅黑" w:hAnsi="微软雅黑" w:cs="微软雅黑"/>
          <w:spacing w:val="28"/>
          <w:sz w:val="31"/>
          <w:szCs w:val="31"/>
        </w:rPr>
        <w:t>(</w:t>
      </w:r>
      <w:r>
        <w:rPr>
          <w:rFonts w:ascii="微软雅黑" w:eastAsia="微软雅黑" w:hAnsi="微软雅黑" w:cs="微软雅黑"/>
          <w:spacing w:val="19"/>
          <w:sz w:val="31"/>
          <w:szCs w:val="31"/>
        </w:rPr>
        <w:t>泰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 xml:space="preserve">东线、连申线)，  五级航道 </w:t>
      </w:r>
      <w:r>
        <w:rPr>
          <w:rFonts w:ascii="Times New Roman" w:eastAsia="Times New Roman" w:hAnsi="Times New Roman" w:cs="Times New Roman"/>
          <w:spacing w:val="14"/>
          <w:sz w:val="31"/>
          <w:szCs w:val="31"/>
        </w:rPr>
        <w:t xml:space="preserve">1 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>条(梁垛河)。</w:t>
      </w:r>
    </w:p>
    <w:p>
      <w:pPr>
        <w:spacing w:line="197" w:lineRule="auto"/>
        <w:ind w:left="2602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8"/>
          <w:sz w:val="24"/>
          <w:szCs w:val="24"/>
        </w:rPr>
        <w:t>表</w:t>
      </w:r>
      <w:r>
        <w:rPr>
          <w:rFonts w:ascii="微软雅黑" w:eastAsia="微软雅黑" w:hAnsi="微软雅黑" w:cs="微软雅黑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1- 1  </w:t>
      </w:r>
      <w:r>
        <w:rPr>
          <w:rFonts w:ascii="微软雅黑" w:eastAsia="微软雅黑" w:hAnsi="微软雅黑" w:cs="微软雅黑"/>
          <w:spacing w:val="-4"/>
          <w:sz w:val="24"/>
          <w:szCs w:val="24"/>
        </w:rPr>
        <w:t>东台市等级航道一览表</w:t>
      </w:r>
    </w:p>
    <w:p>
      <w:pPr>
        <w:spacing w:line="84" w:lineRule="auto"/>
        <w:rPr>
          <w:sz w:val="2"/>
        </w:rPr>
      </w:pPr>
    </w:p>
    <w:tbl>
      <w:tblPr>
        <w:tblStyle w:val="TableNormal00"/>
        <w:tblW w:w="8303" w:type="dxa"/>
        <w:tblInd w:w="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1535"/>
        <w:gridCol w:w="2723"/>
        <w:gridCol w:w="1392"/>
        <w:gridCol w:w="1667"/>
      </w:tblGrid>
      <w:tr>
        <w:tblPrEx>
          <w:tblW w:w="8303" w:type="dxa"/>
          <w:tblInd w:w="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/>
        </w:trPr>
        <w:tc>
          <w:tcPr>
            <w:tcW w:w="986" w:type="dxa"/>
            <w:vAlign w:val="top"/>
          </w:tcPr>
          <w:p>
            <w:pPr>
              <w:spacing w:before="89" w:line="316" w:lineRule="exact"/>
              <w:ind w:left="254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1"/>
                <w:position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序号</w:t>
            </w:r>
          </w:p>
        </w:tc>
        <w:tc>
          <w:tcPr>
            <w:tcW w:w="1535" w:type="dxa"/>
            <w:vAlign w:val="top"/>
          </w:tcPr>
          <w:p>
            <w:pPr>
              <w:spacing w:before="88" w:line="242" w:lineRule="auto"/>
              <w:ind w:left="294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航</w:t>
            </w:r>
            <w:r>
              <w:rPr>
                <w:rFonts w:ascii="黑体" w:eastAsia="黑体" w:hAnsi="黑体" w:cs="黑体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道名称</w:t>
            </w:r>
          </w:p>
        </w:tc>
        <w:tc>
          <w:tcPr>
            <w:tcW w:w="2723" w:type="dxa"/>
            <w:vAlign w:val="top"/>
          </w:tcPr>
          <w:p>
            <w:pPr>
              <w:spacing w:before="88" w:line="242" w:lineRule="auto"/>
              <w:ind w:left="1004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起始</w:t>
            </w:r>
            <w:r>
              <w:rPr>
                <w:rFonts w:ascii="黑体" w:eastAsia="黑体" w:hAnsi="黑体" w:cs="黑体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点</w:t>
            </w:r>
          </w:p>
        </w:tc>
        <w:tc>
          <w:tcPr>
            <w:tcW w:w="1392" w:type="dxa"/>
            <w:vAlign w:val="top"/>
          </w:tcPr>
          <w:p>
            <w:pPr>
              <w:spacing w:before="89" w:line="241" w:lineRule="auto"/>
              <w:ind w:left="22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现状</w:t>
            </w:r>
            <w:r>
              <w:rPr>
                <w:rFonts w:ascii="黑体" w:eastAsia="黑体" w:hAnsi="黑体" w:cs="黑体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等级</w:t>
            </w:r>
          </w:p>
        </w:tc>
        <w:tc>
          <w:tcPr>
            <w:tcW w:w="1667" w:type="dxa"/>
            <w:vAlign w:val="top"/>
          </w:tcPr>
          <w:p>
            <w:pPr>
              <w:spacing w:before="88" w:line="242" w:lineRule="auto"/>
              <w:ind w:left="12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20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里程(公里)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/>
        </w:trPr>
        <w:tc>
          <w:tcPr>
            <w:tcW w:w="986" w:type="dxa"/>
            <w:vAlign w:val="top"/>
          </w:tcPr>
          <w:p>
            <w:pPr>
              <w:spacing w:before="138" w:line="188" w:lineRule="auto"/>
              <w:ind w:left="4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5" w:type="dxa"/>
            <w:vAlign w:val="top"/>
          </w:tcPr>
          <w:p>
            <w:pPr>
              <w:spacing w:before="87" w:line="198" w:lineRule="auto"/>
              <w:ind w:left="41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连申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线</w:t>
            </w:r>
          </w:p>
        </w:tc>
        <w:tc>
          <w:tcPr>
            <w:tcW w:w="2723" w:type="dxa"/>
            <w:vAlign w:val="top"/>
          </w:tcPr>
          <w:p>
            <w:pPr>
              <w:spacing w:before="88" w:line="197" w:lineRule="auto"/>
              <w:ind w:left="37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丁溪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大公镇通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盐村</w:t>
            </w:r>
          </w:p>
        </w:tc>
        <w:tc>
          <w:tcPr>
            <w:tcW w:w="1392" w:type="dxa"/>
            <w:vAlign w:val="top"/>
          </w:tcPr>
          <w:p>
            <w:pPr>
              <w:spacing w:before="115" w:line="261" w:lineRule="exact"/>
              <w:ind w:left="46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position w:val="-1"/>
                <w:sz w:val="24"/>
                <w:szCs w:val="24"/>
              </w:rPr>
              <w:t>三</w:t>
            </w:r>
            <w:r>
              <w:rPr>
                <w:rFonts w:ascii="微软雅黑" w:eastAsia="微软雅黑" w:hAnsi="微软雅黑" w:cs="微软雅黑"/>
                <w:spacing w:val="-3"/>
                <w:position w:val="-1"/>
                <w:sz w:val="24"/>
                <w:szCs w:val="24"/>
              </w:rPr>
              <w:t>级</w:t>
            </w:r>
          </w:p>
        </w:tc>
        <w:tc>
          <w:tcPr>
            <w:tcW w:w="1667" w:type="dxa"/>
            <w:vAlign w:val="top"/>
          </w:tcPr>
          <w:p>
            <w:pPr>
              <w:spacing w:before="138" w:line="188" w:lineRule="auto"/>
              <w:ind w:left="5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36.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47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86" w:type="dxa"/>
            <w:vAlign w:val="top"/>
          </w:tcPr>
          <w:p>
            <w:pPr>
              <w:spacing w:before="139" w:line="188" w:lineRule="auto"/>
              <w:ind w:left="4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5" w:type="dxa"/>
            <w:vAlign w:val="top"/>
          </w:tcPr>
          <w:p>
            <w:pPr>
              <w:spacing w:before="89" w:line="199" w:lineRule="auto"/>
              <w:ind w:left="41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泰东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线</w:t>
            </w:r>
          </w:p>
        </w:tc>
        <w:tc>
          <w:tcPr>
            <w:tcW w:w="2723" w:type="dxa"/>
            <w:vAlign w:val="top"/>
          </w:tcPr>
          <w:p>
            <w:pPr>
              <w:spacing w:before="88" w:line="197" w:lineRule="auto"/>
              <w:ind w:left="36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泰东大桥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通榆河</w:t>
            </w:r>
            <w:r>
              <w:rPr>
                <w:rFonts w:ascii="微软雅黑" w:eastAsia="微软雅黑" w:hAnsi="微软雅黑" w:cs="微软雅黑"/>
                <w:sz w:val="24"/>
                <w:szCs w:val="24"/>
              </w:rPr>
              <w:t>口</w:t>
            </w:r>
          </w:p>
        </w:tc>
        <w:tc>
          <w:tcPr>
            <w:tcW w:w="1392" w:type="dxa"/>
            <w:vAlign w:val="top"/>
          </w:tcPr>
          <w:p>
            <w:pPr>
              <w:spacing w:before="115" w:line="261" w:lineRule="exact"/>
              <w:ind w:left="46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position w:val="-1"/>
                <w:sz w:val="24"/>
                <w:szCs w:val="24"/>
              </w:rPr>
              <w:t>三</w:t>
            </w:r>
            <w:r>
              <w:rPr>
                <w:rFonts w:ascii="微软雅黑" w:eastAsia="微软雅黑" w:hAnsi="微软雅黑" w:cs="微软雅黑"/>
                <w:spacing w:val="-3"/>
                <w:position w:val="-1"/>
                <w:sz w:val="24"/>
                <w:szCs w:val="24"/>
              </w:rPr>
              <w:t>级</w:t>
            </w:r>
          </w:p>
        </w:tc>
        <w:tc>
          <w:tcPr>
            <w:tcW w:w="1667" w:type="dxa"/>
            <w:vAlign w:val="top"/>
          </w:tcPr>
          <w:p>
            <w:pPr>
              <w:spacing w:before="138" w:line="188" w:lineRule="auto"/>
              <w:ind w:left="5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32.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89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/>
        </w:trPr>
        <w:tc>
          <w:tcPr>
            <w:tcW w:w="986" w:type="dxa"/>
            <w:vAlign w:val="top"/>
          </w:tcPr>
          <w:p>
            <w:pPr>
              <w:spacing w:before="140" w:line="188" w:lineRule="auto"/>
              <w:ind w:left="4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5" w:type="dxa"/>
            <w:vAlign w:val="top"/>
          </w:tcPr>
          <w:p>
            <w:pPr>
              <w:spacing w:before="91" w:line="197" w:lineRule="auto"/>
              <w:ind w:left="42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梁</w:t>
            </w:r>
            <w:r>
              <w:rPr>
                <w:rFonts w:ascii="微软雅黑" w:eastAsia="微软雅黑" w:hAnsi="微软雅黑" w:cs="微软雅黑"/>
                <w:spacing w:val="-5"/>
                <w:sz w:val="24"/>
                <w:szCs w:val="24"/>
              </w:rPr>
              <w:t>垛河</w:t>
            </w:r>
          </w:p>
        </w:tc>
        <w:tc>
          <w:tcPr>
            <w:tcW w:w="2723" w:type="dxa"/>
            <w:vAlign w:val="top"/>
          </w:tcPr>
          <w:p>
            <w:pPr>
              <w:spacing w:before="91" w:line="197" w:lineRule="auto"/>
              <w:ind w:left="383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梁</w:t>
            </w: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垛河闸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梁垛船闸</w:t>
            </w:r>
          </w:p>
        </w:tc>
        <w:tc>
          <w:tcPr>
            <w:tcW w:w="1392" w:type="dxa"/>
            <w:vAlign w:val="top"/>
          </w:tcPr>
          <w:p>
            <w:pPr>
              <w:spacing w:before="117" w:line="261" w:lineRule="exact"/>
              <w:ind w:left="46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position w:val="-1"/>
                <w:sz w:val="24"/>
                <w:szCs w:val="24"/>
              </w:rPr>
              <w:t>五</w:t>
            </w:r>
            <w:r>
              <w:rPr>
                <w:rFonts w:ascii="微软雅黑" w:eastAsia="微软雅黑" w:hAnsi="微软雅黑" w:cs="微软雅黑"/>
                <w:spacing w:val="-3"/>
                <w:position w:val="-1"/>
                <w:sz w:val="24"/>
                <w:szCs w:val="24"/>
              </w:rPr>
              <w:t>级</w:t>
            </w:r>
          </w:p>
        </w:tc>
        <w:tc>
          <w:tcPr>
            <w:tcW w:w="1667" w:type="dxa"/>
            <w:vAlign w:val="top"/>
          </w:tcPr>
          <w:p>
            <w:pPr>
              <w:spacing w:before="140" w:line="188" w:lineRule="auto"/>
              <w:ind w:left="6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3.3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/>
        </w:trPr>
        <w:tc>
          <w:tcPr>
            <w:tcW w:w="986" w:type="dxa"/>
            <w:vAlign w:val="top"/>
          </w:tcPr>
          <w:p>
            <w:pPr>
              <w:spacing w:before="143" w:line="188" w:lineRule="auto"/>
              <w:ind w:left="4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5" w:type="dxa"/>
            <w:vAlign w:val="top"/>
          </w:tcPr>
          <w:p>
            <w:pPr>
              <w:spacing w:before="92" w:line="198" w:lineRule="auto"/>
              <w:ind w:left="40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何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垛河</w:t>
            </w:r>
          </w:p>
        </w:tc>
        <w:tc>
          <w:tcPr>
            <w:tcW w:w="2723" w:type="dxa"/>
            <w:vAlign w:val="top"/>
          </w:tcPr>
          <w:p>
            <w:pPr>
              <w:spacing w:before="92" w:line="198" w:lineRule="auto"/>
              <w:ind w:left="48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通榆河口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川</w:t>
            </w:r>
            <w:r>
              <w:rPr>
                <w:rFonts w:ascii="微软雅黑" w:eastAsia="微软雅黑" w:hAnsi="微软雅黑" w:cs="微软雅黑"/>
                <w:sz w:val="24"/>
                <w:szCs w:val="24"/>
              </w:rPr>
              <w:t>东港</w:t>
            </w:r>
          </w:p>
        </w:tc>
        <w:tc>
          <w:tcPr>
            <w:tcW w:w="1392" w:type="dxa"/>
            <w:vAlign w:val="top"/>
          </w:tcPr>
          <w:p>
            <w:pPr>
              <w:spacing w:before="119" w:line="261" w:lineRule="exact"/>
              <w:ind w:left="473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6"/>
                <w:position w:val="-1"/>
                <w:sz w:val="24"/>
                <w:szCs w:val="24"/>
              </w:rPr>
              <w:t>六</w:t>
            </w:r>
            <w:r>
              <w:rPr>
                <w:rFonts w:ascii="微软雅黑" w:eastAsia="微软雅黑" w:hAnsi="微软雅黑" w:cs="微软雅黑"/>
                <w:spacing w:val="-4"/>
                <w:position w:val="-1"/>
                <w:sz w:val="24"/>
                <w:szCs w:val="24"/>
              </w:rPr>
              <w:t>级</w:t>
            </w:r>
          </w:p>
        </w:tc>
        <w:tc>
          <w:tcPr>
            <w:tcW w:w="1667" w:type="dxa"/>
            <w:vAlign w:val="top"/>
          </w:tcPr>
          <w:p>
            <w:pPr>
              <w:spacing w:before="142" w:line="188" w:lineRule="auto"/>
              <w:ind w:left="5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24.1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/>
        </w:trPr>
        <w:tc>
          <w:tcPr>
            <w:tcW w:w="986" w:type="dxa"/>
            <w:vAlign w:val="top"/>
          </w:tcPr>
          <w:p>
            <w:pPr>
              <w:spacing w:before="144" w:line="185" w:lineRule="auto"/>
              <w:ind w:left="4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5" w:type="dxa"/>
            <w:vAlign w:val="top"/>
          </w:tcPr>
          <w:p>
            <w:pPr>
              <w:spacing w:before="90" w:line="198" w:lineRule="auto"/>
              <w:ind w:left="44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0"/>
                <w:sz w:val="24"/>
                <w:szCs w:val="24"/>
              </w:rPr>
              <w:t>串场河</w:t>
            </w:r>
          </w:p>
        </w:tc>
        <w:tc>
          <w:tcPr>
            <w:tcW w:w="2723" w:type="dxa"/>
            <w:vAlign w:val="top"/>
          </w:tcPr>
          <w:p>
            <w:pPr>
              <w:spacing w:before="91" w:line="197" w:lineRule="auto"/>
              <w:ind w:left="73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丁</w:t>
            </w: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溪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泰东线</w:t>
            </w:r>
          </w:p>
        </w:tc>
        <w:tc>
          <w:tcPr>
            <w:tcW w:w="1392" w:type="dxa"/>
            <w:vAlign w:val="top"/>
          </w:tcPr>
          <w:p>
            <w:pPr>
              <w:spacing w:before="117" w:line="261" w:lineRule="exact"/>
              <w:ind w:left="46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-1"/>
                <w:sz w:val="24"/>
                <w:szCs w:val="24"/>
              </w:rPr>
              <w:t>七级</w:t>
            </w:r>
          </w:p>
        </w:tc>
        <w:tc>
          <w:tcPr>
            <w:tcW w:w="1667" w:type="dxa"/>
            <w:vAlign w:val="top"/>
          </w:tcPr>
          <w:p>
            <w:pPr>
              <w:spacing w:before="140" w:line="188" w:lineRule="auto"/>
              <w:ind w:left="7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9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/>
        </w:trPr>
        <w:tc>
          <w:tcPr>
            <w:tcW w:w="986" w:type="dxa"/>
            <w:vAlign w:val="top"/>
          </w:tcPr>
          <w:p>
            <w:pPr>
              <w:spacing w:before="140" w:line="188" w:lineRule="auto"/>
              <w:ind w:left="4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5" w:type="dxa"/>
            <w:vAlign w:val="top"/>
          </w:tcPr>
          <w:p>
            <w:pPr>
              <w:spacing w:before="105" w:line="167" w:lineRule="auto"/>
              <w:ind w:left="41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三仓河</w:t>
            </w:r>
          </w:p>
        </w:tc>
        <w:tc>
          <w:tcPr>
            <w:tcW w:w="2723" w:type="dxa"/>
            <w:vAlign w:val="top"/>
          </w:tcPr>
          <w:p>
            <w:pPr>
              <w:spacing w:before="90" w:line="198" w:lineRule="auto"/>
              <w:ind w:left="622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6"/>
                <w:sz w:val="24"/>
                <w:szCs w:val="24"/>
              </w:rPr>
              <w:t>弶</w:t>
            </w: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港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安丰船闸</w:t>
            </w:r>
          </w:p>
        </w:tc>
        <w:tc>
          <w:tcPr>
            <w:tcW w:w="1392" w:type="dxa"/>
            <w:vAlign w:val="top"/>
          </w:tcPr>
          <w:p>
            <w:pPr>
              <w:spacing w:before="117" w:line="261" w:lineRule="exact"/>
              <w:ind w:left="46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-1"/>
                <w:sz w:val="24"/>
                <w:szCs w:val="24"/>
              </w:rPr>
              <w:t>七级</w:t>
            </w:r>
          </w:p>
        </w:tc>
        <w:tc>
          <w:tcPr>
            <w:tcW w:w="1667" w:type="dxa"/>
            <w:vAlign w:val="top"/>
          </w:tcPr>
          <w:p>
            <w:pPr>
              <w:spacing w:before="140" w:line="188" w:lineRule="auto"/>
              <w:ind w:left="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86" w:type="dxa"/>
            <w:vAlign w:val="top"/>
          </w:tcPr>
          <w:p>
            <w:pPr>
              <w:spacing w:before="144" w:line="185" w:lineRule="auto"/>
              <w:ind w:left="4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5" w:type="dxa"/>
            <w:vAlign w:val="top"/>
          </w:tcPr>
          <w:p>
            <w:pPr>
              <w:spacing w:before="91" w:line="198" w:lineRule="auto"/>
              <w:ind w:left="411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安时河</w:t>
            </w:r>
          </w:p>
        </w:tc>
        <w:tc>
          <w:tcPr>
            <w:tcW w:w="2723" w:type="dxa"/>
            <w:vAlign w:val="top"/>
          </w:tcPr>
          <w:p>
            <w:pPr>
              <w:spacing w:before="90" w:line="198" w:lineRule="auto"/>
              <w:ind w:left="84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"/>
                <w:sz w:val="24"/>
                <w:szCs w:val="24"/>
              </w:rPr>
              <w:t>安丰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z w:val="24"/>
                <w:szCs w:val="24"/>
              </w:rPr>
              <w:t>时堰</w:t>
            </w:r>
          </w:p>
        </w:tc>
        <w:tc>
          <w:tcPr>
            <w:tcW w:w="1392" w:type="dxa"/>
            <w:vAlign w:val="top"/>
          </w:tcPr>
          <w:p>
            <w:pPr>
              <w:spacing w:before="117" w:line="261" w:lineRule="exact"/>
              <w:ind w:left="46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-1"/>
                <w:sz w:val="24"/>
                <w:szCs w:val="24"/>
              </w:rPr>
              <w:t>七级</w:t>
            </w:r>
          </w:p>
        </w:tc>
        <w:tc>
          <w:tcPr>
            <w:tcW w:w="1667" w:type="dxa"/>
            <w:vAlign w:val="top"/>
          </w:tcPr>
          <w:p>
            <w:pPr>
              <w:spacing w:before="141" w:line="188" w:lineRule="auto"/>
              <w:ind w:left="5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21.8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/>
        </w:trPr>
        <w:tc>
          <w:tcPr>
            <w:tcW w:w="986" w:type="dxa"/>
            <w:vAlign w:val="top"/>
          </w:tcPr>
          <w:p>
            <w:pPr>
              <w:spacing w:before="142" w:line="188" w:lineRule="auto"/>
              <w:ind w:left="4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5" w:type="dxa"/>
            <w:vAlign w:val="top"/>
          </w:tcPr>
          <w:p>
            <w:pPr>
              <w:spacing w:before="92" w:line="198" w:lineRule="auto"/>
              <w:ind w:left="415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潘</w:t>
            </w: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堡</w:t>
            </w: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河</w:t>
            </w:r>
          </w:p>
        </w:tc>
        <w:tc>
          <w:tcPr>
            <w:tcW w:w="2723" w:type="dxa"/>
            <w:vAlign w:val="top"/>
          </w:tcPr>
          <w:p>
            <w:pPr>
              <w:spacing w:before="91" w:line="197" w:lineRule="auto"/>
              <w:ind w:left="492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三仓镇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方塘河桥</w:t>
            </w:r>
          </w:p>
        </w:tc>
        <w:tc>
          <w:tcPr>
            <w:tcW w:w="1392" w:type="dxa"/>
            <w:vAlign w:val="top"/>
          </w:tcPr>
          <w:p>
            <w:pPr>
              <w:spacing w:before="118" w:line="261" w:lineRule="exact"/>
              <w:ind w:left="46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-1"/>
                <w:sz w:val="24"/>
                <w:szCs w:val="24"/>
              </w:rPr>
              <w:t>七级</w:t>
            </w:r>
          </w:p>
        </w:tc>
        <w:tc>
          <w:tcPr>
            <w:tcW w:w="1667" w:type="dxa"/>
            <w:vAlign w:val="top"/>
          </w:tcPr>
          <w:p>
            <w:pPr>
              <w:spacing w:before="142" w:line="188" w:lineRule="auto"/>
              <w:ind w:left="6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/>
        </w:trPr>
        <w:tc>
          <w:tcPr>
            <w:tcW w:w="986" w:type="dxa"/>
            <w:vAlign w:val="top"/>
          </w:tcPr>
          <w:p>
            <w:pPr>
              <w:spacing w:before="142" w:line="188" w:lineRule="auto"/>
              <w:ind w:left="4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5" w:type="dxa"/>
            <w:vAlign w:val="top"/>
          </w:tcPr>
          <w:p>
            <w:pPr>
              <w:spacing w:before="108" w:line="166" w:lineRule="auto"/>
              <w:ind w:left="422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5"/>
                <w:sz w:val="24"/>
                <w:szCs w:val="24"/>
              </w:rPr>
              <w:t>丁</w:t>
            </w: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堡河</w:t>
            </w:r>
          </w:p>
        </w:tc>
        <w:tc>
          <w:tcPr>
            <w:tcW w:w="2723" w:type="dxa"/>
            <w:vAlign w:val="top"/>
          </w:tcPr>
          <w:p>
            <w:pPr>
              <w:spacing w:before="92" w:line="197" w:lineRule="auto"/>
              <w:ind w:left="37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丁堡南闸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方塘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河桥</w:t>
            </w:r>
          </w:p>
        </w:tc>
        <w:tc>
          <w:tcPr>
            <w:tcW w:w="1392" w:type="dxa"/>
            <w:vAlign w:val="top"/>
          </w:tcPr>
          <w:p>
            <w:pPr>
              <w:spacing w:before="119" w:line="261" w:lineRule="exact"/>
              <w:ind w:left="46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-1"/>
                <w:sz w:val="24"/>
                <w:szCs w:val="24"/>
              </w:rPr>
              <w:t>七级</w:t>
            </w:r>
          </w:p>
        </w:tc>
        <w:tc>
          <w:tcPr>
            <w:tcW w:w="1667" w:type="dxa"/>
            <w:vAlign w:val="top"/>
          </w:tcPr>
          <w:p>
            <w:pPr>
              <w:spacing w:before="142" w:line="188" w:lineRule="auto"/>
              <w:ind w:left="7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/>
        </w:trPr>
        <w:tc>
          <w:tcPr>
            <w:tcW w:w="986" w:type="dxa"/>
            <w:vAlign w:val="top"/>
          </w:tcPr>
          <w:p>
            <w:pPr>
              <w:spacing w:before="142" w:line="188" w:lineRule="auto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0</w:t>
            </w:r>
          </w:p>
        </w:tc>
        <w:tc>
          <w:tcPr>
            <w:tcW w:w="1535" w:type="dxa"/>
            <w:vAlign w:val="top"/>
          </w:tcPr>
          <w:p>
            <w:pPr>
              <w:spacing w:before="92" w:line="197" w:lineRule="auto"/>
              <w:ind w:left="40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梓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辛河</w:t>
            </w:r>
          </w:p>
        </w:tc>
        <w:tc>
          <w:tcPr>
            <w:tcW w:w="2723" w:type="dxa"/>
            <w:vAlign w:val="top"/>
          </w:tcPr>
          <w:p>
            <w:pPr>
              <w:spacing w:before="92" w:line="197" w:lineRule="auto"/>
              <w:ind w:left="372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五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烈三角圩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乌金垛</w:t>
            </w:r>
          </w:p>
        </w:tc>
        <w:tc>
          <w:tcPr>
            <w:tcW w:w="1392" w:type="dxa"/>
            <w:vAlign w:val="top"/>
          </w:tcPr>
          <w:p>
            <w:pPr>
              <w:spacing w:before="119" w:line="261" w:lineRule="exact"/>
              <w:ind w:left="46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-1"/>
                <w:sz w:val="24"/>
                <w:szCs w:val="24"/>
              </w:rPr>
              <w:t>七级</w:t>
            </w:r>
          </w:p>
        </w:tc>
        <w:tc>
          <w:tcPr>
            <w:tcW w:w="1667" w:type="dxa"/>
            <w:vAlign w:val="top"/>
          </w:tcPr>
          <w:p>
            <w:pPr>
              <w:spacing w:before="142" w:line="188" w:lineRule="auto"/>
              <w:ind w:left="6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9.5</w:t>
            </w:r>
          </w:p>
        </w:tc>
      </w:tr>
      <w:tr>
        <w:tblPrEx>
          <w:tblW w:w="8303" w:type="dxa"/>
          <w:tblInd w:w="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</w:trPr>
        <w:tc>
          <w:tcPr>
            <w:tcW w:w="986" w:type="dxa"/>
            <w:vAlign w:val="top"/>
          </w:tcPr>
          <w:p>
            <w:pPr>
              <w:spacing w:before="145" w:line="188" w:lineRule="auto"/>
              <w:ind w:left="4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</w:t>
            </w:r>
          </w:p>
        </w:tc>
        <w:tc>
          <w:tcPr>
            <w:tcW w:w="1535" w:type="dxa"/>
            <w:vAlign w:val="top"/>
          </w:tcPr>
          <w:p>
            <w:pPr>
              <w:spacing w:before="95" w:line="198" w:lineRule="auto"/>
              <w:ind w:left="442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1"/>
                <w:sz w:val="24"/>
                <w:szCs w:val="24"/>
              </w:rPr>
              <w:t>东</w:t>
            </w:r>
            <w:r>
              <w:rPr>
                <w:rFonts w:ascii="微软雅黑" w:eastAsia="微软雅黑" w:hAnsi="微软雅黑" w:cs="微软雅黑"/>
                <w:spacing w:val="-8"/>
                <w:sz w:val="24"/>
                <w:szCs w:val="24"/>
              </w:rPr>
              <w:t>台河</w:t>
            </w:r>
          </w:p>
        </w:tc>
        <w:tc>
          <w:tcPr>
            <w:tcW w:w="2723" w:type="dxa"/>
            <w:vAlign w:val="top"/>
          </w:tcPr>
          <w:p>
            <w:pPr>
              <w:spacing w:before="96" w:line="197" w:lineRule="auto"/>
              <w:ind w:left="492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川水港闸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梁</w:t>
            </w:r>
            <w:r>
              <w:rPr>
                <w:rFonts w:ascii="微软雅黑" w:eastAsia="微软雅黑" w:hAnsi="微软雅黑" w:cs="微软雅黑"/>
                <w:sz w:val="24"/>
                <w:szCs w:val="24"/>
              </w:rPr>
              <w:t>垛河</w:t>
            </w:r>
          </w:p>
        </w:tc>
        <w:tc>
          <w:tcPr>
            <w:tcW w:w="1392" w:type="dxa"/>
            <w:vAlign w:val="top"/>
          </w:tcPr>
          <w:p>
            <w:pPr>
              <w:spacing w:before="122" w:line="261" w:lineRule="exact"/>
              <w:ind w:left="46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position w:val="-1"/>
                <w:sz w:val="24"/>
                <w:szCs w:val="24"/>
              </w:rPr>
              <w:t>七级</w:t>
            </w:r>
          </w:p>
        </w:tc>
        <w:tc>
          <w:tcPr>
            <w:tcW w:w="1667" w:type="dxa"/>
            <w:vAlign w:val="top"/>
          </w:tcPr>
          <w:p>
            <w:pPr>
              <w:spacing w:before="145" w:line="188" w:lineRule="auto"/>
              <w:ind w:left="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</w:tbl>
    <w:p>
      <w:pPr>
        <w:spacing w:line="245" w:lineRule="auto"/>
      </w:pPr>
    </w:p>
    <w:p>
      <w:pPr>
        <w:spacing w:line="245" w:lineRule="auto"/>
      </w:pPr>
    </w:p>
    <w:p>
      <w:pPr>
        <w:spacing w:before="133" w:line="272" w:lineRule="auto"/>
        <w:ind w:left="29" w:firstLine="62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"/>
          <w:sz w:val="31"/>
          <w:szCs w:val="31"/>
        </w:rPr>
        <w:t>“十四五”期间，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  东台市将落实《江苏省干线航道网规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划(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2017-2035 </w:t>
      </w:r>
      <w:r>
        <w:rPr>
          <w:rFonts w:ascii="微软雅黑" w:eastAsia="微软雅黑" w:hAnsi="微软雅黑" w:cs="微软雅黑"/>
          <w:sz w:val="31"/>
          <w:szCs w:val="31"/>
        </w:rPr>
        <w:t xml:space="preserve">)》规划，  提升兴东线为三级航道，  实现与京   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杭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运河直接连通，减少绕行。升级改造丁堡河(市界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-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方塘河)</w:t>
      </w:r>
      <w:r>
        <w:rPr>
          <w:rFonts w:ascii="微软雅黑" w:eastAsia="微软雅黑" w:hAnsi="微软雅黑" w:cs="微软雅黑"/>
          <w:sz w:val="31"/>
          <w:szCs w:val="31"/>
        </w:rPr>
        <w:t xml:space="preserve">    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为五级航道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，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  与海安境内航道贯通，  打通东台与通扬运河和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长江的航运通道，  强化与南通港的联系。  构建“两横三纵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”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骨架航道网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。</w:t>
      </w:r>
    </w:p>
    <w:p>
      <w:pPr>
        <w:sectPr>
          <w:footerReference w:type="default" r:id="rId22"/>
          <w:pgSz w:w="11907" w:h="16839"/>
          <w:pgMar w:top="1431" w:right="1488" w:bottom="1255" w:left="1785" w:header="0" w:footer="980" w:gutter="0"/>
          <w:pgNumType w:start="12"/>
          <w:cols w:num="1" w:space="720"/>
        </w:sectPr>
      </w:pPr>
    </w:p>
    <w:p>
      <w:pPr>
        <w:spacing w:before="188" w:line="7468" w:lineRule="exact"/>
        <w:ind w:firstLine="14"/>
        <w:textAlignment w:val="center"/>
      </w:pPr>
      <w:r>
        <w:drawing>
          <wp:inline distT="0" distB="0" distL="0" distR="0">
            <wp:extent cx="5273675" cy="474154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4742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2" w:line="197" w:lineRule="auto"/>
        <w:ind w:left="251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4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2-5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pacing w:val="-2"/>
          <w:sz w:val="24"/>
          <w:szCs w:val="24"/>
        </w:rPr>
        <w:t>江苏省干线航道网规划图</w:t>
      </w:r>
    </w:p>
    <w:p>
      <w:pPr>
        <w:spacing w:line="249" w:lineRule="auto"/>
      </w:pPr>
    </w:p>
    <w:p>
      <w:pPr>
        <w:spacing w:line="250" w:lineRule="auto"/>
      </w:pPr>
    </w:p>
    <w:p>
      <w:pPr>
        <w:spacing w:before="133" w:line="271" w:lineRule="auto"/>
        <w:ind w:left="33" w:firstLine="67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30"/>
          <w:sz w:val="31"/>
          <w:szCs w:val="31"/>
        </w:rPr>
        <w:t>园</w:t>
      </w:r>
      <w:r>
        <w:rPr>
          <w:rFonts w:ascii="微软雅黑" w:eastAsia="微软雅黑" w:hAnsi="微软雅黑" w:cs="微软雅黑"/>
          <w:spacing w:val="20"/>
          <w:sz w:val="31"/>
          <w:szCs w:val="31"/>
        </w:rPr>
        <w:t>区东侧为通榆河三级航道和规划中的东台港区中心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作业区，  航道可满足千吨级内河船舶通行，  规划港口年通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过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能力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480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万吨。港口建设后，  园区通过省干线航</w:t>
      </w:r>
      <w:r>
        <w:rPr>
          <w:rFonts w:ascii="微软雅黑" w:eastAsia="微软雅黑" w:hAnsi="微软雅黑" w:cs="微软雅黑"/>
          <w:sz w:val="31"/>
          <w:szCs w:val="31"/>
        </w:rPr>
        <w:t xml:space="preserve">道网可实现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与连云港港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、南通港、上海港等沿江沿海港口的江海河联运。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通过规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划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建设的兴东线直接连接京杭运河，  实现与淮安港、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徐州港等内河港口的水运连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接，  通过梁垛河实现对东台沿海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开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发区大健康等产业的辐射带动作用。</w:t>
      </w:r>
    </w:p>
    <w:p>
      <w:pPr>
        <w:sectPr>
          <w:footerReference w:type="default" r:id="rId24"/>
          <w:pgSz w:w="11907" w:h="16839"/>
          <w:pgMar w:top="1431" w:right="1684" w:bottom="1255" w:left="1785" w:header="0" w:footer="980" w:gutter="0"/>
          <w:pgNumType w:start="13"/>
          <w:cols w:num="1" w:space="720"/>
        </w:sectPr>
      </w:pPr>
    </w:p>
    <w:p>
      <w:pPr>
        <w:spacing w:before="206" w:line="202" w:lineRule="auto"/>
        <w:ind w:left="737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三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16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铁路条件</w:t>
      </w:r>
    </w:p>
    <w:p>
      <w:pPr>
        <w:spacing w:before="138" w:line="266" w:lineRule="auto"/>
        <w:ind w:left="35" w:right="166" w:firstLine="64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东台境内现有</w:t>
      </w:r>
      <w:r>
        <w:rPr>
          <w:rFonts w:ascii="微软雅黑" w:eastAsia="微软雅黑" w:hAnsi="微软雅黑" w:cs="微软雅黑"/>
          <w:sz w:val="31"/>
          <w:szCs w:val="31"/>
        </w:rPr>
        <w:t xml:space="preserve">新长铁路，北与陇海铁路、胶新铁路相通，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 xml:space="preserve">南与沪宁铁路、宣杭铁路相连，  在海安与宁启铁路相接，  </w:t>
      </w:r>
      <w:r>
        <w:rPr>
          <w:rFonts w:ascii="微软雅黑" w:eastAsia="微软雅黑" w:hAnsi="微软雅黑" w:cs="微软雅黑"/>
          <w:sz w:val="31"/>
          <w:szCs w:val="31"/>
        </w:rPr>
        <w:t xml:space="preserve">设 </w:t>
      </w:r>
      <w:r>
        <w:rPr>
          <w:rFonts w:ascii="微软雅黑" w:eastAsia="微软雅黑" w:hAnsi="微软雅黑" w:cs="微软雅黑"/>
          <w:spacing w:val="-14"/>
          <w:sz w:val="31"/>
          <w:szCs w:val="31"/>
        </w:rPr>
        <w:t>计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速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度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120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千米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>/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小时，  是贯穿江苏南北的一条干线通道，  实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现东台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与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长三角乃至全国铁路网的连接，  便捷东台与省内、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>浙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江、山东等省的物资运输。</w:t>
      </w:r>
    </w:p>
    <w:p>
      <w:pPr>
        <w:spacing w:before="1" w:line="266" w:lineRule="auto"/>
        <w:ind w:left="34" w:firstLine="63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根据规划，  东台市“十四五”期间新建内河</w:t>
      </w:r>
      <w:r>
        <w:rPr>
          <w:rFonts w:ascii="微软雅黑" w:eastAsia="微软雅黑" w:hAnsi="微软雅黑" w:cs="微软雅黑"/>
          <w:sz w:val="31"/>
          <w:szCs w:val="31"/>
        </w:rPr>
        <w:t xml:space="preserve">港中心作业  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区铁路支线，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  园区内将建设铁路货运站，  实现园区铁路、公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路、水路的有效衔接，  丰富园区多式联运业态，  加速园区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形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成东台生产性物流集散中心，  </w:t>
      </w:r>
      <w:r>
        <w:rPr>
          <w:rFonts w:ascii="微软雅黑" w:eastAsia="微软雅黑" w:hAnsi="微软雅黑" w:cs="微软雅黑"/>
          <w:sz w:val="31"/>
          <w:szCs w:val="31"/>
        </w:rPr>
        <w:t>同时助力园区更好地受到盐城、</w:t>
      </w:r>
    </w:p>
    <w:p>
      <w:pPr>
        <w:spacing w:before="1" w:line="206" w:lineRule="auto"/>
        <w:ind w:left="3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"/>
          <w:sz w:val="31"/>
          <w:szCs w:val="31"/>
        </w:rPr>
        <w:t>上海、南京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等城市辐射带动， 推动园区融入长三角物流网络。</w:t>
      </w:r>
    </w:p>
    <w:p>
      <w:pPr>
        <w:spacing w:before="105" w:line="4883" w:lineRule="exact"/>
        <w:ind w:firstLine="387"/>
        <w:textAlignment w:val="center"/>
      </w:pPr>
      <w:r>
        <w:drawing>
          <wp:inline distT="0" distB="0" distL="0" distR="0">
            <wp:extent cx="4797425" cy="310007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97425" cy="310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2" w:line="197" w:lineRule="auto"/>
        <w:ind w:left="215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4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2-6  </w:t>
      </w:r>
      <w:r>
        <w:rPr>
          <w:rFonts w:ascii="微软雅黑" w:eastAsia="微软雅黑" w:hAnsi="微软雅黑" w:cs="微软雅黑"/>
          <w:spacing w:val="-2"/>
          <w:sz w:val="24"/>
          <w:szCs w:val="24"/>
        </w:rPr>
        <w:t>东台市“两横两纵一射”铁路网</w:t>
      </w:r>
    </w:p>
    <w:p>
      <w:pPr>
        <w:spacing w:before="206" w:line="202" w:lineRule="auto"/>
        <w:ind w:left="742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四</w:t>
      </w:r>
      <w:r>
        <w:rPr>
          <w:rFonts w:ascii="微软雅黑" w:eastAsia="微软雅黑" w:hAnsi="微软雅黑" w:cs="微软雅黑"/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、航空条件</w:t>
      </w:r>
    </w:p>
    <w:p>
      <w:pPr>
        <w:spacing w:before="137" w:line="274" w:lineRule="auto"/>
        <w:ind w:left="51" w:right="282" w:firstLine="62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"/>
          <w:sz w:val="31"/>
          <w:szCs w:val="31"/>
        </w:rPr>
        <w:t>东台市地处盐城、泰州、南通三市交界区域，  可</w:t>
      </w:r>
      <w:r>
        <w:rPr>
          <w:rFonts w:ascii="微软雅黑" w:eastAsia="微软雅黑" w:hAnsi="微软雅黑" w:cs="微软雅黑"/>
          <w:sz w:val="31"/>
          <w:szCs w:val="31"/>
        </w:rPr>
        <w:t xml:space="preserve">实现 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1-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 xml:space="preserve">1.5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小时通达盐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城南洋、南通兴东和扬泰机场， 可满足东台市</w:t>
      </w:r>
    </w:p>
    <w:p>
      <w:pPr>
        <w:sectPr>
          <w:footerReference w:type="default" r:id="rId26"/>
          <w:pgSz w:w="11907" w:h="16839"/>
          <w:pgMar w:top="1431" w:right="1517" w:bottom="1255" w:left="1785" w:header="0" w:footer="980" w:gutter="0"/>
          <w:pgNumType w:start="14"/>
          <w:cols w:num="1" w:space="720"/>
        </w:sectPr>
      </w:pPr>
    </w:p>
    <w:p>
      <w:pPr>
        <w:spacing w:before="199" w:line="207" w:lineRule="auto"/>
        <w:ind w:left="6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1"/>
          <w:sz w:val="31"/>
          <w:szCs w:val="31"/>
        </w:rPr>
        <w:t>电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子信息产业高价值产品的快速运输需求。</w:t>
      </w:r>
    </w:p>
    <w:p>
      <w:pPr>
        <w:spacing w:before="30" w:line="4170" w:lineRule="exact"/>
        <w:ind w:firstLine="654"/>
        <w:textAlignment w:val="center"/>
      </w:pPr>
      <w:r>
        <w:drawing>
          <wp:inline distT="0" distB="0" distL="0" distR="0">
            <wp:extent cx="4054475" cy="264795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55109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8" w:line="197" w:lineRule="auto"/>
        <w:ind w:left="239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4"/>
          <w:sz w:val="24"/>
          <w:szCs w:val="24"/>
        </w:rPr>
        <w:t xml:space="preserve">图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2-7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</w:t>
      </w:r>
      <w:r>
        <w:rPr>
          <w:rFonts w:ascii="微软雅黑" w:eastAsia="微软雅黑" w:hAnsi="微软雅黑" w:cs="微软雅黑"/>
          <w:spacing w:val="-2"/>
          <w:sz w:val="24"/>
          <w:szCs w:val="24"/>
        </w:rPr>
        <w:t>东台市周边机场位置示意图</w:t>
      </w:r>
    </w:p>
    <w:p>
      <w:pPr>
        <w:spacing w:line="241" w:lineRule="auto"/>
      </w:pPr>
    </w:p>
    <w:p>
      <w:pPr>
        <w:spacing w:line="241" w:lineRule="auto"/>
      </w:pPr>
    </w:p>
    <w:p>
      <w:pPr>
        <w:spacing w:line="241" w:lineRule="auto"/>
      </w:pPr>
    </w:p>
    <w:p>
      <w:pPr>
        <w:spacing w:before="133" w:line="202" w:lineRule="auto"/>
        <w:ind w:left="2670"/>
        <w:rPr>
          <w:rFonts w:ascii="微软雅黑" w:eastAsia="微软雅黑" w:hAnsi="微软雅黑" w:cs="微软雅黑"/>
          <w:sz w:val="31"/>
          <w:szCs w:val="31"/>
        </w:rPr>
      </w:pPr>
      <w:bookmarkStart w:id="19" w:name="_bookmark19"/>
      <w:bookmarkEnd w:id="19"/>
      <w:bookmarkStart w:id="20" w:name="_bookmark20"/>
      <w:bookmarkEnd w:id="20"/>
      <w:r>
        <w:rPr>
          <w:rFonts w:ascii="微软雅黑" w:eastAsia="微软雅黑" w:hAnsi="微软雅黑" w:cs="微软雅黑"/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三节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经济产业条件</w:t>
      </w:r>
    </w:p>
    <w:p>
      <w:pPr>
        <w:spacing w:before="352" w:line="267" w:lineRule="auto"/>
        <w:ind w:left="36" w:right="14" w:firstLine="64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东台市现状经济产业基础雄厚，</w:t>
      </w:r>
      <w:r>
        <w:rPr>
          <w:rFonts w:ascii="微软雅黑" w:eastAsia="微软雅黑" w:hAnsi="微软雅黑" w:cs="微软雅黑"/>
          <w:sz w:val="31"/>
          <w:szCs w:val="31"/>
        </w:rPr>
        <w:t xml:space="preserve">  规划“十四五”末四大 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>先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进制造业产值达 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 xml:space="preserve">1700 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亿， 产业质效不断提高， 将拉动东台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市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生产性物流需求快速增长。</w:t>
      </w:r>
    </w:p>
    <w:p>
      <w:pPr>
        <w:spacing w:before="2" w:line="201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微软雅黑" w:eastAsia="微软雅黑" w:hAnsi="微软雅黑" w:cs="微软雅黑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、发展现状</w:t>
      </w:r>
    </w:p>
    <w:p>
      <w:pPr>
        <w:tabs>
          <w:tab w:val="left" w:pos="160"/>
        </w:tabs>
        <w:spacing w:before="140" w:line="265" w:lineRule="auto"/>
        <w:ind w:left="5" w:right="28" w:firstLine="65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"/>
          <w:sz w:val="31"/>
          <w:szCs w:val="31"/>
        </w:rPr>
        <w:t>城市综合实力加速跃升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。 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2020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年，东台市实现地区生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 xml:space="preserve">产总值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 xml:space="preserve">890 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 xml:space="preserve">亿元，  同比增长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5.5%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，“十三五”期间地区生产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总值连上两个百亿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级台阶，  连年跻身全国县域经济百强县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z w:val="31"/>
          <w:szCs w:val="31"/>
        </w:rPr>
        <w:tab/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(市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)。现状产业结构不断优化。  二三产业增加值占地区生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产总值比重由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84.9%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增加至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87%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。规上工业增加值同比增长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8.5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%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 xml:space="preserve">。全社会研发投入占地区生产总值比重达 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2.5%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。被表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0"/>
          <w:sz w:val="31"/>
          <w:szCs w:val="31"/>
        </w:rPr>
        <w:t>彰</w:t>
      </w:r>
      <w:r>
        <w:rPr>
          <w:rFonts w:ascii="微软雅黑" w:eastAsia="微软雅黑" w:hAnsi="微软雅黑" w:cs="微软雅黑"/>
          <w:spacing w:val="22"/>
          <w:sz w:val="31"/>
          <w:szCs w:val="31"/>
        </w:rPr>
        <w:t>为省首批推进高质量发展先进县(市、区)。</w:t>
      </w:r>
    </w:p>
    <w:p>
      <w:pPr>
        <w:spacing w:before="1" w:line="206" w:lineRule="auto"/>
        <w:ind w:left="666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7"/>
          <w:sz w:val="31"/>
          <w:szCs w:val="31"/>
        </w:rPr>
        <w:t>制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造业综合实力稳步提升。工业总量和产业能级全面</w:t>
      </w:r>
    </w:p>
    <w:p>
      <w:pPr>
        <w:sectPr>
          <w:footerReference w:type="default" r:id="rId28"/>
          <w:pgSz w:w="11907" w:h="16839"/>
          <w:pgMar w:top="1431" w:right="1785" w:bottom="1255" w:left="1785" w:header="0" w:footer="980" w:gutter="0"/>
          <w:pgNumType w:start="15"/>
          <w:cols w:num="1" w:space="720"/>
        </w:sectPr>
      </w:pPr>
    </w:p>
    <w:p>
      <w:pPr>
        <w:spacing w:before="187" w:line="258" w:lineRule="auto"/>
        <w:ind w:left="17" w:right="57" w:firstLine="1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8"/>
          <w:sz w:val="31"/>
          <w:szCs w:val="31"/>
        </w:rPr>
        <w:t>提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>升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，  工业经济总量跃上千亿元新台阶。  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 xml:space="preserve">2020 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年全口径工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业开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票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销售达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1170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亿元，是“十二五”末的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1.8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倍，年均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>增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 xml:space="preserve">长 </w:t>
      </w: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12.4%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，规模总量位居盐城第二。其中规上工业开票销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4"/>
          <w:sz w:val="31"/>
          <w:szCs w:val="31"/>
        </w:rPr>
        <w:t xml:space="preserve">售 </w:t>
      </w:r>
      <w:r>
        <w:rPr>
          <w:rFonts w:ascii="Times New Roman" w:eastAsia="Times New Roman" w:hAnsi="Times New Roman" w:cs="Times New Roman"/>
          <w:spacing w:val="-14"/>
          <w:sz w:val="31"/>
          <w:szCs w:val="31"/>
        </w:rPr>
        <w:t>73</w:t>
      </w:r>
      <w:r>
        <w:rPr>
          <w:rFonts w:ascii="Times New Roman" w:eastAsia="Times New Roman" w:hAnsi="Times New Roman" w:cs="Times New Roman"/>
          <w:spacing w:val="-13"/>
          <w:sz w:val="31"/>
          <w:szCs w:val="31"/>
        </w:rPr>
        <w:t>8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.6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亿元，  是 “十二五”末的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1.6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倍，  年均增长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9.7%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。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 xml:space="preserve">新开工亿元以上项目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218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 xml:space="preserve">个， 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5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亿元以上重点</w:t>
      </w:r>
      <w:r>
        <w:rPr>
          <w:rFonts w:ascii="微软雅黑" w:eastAsia="微软雅黑" w:hAnsi="微软雅黑" w:cs="微软雅黑"/>
          <w:sz w:val="31"/>
          <w:szCs w:val="31"/>
        </w:rPr>
        <w:t xml:space="preserve">项目 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42 </w:t>
      </w:r>
      <w:r>
        <w:rPr>
          <w:rFonts w:ascii="微软雅黑" w:eastAsia="微软雅黑" w:hAnsi="微软雅黑" w:cs="微软雅黑"/>
          <w:sz w:val="31"/>
          <w:szCs w:val="31"/>
        </w:rPr>
        <w:t xml:space="preserve">个，  </w:t>
      </w:r>
      <w:r>
        <w:rPr>
          <w:rFonts w:ascii="Times New Roman" w:eastAsia="Times New Roman" w:hAnsi="Times New Roman" w:cs="Times New Roman"/>
          <w:spacing w:val="-12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spacing w:val="-11"/>
          <w:sz w:val="31"/>
          <w:szCs w:val="31"/>
        </w:rPr>
        <w:t>0</w:t>
      </w:r>
      <w:r>
        <w:rPr>
          <w:rFonts w:ascii="Times New Roman" w:eastAsia="Times New Roman" w:hAnsi="Times New Roman" w:cs="Times New Roman"/>
          <w:spacing w:val="-6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 xml:space="preserve">亿元以上项 目 </w:t>
      </w:r>
      <w:r>
        <w:rPr>
          <w:rFonts w:ascii="Times New Roman" w:eastAsia="Times New Roman" w:hAnsi="Times New Roman" w:cs="Times New Roman"/>
          <w:spacing w:val="-6"/>
          <w:sz w:val="31"/>
          <w:szCs w:val="31"/>
        </w:rPr>
        <w:t xml:space="preserve">21 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 xml:space="preserve">个，  完成工业投资 </w:t>
      </w:r>
      <w:r>
        <w:rPr>
          <w:rFonts w:ascii="Times New Roman" w:eastAsia="Times New Roman" w:hAnsi="Times New Roman" w:cs="Times New Roman"/>
          <w:spacing w:val="-6"/>
          <w:sz w:val="31"/>
          <w:szCs w:val="31"/>
        </w:rPr>
        <w:t xml:space="preserve">1600 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>亿元以上，  是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“十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二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五”末工业投资的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1.5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倍。</w:t>
      </w:r>
    </w:p>
    <w:p>
      <w:pPr>
        <w:spacing w:before="11" w:line="266" w:lineRule="auto"/>
        <w:ind w:left="33" w:right="55" w:firstLine="64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9"/>
          <w:sz w:val="31"/>
          <w:szCs w:val="31"/>
        </w:rPr>
        <w:t>四大主导产业格局基本成形。全市积极承接产业高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位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转移，形成电子信息、高端装备、新材料、大健康四大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主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导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产业，  完成全口径开票销售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750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亿元，占规上工业全口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 xml:space="preserve">径开票销售额的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>67.9%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。其中，  电子信息、高端装备、新材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 xml:space="preserve">料、大健康产业开票销售分别达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203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亿元、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194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亿元、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23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亿元、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 xml:space="preserve">96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 xml:space="preserve">亿元，   四大主导产业拥有规上企业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22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家，占全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>市规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上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 xml:space="preserve">企业总数的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62.9%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，成为推动东台市制造业高质量发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展的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主导力量。</w:t>
      </w:r>
    </w:p>
    <w:p>
      <w:pPr>
        <w:spacing w:before="1" w:line="201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16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发展规划</w:t>
      </w:r>
    </w:p>
    <w:p>
      <w:pPr>
        <w:spacing w:before="140" w:line="266" w:lineRule="auto"/>
        <w:ind w:left="34" w:right="55" w:firstLine="63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9"/>
          <w:sz w:val="31"/>
          <w:szCs w:val="31"/>
        </w:rPr>
        <w:t>根据《东台市国民经济和社会发展第十四个五年规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划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和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二〇三五年远景目标纲要》，东台市到 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 xml:space="preserve">2025 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年，  地区生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产总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值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达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1200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亿元，年均增长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6.5%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以上。全市制造业发展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规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模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质效大幅提升，工业开票销售突破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2000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亿元，年均增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 xml:space="preserve">长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2%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以上，工业增加值占 </w:t>
      </w:r>
      <w:r>
        <w:rPr>
          <w:rFonts w:ascii="Times New Roman" w:eastAsia="Times New Roman" w:hAnsi="Times New Roman" w:cs="Times New Roman"/>
          <w:sz w:val="31"/>
          <w:szCs w:val="31"/>
        </w:rPr>
        <w:t>GDP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比重达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>35%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。</w:t>
      </w:r>
    </w:p>
    <w:p>
      <w:pPr>
        <w:spacing w:before="2" w:line="283" w:lineRule="auto"/>
        <w:ind w:left="34" w:right="15" w:firstLine="66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"/>
          <w:sz w:val="31"/>
          <w:szCs w:val="31"/>
        </w:rPr>
        <w:t>电子信息产业。  重</w:t>
      </w:r>
      <w:r>
        <w:rPr>
          <w:rFonts w:ascii="微软雅黑" w:eastAsia="微软雅黑" w:hAnsi="微软雅黑" w:cs="微软雅黑"/>
          <w:sz w:val="31"/>
          <w:szCs w:val="31"/>
        </w:rPr>
        <w:t xml:space="preserve">点发展 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5G  </w:t>
      </w:r>
      <w:r>
        <w:rPr>
          <w:rFonts w:ascii="微软雅黑" w:eastAsia="微软雅黑" w:hAnsi="微软雅黑" w:cs="微软雅黑"/>
          <w:sz w:val="31"/>
          <w:szCs w:val="31"/>
        </w:rPr>
        <w:t xml:space="preserve">网络、新型显示、智能终 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>端、汽车电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子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、物联网、人工智能等。推动产业链前伸后延，</w:t>
      </w:r>
    </w:p>
    <w:p>
      <w:pPr>
        <w:sectPr>
          <w:footerReference w:type="default" r:id="rId29"/>
          <w:pgSz w:w="11907" w:h="16839"/>
          <w:pgMar w:top="1431" w:right="1785" w:bottom="1255" w:left="1785" w:header="0" w:footer="980" w:gutter="0"/>
          <w:pgNumType w:start="16"/>
          <w:cols w:num="1" w:space="720"/>
        </w:sectPr>
      </w:pPr>
    </w:p>
    <w:p>
      <w:pPr>
        <w:spacing w:before="203" w:line="266" w:lineRule="auto"/>
        <w:ind w:left="30" w:right="23" w:firstLine="1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4"/>
          <w:sz w:val="31"/>
          <w:szCs w:val="31"/>
        </w:rPr>
        <w:t>大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力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 xml:space="preserve">发展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sz w:val="31"/>
          <w:szCs w:val="31"/>
        </w:rPr>
        <w:t>G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核心部件、移动终端、射频系统， 集成电路(半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导体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)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 材料、设计、封测、晶圆及芯片制造，  薄膜晶体管液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晶显示、微型显示以及光电器件、传感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器；  积极拓展物联网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设备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、卫星通信导航、智能家居、可穿戴设备等应用领域产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业链项目，打造区域有影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 xml:space="preserve">响力的“产业地标”。到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2025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年，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产业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规模达到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600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亿元。</w:t>
      </w:r>
    </w:p>
    <w:p>
      <w:pPr>
        <w:spacing w:before="3" w:line="266" w:lineRule="auto"/>
        <w:ind w:left="30" w:firstLine="66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6"/>
          <w:sz w:val="31"/>
          <w:szCs w:val="31"/>
        </w:rPr>
        <w:t>高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端装备产业。  重点发展智能成套设备、新能源装备、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精密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数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控设备、机器人等。推动工程机械、造纸机械、智能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3"/>
          <w:sz w:val="31"/>
          <w:szCs w:val="31"/>
        </w:rPr>
        <w:t>纺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机等系列整机装备向智能化、高端化、成套化方向发展；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推进工业机器人、服务机器人、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特种机器人联动发展；  拓展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储能装备、智能电网、海工装备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等新兴领域，  打造“东台智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造”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的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核心板块。到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2025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年，产业规模达到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400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亿元。</w:t>
      </w:r>
    </w:p>
    <w:p>
      <w:pPr>
        <w:spacing w:before="4" w:line="266" w:lineRule="auto"/>
        <w:ind w:left="19" w:right="3" w:firstLine="646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新材料产业。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重点发展特种金属材料、高性能复合材料、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36"/>
          <w:sz w:val="31"/>
          <w:szCs w:val="31"/>
        </w:rPr>
        <w:t>新</w:t>
      </w:r>
      <w:r>
        <w:rPr>
          <w:rFonts w:ascii="微软雅黑" w:eastAsia="微软雅黑" w:hAnsi="微软雅黑" w:cs="微软雅黑"/>
          <w:spacing w:val="20"/>
          <w:sz w:val="31"/>
          <w:szCs w:val="31"/>
        </w:rPr>
        <w:t>型功能材料等。大力发展高性能(天然) 纤维材料、特种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玻璃材料、新型墙体材料等，  推动产业向新领域拓展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、</w:t>
      </w:r>
      <w:r>
        <w:rPr>
          <w:rFonts w:ascii="微软雅黑" w:eastAsia="微软雅黑" w:hAnsi="微软雅黑" w:cs="微软雅黑"/>
          <w:sz w:val="31"/>
          <w:szCs w:val="31"/>
        </w:rPr>
        <w:t xml:space="preserve">向高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附加值提升、向品牌品质升级；  积极拓展新型光学材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料</w:t>
      </w:r>
      <w:r>
        <w:rPr>
          <w:rFonts w:ascii="微软雅黑" w:eastAsia="微软雅黑" w:hAnsi="微软雅黑" w:cs="微软雅黑"/>
          <w:sz w:val="31"/>
          <w:szCs w:val="31"/>
        </w:rPr>
        <w:t xml:space="preserve">、碳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纤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维材料、超导材料、自修复材料、智能仿生材料等前沿新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>材料， 建设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 xml:space="preserve">国家新材料产业基地。到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 xml:space="preserve">2025 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年， 产业规模达到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400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亿元。</w:t>
      </w:r>
    </w:p>
    <w:p>
      <w:pPr>
        <w:spacing w:before="5" w:line="274" w:lineRule="auto"/>
        <w:ind w:left="35" w:right="10" w:firstLine="65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大健康产</w:t>
      </w:r>
      <w:r>
        <w:rPr>
          <w:rFonts w:ascii="微软雅黑" w:eastAsia="微软雅黑" w:hAnsi="微软雅黑" w:cs="微软雅黑"/>
          <w:sz w:val="31"/>
          <w:szCs w:val="31"/>
        </w:rPr>
        <w:t xml:space="preserve">业。  重点发展农产品精深加工、生物医药、医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疗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器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械及体育健身产品等。着力突破肉制品、果蔬汁、甜菊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糖、海产品等高档生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产、精深加工，  逐步实现产业化、规模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化、专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业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化发展；  重点推进系列多肽、壳聚糖、海藻多糖、</w:t>
      </w:r>
    </w:p>
    <w:p>
      <w:pPr>
        <w:sectPr>
          <w:footerReference w:type="default" r:id="rId30"/>
          <w:pgSz w:w="11907" w:h="16839"/>
          <w:pgMar w:top="1431" w:right="1674" w:bottom="1255" w:left="1785" w:header="0" w:footer="980" w:gutter="0"/>
          <w:pgNumType w:start="17"/>
          <w:cols w:num="1" w:space="720"/>
        </w:sectPr>
      </w:pPr>
    </w:p>
    <w:p>
      <w:pPr>
        <w:spacing w:before="196" w:line="275" w:lineRule="auto"/>
        <w:ind w:left="21" w:right="210" w:firstLine="45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4"/>
          <w:sz w:val="31"/>
          <w:szCs w:val="31"/>
        </w:rPr>
        <w:t>医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用新兴海洋生物酶、海洋渔用疫苗等产品研发及产业化，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打造江苏海洋生物产业新高地。积极拓展家庭保健器材、家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庭医疗康复设备、家庭护理设备等医疗器械及健康辅具。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>202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5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 xml:space="preserve">年，产业规模达到 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300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亿元。</w:t>
      </w:r>
    </w:p>
    <w:p>
      <w:pPr>
        <w:spacing w:before="148" w:line="202" w:lineRule="auto"/>
        <w:ind w:left="2992"/>
        <w:rPr>
          <w:rFonts w:ascii="微软雅黑" w:eastAsia="微软雅黑" w:hAnsi="微软雅黑" w:cs="微软雅黑"/>
          <w:sz w:val="31"/>
          <w:szCs w:val="31"/>
        </w:rPr>
      </w:pPr>
      <w:bookmarkStart w:id="21" w:name="_bookmark21"/>
      <w:bookmarkEnd w:id="21"/>
      <w:bookmarkStart w:id="22" w:name="_bookmark22"/>
      <w:bookmarkEnd w:id="22"/>
      <w:r>
        <w:rPr>
          <w:rFonts w:ascii="微软雅黑" w:eastAsia="微软雅黑" w:hAnsi="微软雅黑" w:cs="微软雅黑"/>
          <w:spacing w:val="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四节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政策条件</w:t>
      </w:r>
    </w:p>
    <w:p>
      <w:pPr>
        <w:spacing w:before="350" w:line="267" w:lineRule="auto"/>
        <w:ind w:left="33" w:right="203" w:firstLine="649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4"/>
          <w:sz w:val="31"/>
          <w:szCs w:val="31"/>
        </w:rPr>
        <w:t>物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流业作为支撑经济社会发展的基础性、战略性产业，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近年来受到国家的高度重视，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  国家以及地方省市出台了一系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列支持现代物流业发展的规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划和政策措施，  积极为物流业及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物流园区的发展营造良好的政策环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境。  各项政策文件对东台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市</w:t>
      </w:r>
      <w:r>
        <w:rPr>
          <w:rFonts w:ascii="微软雅黑" w:eastAsia="微软雅黑" w:hAnsi="微软雅黑" w:cs="微软雅黑"/>
          <w:spacing w:val="14"/>
          <w:sz w:val="31"/>
          <w:szCs w:val="31"/>
        </w:rPr>
        <w:t>生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产性物流园区从土地供应、基础设施建设、物流业态发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0"/>
          <w:sz w:val="31"/>
          <w:szCs w:val="31"/>
        </w:rPr>
        <w:t>展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、  产业融合、  市场环境等领域均提供了有力支撑。</w:t>
      </w:r>
    </w:p>
    <w:p>
      <w:pPr>
        <w:spacing w:before="1" w:line="201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微软雅黑" w:eastAsia="微软雅黑" w:hAnsi="微软雅黑" w:cs="微软雅黑"/>
          <w:spacing w:val="-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国家层面相关政策</w:t>
      </w:r>
    </w:p>
    <w:p>
      <w:pPr>
        <w:spacing w:before="143" w:line="197" w:lineRule="auto"/>
        <w:ind w:left="69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1.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《交通强国建设纲要》( 中发〔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>2019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〕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39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号)</w:t>
      </w:r>
    </w:p>
    <w:p>
      <w:pPr>
        <w:spacing w:before="147" w:line="270" w:lineRule="auto"/>
        <w:ind w:left="33" w:firstLine="63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提出打造绿色高效的现代物流系统。优化运</w:t>
      </w:r>
      <w:r>
        <w:rPr>
          <w:rFonts w:ascii="微软雅黑" w:eastAsia="微软雅黑" w:hAnsi="微软雅黑" w:cs="微软雅黑"/>
          <w:sz w:val="31"/>
          <w:szCs w:val="31"/>
        </w:rPr>
        <w:t xml:space="preserve">输结构，  加  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快</w:t>
      </w:r>
      <w:r>
        <w:rPr>
          <w:rFonts w:ascii="微软雅黑" w:eastAsia="微软雅黑" w:hAnsi="微软雅黑" w:cs="微软雅黑"/>
          <w:spacing w:val="15"/>
          <w:sz w:val="31"/>
          <w:szCs w:val="31"/>
        </w:rPr>
        <w:t>推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进港口集疏运铁路、物流园区及大型工矿企业铁路专用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线等“公转铁”重点项目建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设，  推进大宗货物及中长距离货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物运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输向铁路和水运有序转移。推动铁水、公铁、公水、空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陆等联运发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展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，  推广跨方式快速换装转运标准化设施设备，</w:t>
      </w:r>
      <w:r>
        <w:rPr>
          <w:rFonts w:ascii="微软雅黑" w:eastAsia="微软雅黑" w:hAnsi="微软雅黑" w:cs="微软雅黑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33"/>
          <w:sz w:val="31"/>
          <w:szCs w:val="31"/>
        </w:rPr>
        <w:t>形</w:t>
      </w:r>
      <w:r>
        <w:rPr>
          <w:rFonts w:ascii="微软雅黑" w:eastAsia="微软雅黑" w:hAnsi="微软雅黑" w:cs="微软雅黑"/>
          <w:spacing w:val="20"/>
          <w:sz w:val="31"/>
          <w:szCs w:val="31"/>
        </w:rPr>
        <w:t>成统一的多式联运标准和规则。发挥公路货运“门到门”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 xml:space="preserve">优势。 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文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件对于园区加快建设港口作业区、  铁路支线、联运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中转设施，  制定政策引导货物转向铁路、水路等运输方式</w:t>
      </w:r>
      <w:r>
        <w:rPr>
          <w:rFonts w:ascii="微软雅黑" w:eastAsia="微软雅黑" w:hAnsi="微软雅黑" w:cs="微软雅黑"/>
          <w:sz w:val="31"/>
          <w:szCs w:val="31"/>
        </w:rPr>
        <w:t xml:space="preserve">， 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发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展多式联运物流等业态具有重要指导意义。</w:t>
      </w:r>
    </w:p>
    <w:p>
      <w:pPr>
        <w:sectPr>
          <w:footerReference w:type="default" r:id="rId31"/>
          <w:pgSz w:w="11907" w:h="16839"/>
          <w:pgMar w:top="1431" w:right="1494" w:bottom="1255" w:left="1785" w:header="0" w:footer="980" w:gutter="0"/>
          <w:pgNumType w:start="18"/>
          <w:cols w:num="1" w:space="720"/>
        </w:sectPr>
      </w:pPr>
    </w:p>
    <w:p>
      <w:pPr>
        <w:spacing w:before="207" w:line="265" w:lineRule="auto"/>
        <w:ind w:left="34" w:right="104" w:firstLine="627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2.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国家发展改革委、工业和信息化部等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14 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部门《推动物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流业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制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造业深度融合创新发展实施方案》(发改经贸〔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2020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〕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spacing w:val="11"/>
          <w:sz w:val="31"/>
          <w:szCs w:val="31"/>
        </w:rPr>
        <w:t xml:space="preserve">315 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号)</w:t>
      </w:r>
    </w:p>
    <w:p>
      <w:pPr>
        <w:spacing w:before="11" w:line="266" w:lineRule="auto"/>
        <w:ind w:left="29" w:firstLine="65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22"/>
          <w:sz w:val="31"/>
          <w:szCs w:val="31"/>
        </w:rPr>
        <w:t>支持物流企业与制造企业通过市场化方式创新供应</w:t>
      </w:r>
      <w:r>
        <w:rPr>
          <w:rFonts w:ascii="微软雅黑" w:eastAsia="微软雅黑" w:hAnsi="微软雅黑" w:cs="微软雅黑"/>
          <w:spacing w:val="19"/>
          <w:sz w:val="31"/>
          <w:szCs w:val="31"/>
        </w:rPr>
        <w:t>链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协同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共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建模式。在国土空间规划和产业发展规划中加强物流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业制造业有</w:t>
      </w:r>
      <w:r>
        <w:rPr>
          <w:rFonts w:ascii="微软雅黑" w:eastAsia="微软雅黑" w:hAnsi="微软雅黑" w:cs="微软雅黑"/>
          <w:spacing w:val="-6"/>
          <w:sz w:val="31"/>
          <w:szCs w:val="31"/>
        </w:rPr>
        <w:t>机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衔接，  统筹做好工业园区等生产制造设施，  以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及物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流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枢纽、铁路专用线等物流基础设施规划布局和用地用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海安排。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 因此，  园区在制定发展规划过程中应充分与东台市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国土空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间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规划相衔接，  满足相关物流基础设施的用地需求。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应充分考虑制造企业供应链物流需求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，  建设供应链物流相关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基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础设施。</w:t>
      </w:r>
    </w:p>
    <w:p>
      <w:pPr>
        <w:spacing w:before="1" w:line="201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微软雅黑" w:eastAsia="微软雅黑" w:hAnsi="微软雅黑" w:cs="微软雅黑"/>
          <w:spacing w:val="-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省市层面相关政策</w:t>
      </w:r>
    </w:p>
    <w:p>
      <w:pPr>
        <w:spacing w:before="143" w:line="202" w:lineRule="auto"/>
        <w:ind w:left="69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8"/>
          <w:sz w:val="31"/>
          <w:szCs w:val="31"/>
        </w:rPr>
        <w:t>1.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《江苏省“十四五”现代物流业发展规划》</w:t>
      </w:r>
    </w:p>
    <w:p>
      <w:pPr>
        <w:spacing w:before="128" w:line="267" w:lineRule="auto"/>
        <w:ind w:left="35" w:right="7" w:firstLine="647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6"/>
          <w:sz w:val="31"/>
          <w:szCs w:val="31"/>
        </w:rPr>
        <w:t xml:space="preserve">到 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2025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年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，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  新增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40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家省级示范物流园区，建设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28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家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省级物流枢纽 。要求全省物流业聚焦能级提升，  推进枢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纽</w:t>
      </w:r>
      <w:r>
        <w:rPr>
          <w:rFonts w:ascii="微软雅黑" w:eastAsia="微软雅黑" w:hAnsi="微软雅黑" w:cs="微软雅黑"/>
          <w:sz w:val="31"/>
          <w:szCs w:val="31"/>
        </w:rPr>
        <w:t xml:space="preserve">经 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济跨越发展；  强化供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应链创新，  推进物流与产业深度融合；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20"/>
          <w:sz w:val="31"/>
          <w:szCs w:val="31"/>
        </w:rPr>
        <w:t>加</w:t>
      </w:r>
      <w:r>
        <w:rPr>
          <w:rFonts w:ascii="微软雅黑" w:eastAsia="微软雅黑" w:hAnsi="微软雅黑" w:cs="微软雅黑"/>
          <w:spacing w:val="-10"/>
          <w:sz w:val="31"/>
          <w:szCs w:val="31"/>
        </w:rPr>
        <w:t>快数字转型，  积极推动物流改革创新；  强化协同联动，  加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快区域物流一体化发展；  突出重点领域，  提升物流专业化</w:t>
      </w:r>
      <w:r>
        <w:rPr>
          <w:rFonts w:ascii="微软雅黑" w:eastAsia="微软雅黑" w:hAnsi="微软雅黑" w:cs="微软雅黑"/>
          <w:spacing w:val="-2"/>
          <w:sz w:val="31"/>
          <w:szCs w:val="31"/>
        </w:rPr>
        <w:t>服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务能力。该规划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是全省物流业发展的纲领性规划，  园区应紧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扣规划要求，  发挥物流对产业的促进作用，  争取创成省级</w:t>
      </w:r>
      <w:r>
        <w:rPr>
          <w:rFonts w:ascii="微软雅黑" w:eastAsia="微软雅黑" w:hAnsi="微软雅黑" w:cs="微软雅黑"/>
          <w:sz w:val="31"/>
          <w:szCs w:val="31"/>
        </w:rPr>
        <w:t xml:space="preserve">示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范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物流园区。</w:t>
      </w:r>
    </w:p>
    <w:p>
      <w:pPr>
        <w:spacing w:before="4" w:line="280" w:lineRule="auto"/>
        <w:ind w:left="44" w:right="116" w:firstLine="617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2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spacing w:val="13"/>
          <w:sz w:val="31"/>
          <w:szCs w:val="31"/>
        </w:rPr>
        <w:t>.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《江苏省省级重点物流基地和省级示范物流园区认定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6"/>
          <w:sz w:val="31"/>
          <w:szCs w:val="31"/>
        </w:rPr>
        <w:t>管理办法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》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 xml:space="preserve">(苏发改规发〔 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2021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〕</w:t>
      </w: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4 </w:t>
      </w:r>
      <w:r>
        <w:rPr>
          <w:rFonts w:ascii="微软雅黑" w:eastAsia="微软雅黑" w:hAnsi="微软雅黑" w:cs="微软雅黑"/>
          <w:spacing w:val="3"/>
          <w:sz w:val="31"/>
          <w:szCs w:val="31"/>
        </w:rPr>
        <w:t>号)</w:t>
      </w:r>
    </w:p>
    <w:p>
      <w:pPr>
        <w:sectPr>
          <w:footerReference w:type="default" r:id="rId32"/>
          <w:pgSz w:w="11907" w:h="16839"/>
          <w:pgMar w:top="1431" w:right="1690" w:bottom="1255" w:left="1785" w:header="0" w:footer="980" w:gutter="0"/>
          <w:pgNumType w:start="19"/>
          <w:cols w:num="1" w:space="720"/>
        </w:sectPr>
      </w:pPr>
    </w:p>
    <w:p>
      <w:pPr>
        <w:spacing w:before="197" w:line="267" w:lineRule="auto"/>
        <w:ind w:left="38" w:right="168" w:firstLine="644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要求省级示范物流园区有</w:t>
      </w:r>
      <w:r>
        <w:rPr>
          <w:rFonts w:ascii="微软雅黑" w:eastAsia="微软雅黑" w:hAnsi="微软雅黑" w:cs="微软雅黑"/>
          <w:sz w:val="31"/>
          <w:szCs w:val="31"/>
        </w:rPr>
        <w:t xml:space="preserve">明确的四至范围，  已制定物流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园区发展规划，  拥有两种或两种以上的交通运输方式，  具有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良好的集疏运条件，   已开展多式联运业务，  能够实现干支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有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效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>衔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接。该办法为园区创建省级示范物流园区和近期基础设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施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建设指明方向。</w:t>
      </w:r>
    </w:p>
    <w:p>
      <w:pPr>
        <w:spacing w:line="265" w:lineRule="auto"/>
        <w:ind w:left="19" w:firstLine="64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Times New Roman" w:eastAsia="Times New Roman" w:hAnsi="Times New Roman" w:cs="Times New Roman"/>
          <w:spacing w:val="24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spacing w:val="18"/>
          <w:sz w:val="31"/>
          <w:szCs w:val="31"/>
        </w:rPr>
        <w:t>.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《盐城市现代物流体系发展规划》(盐政办发〔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>2019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〕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31"/>
          <w:szCs w:val="31"/>
        </w:rPr>
        <w:t xml:space="preserve">42 </w:t>
      </w:r>
      <w:r>
        <w:rPr>
          <w:rFonts w:ascii="微软雅黑" w:eastAsia="微软雅黑" w:hAnsi="微软雅黑" w:cs="微软雅黑"/>
          <w:spacing w:val="17"/>
          <w:sz w:val="31"/>
          <w:szCs w:val="31"/>
        </w:rPr>
        <w:t>号)</w:t>
      </w:r>
    </w:p>
    <w:p>
      <w:pPr>
        <w:spacing w:line="273" w:lineRule="auto"/>
        <w:ind w:left="30" w:right="168" w:firstLine="64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6"/>
          <w:sz w:val="31"/>
          <w:szCs w:val="31"/>
        </w:rPr>
        <w:t>根据各物流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节</w:t>
      </w:r>
      <w:r>
        <w:rPr>
          <w:rFonts w:ascii="微软雅黑" w:eastAsia="微软雅黑" w:hAnsi="微软雅黑" w:cs="微软雅黑"/>
          <w:spacing w:val="-3"/>
          <w:sz w:val="31"/>
          <w:szCs w:val="31"/>
        </w:rPr>
        <w:t>点的功能定位，  规划形成“区域级— 市域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10"/>
          <w:sz w:val="31"/>
          <w:szCs w:val="31"/>
        </w:rPr>
        <w:t>级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— 县区级”三级层次体系，  对应“四极—八园— 九点”的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物流设施布局。  东台物流园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区功能定位为依托内河港口、铁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0"/>
          <w:sz w:val="31"/>
          <w:szCs w:val="31"/>
        </w:rPr>
        <w:t>路</w:t>
      </w:r>
      <w:r>
        <w:rPr>
          <w:rFonts w:ascii="微软雅黑" w:eastAsia="微软雅黑" w:hAnsi="微软雅黑" w:cs="微软雅黑"/>
          <w:spacing w:val="19"/>
          <w:sz w:val="31"/>
          <w:szCs w:val="31"/>
        </w:rPr>
        <w:t>和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G</w:t>
      </w: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 xml:space="preserve">204 </w:t>
      </w:r>
      <w:r>
        <w:rPr>
          <w:rFonts w:ascii="微软雅黑" w:eastAsia="微软雅黑" w:hAnsi="微软雅黑" w:cs="微软雅黑"/>
          <w:spacing w:val="10"/>
          <w:sz w:val="31"/>
          <w:szCs w:val="31"/>
        </w:rPr>
        <w:t>交通资源，打造服务专业交易市场、周边生产制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造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企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业运输需求及城市物资配送的综合物流中心。</w:t>
      </w:r>
    </w:p>
    <w:p>
      <w:pPr>
        <w:sectPr>
          <w:footerReference w:type="default" r:id="rId33"/>
          <w:pgSz w:w="11907" w:h="16839"/>
          <w:pgMar w:top="1431" w:right="1631" w:bottom="1255" w:left="1785" w:header="0" w:footer="980" w:gutter="0"/>
          <w:pgNumType w:start="20"/>
          <w:cols w:num="1" w:space="720"/>
        </w:sectPr>
      </w:pPr>
    </w:p>
    <w:p>
      <w:pPr>
        <w:spacing w:line="311" w:lineRule="auto"/>
      </w:pPr>
    </w:p>
    <w:p>
      <w:pPr>
        <w:spacing w:before="100" w:line="417" w:lineRule="exact"/>
        <w:ind w:left="2978"/>
        <w:rPr>
          <w:rFonts w:ascii="黑体" w:eastAsia="黑体" w:hAnsi="黑体" w:cs="黑体"/>
          <w:sz w:val="31"/>
          <w:szCs w:val="31"/>
        </w:rPr>
      </w:pPr>
      <w:bookmarkStart w:id="23" w:name="_bookmark24"/>
      <w:bookmarkEnd w:id="23"/>
      <w:bookmarkStart w:id="24" w:name="_bookmark23"/>
      <w:bookmarkEnd w:id="24"/>
      <w:r>
        <w:rPr>
          <w:rFonts w:ascii="黑体" w:eastAsia="黑体" w:hAnsi="黑体" w:cs="黑体"/>
          <w:spacing w:val="12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黑体" w:eastAsia="黑体" w:hAnsi="黑体" w:cs="黑体"/>
          <w:spacing w:val="8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三章</w:t>
      </w:r>
      <w:r>
        <w:rPr>
          <w:rFonts w:ascii="黑体" w:eastAsia="黑体" w:hAnsi="黑体" w:cs="黑体"/>
          <w:spacing w:val="8"/>
          <w:position w:val="1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8"/>
          <w:position w:val="1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需求预测</w:t>
      </w:r>
    </w:p>
    <w:p>
      <w:pPr>
        <w:spacing w:line="241" w:lineRule="auto"/>
      </w:pPr>
    </w:p>
    <w:p>
      <w:pPr>
        <w:spacing w:line="241" w:lineRule="auto"/>
      </w:pPr>
    </w:p>
    <w:p>
      <w:pPr>
        <w:spacing w:before="133" w:line="202" w:lineRule="auto"/>
        <w:ind w:left="2509"/>
        <w:rPr>
          <w:rFonts w:ascii="微软雅黑" w:eastAsia="微软雅黑" w:hAnsi="微软雅黑" w:cs="微软雅黑"/>
          <w:sz w:val="31"/>
          <w:szCs w:val="31"/>
        </w:rPr>
      </w:pPr>
      <w:bookmarkStart w:id="25" w:name="_bookmark25"/>
      <w:bookmarkEnd w:id="25"/>
      <w:bookmarkStart w:id="26" w:name="_bookmark26"/>
      <w:bookmarkEnd w:id="26"/>
      <w:r>
        <w:rPr>
          <w:rFonts w:ascii="微软雅黑" w:eastAsia="微软雅黑" w:hAnsi="微软雅黑" w:cs="微软雅黑"/>
          <w:spacing w:val="1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1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一节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基本思路和方法</w:t>
      </w:r>
    </w:p>
    <w:p>
      <w:pPr>
        <w:spacing w:before="359" w:line="201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16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预测原则</w:t>
      </w:r>
    </w:p>
    <w:p>
      <w:pPr>
        <w:spacing w:before="140" w:line="266" w:lineRule="auto"/>
        <w:ind w:left="30" w:right="14" w:firstLine="68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6"/>
          <w:sz w:val="31"/>
          <w:szCs w:val="31"/>
        </w:rPr>
        <w:t>系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统分析原则 。在预测的过程中，  将东台市及其周边地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区的产业经济状况、经济腹地发展状况和交通运输状况联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系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起来，  充分考虑经济社会和交通运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输状况对东台市生产性物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流园区所产生的促进或阻碍作用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。</w:t>
      </w:r>
    </w:p>
    <w:p>
      <w:pPr>
        <w:spacing w:before="2" w:line="266" w:lineRule="auto"/>
        <w:ind w:left="32" w:right="14" w:firstLine="63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0"/>
          <w:sz w:val="31"/>
          <w:szCs w:val="31"/>
        </w:rPr>
        <w:t>政策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协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调原则。  国家和江苏省的政策环境、  盐城市以及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东台市自身的发展政策，  都将对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东台市生产性物流园区的定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5"/>
          <w:sz w:val="31"/>
          <w:szCs w:val="31"/>
        </w:rPr>
        <w:t>位</w:t>
      </w:r>
      <w:r>
        <w:rPr>
          <w:rFonts w:ascii="微软雅黑" w:eastAsia="微软雅黑" w:hAnsi="微软雅黑" w:cs="微软雅黑"/>
          <w:spacing w:val="16"/>
          <w:sz w:val="31"/>
          <w:szCs w:val="31"/>
        </w:rPr>
        <w:t>、与其他物流园区(中心)  的关系以及实际物流量产生重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大影响。因此，  预测过程要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建立在与相应政策相协调的基础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上，以发展政策为导向进行分析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。</w:t>
      </w:r>
    </w:p>
    <w:p>
      <w:pPr>
        <w:spacing w:before="9" w:line="268" w:lineRule="auto"/>
        <w:ind w:left="33" w:right="14" w:firstLine="642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定性与定量相结合原则。  对于发展建设中</w:t>
      </w:r>
      <w:r>
        <w:rPr>
          <w:rFonts w:ascii="微软雅黑" w:eastAsia="微软雅黑" w:hAnsi="微软雅黑" w:cs="微软雅黑"/>
          <w:sz w:val="31"/>
          <w:szCs w:val="31"/>
        </w:rPr>
        <w:t xml:space="preserve">的东台市生产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性物流园区，  单纯根据历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史规律和已有的历史数据进行预测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5"/>
          <w:sz w:val="31"/>
          <w:szCs w:val="31"/>
        </w:rPr>
        <w:t>是不够的，  政策的引导，  交通基础设施的改造、建设都将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极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大地影响物流量发展趋势。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因此在分析预测过程中，  既要运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用科学的定量分析手段把握规律性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，  也要充分利用政策和专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1"/>
          <w:sz w:val="31"/>
          <w:szCs w:val="31"/>
        </w:rPr>
        <w:t>家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经验等定性分析手段来把握测算的方向。</w:t>
      </w:r>
    </w:p>
    <w:p>
      <w:pPr>
        <w:spacing w:before="1" w:line="168" w:lineRule="auto"/>
        <w:ind w:left="735"/>
        <w:outlineLvl w:val="1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20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16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1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预测方法</w:t>
      </w:r>
    </w:p>
    <w:p>
      <w:pPr>
        <w:spacing w:before="186" w:line="277" w:lineRule="auto"/>
        <w:ind w:left="44" w:right="16" w:firstLine="62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6"/>
          <w:sz w:val="31"/>
          <w:szCs w:val="31"/>
        </w:rPr>
        <w:t>本</w:t>
      </w:r>
      <w:r>
        <w:rPr>
          <w:rFonts w:ascii="微软雅黑" w:eastAsia="微软雅黑" w:hAnsi="微软雅黑" w:cs="微软雅黑"/>
          <w:spacing w:val="12"/>
          <w:sz w:val="31"/>
          <w:szCs w:val="31"/>
        </w:rPr>
        <w:t>规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划采用社会货运量来表征物流需求规模。主要预测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>内容包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括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 xml:space="preserve">：  东台市 </w:t>
      </w:r>
      <w:r>
        <w:rPr>
          <w:rFonts w:ascii="Times New Roman" w:eastAsia="Times New Roman" w:hAnsi="Times New Roman" w:cs="Times New Roman"/>
          <w:spacing w:val="-4"/>
          <w:sz w:val="31"/>
          <w:szCs w:val="31"/>
        </w:rPr>
        <w:t xml:space="preserve">GDP 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、东台市社会总货运量、东台市生产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性物流</w:t>
      </w:r>
      <w:r>
        <w:rPr>
          <w:rFonts w:ascii="微软雅黑" w:eastAsia="微软雅黑" w:hAnsi="微软雅黑" w:cs="微软雅黑"/>
          <w:spacing w:val="5"/>
          <w:sz w:val="31"/>
          <w:szCs w:val="31"/>
        </w:rPr>
        <w:t>需</w:t>
      </w:r>
      <w:r>
        <w:rPr>
          <w:rFonts w:ascii="微软雅黑" w:eastAsia="微软雅黑" w:hAnsi="微软雅黑" w:cs="微软雅黑"/>
          <w:spacing w:val="4"/>
          <w:sz w:val="31"/>
          <w:szCs w:val="31"/>
        </w:rPr>
        <w:t>求、园区物流总量以及园区用地规模。在规划 目标</w:t>
      </w:r>
    </w:p>
    <w:p>
      <w:pPr>
        <w:sectPr>
          <w:footerReference w:type="default" r:id="rId34"/>
          <w:pgSz w:w="11907" w:h="16839"/>
          <w:pgMar w:top="1431" w:right="1785" w:bottom="1255" w:left="1785" w:header="0" w:footer="980" w:gutter="0"/>
          <w:pgNumType w:start="21"/>
          <w:cols w:num="1" w:space="720"/>
        </w:sectPr>
      </w:pPr>
    </w:p>
    <w:p>
      <w:pPr>
        <w:spacing w:before="203" w:line="266" w:lineRule="auto"/>
        <w:ind w:left="33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"/>
          <w:sz w:val="31"/>
          <w:szCs w:val="31"/>
        </w:rPr>
        <w:t>预测和分析过程中，  采</w:t>
      </w:r>
      <w:r>
        <w:rPr>
          <w:rFonts w:ascii="微软雅黑" w:eastAsia="微软雅黑" w:hAnsi="微软雅黑" w:cs="微软雅黑"/>
          <w:sz w:val="31"/>
          <w:szCs w:val="31"/>
        </w:rPr>
        <w:t xml:space="preserve">用定性分析与定量预测相结合的方法，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以历史数据为依据，  根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据国民经济发展与货物运输量之间的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8"/>
          <w:sz w:val="31"/>
          <w:szCs w:val="31"/>
        </w:rPr>
        <w:t xml:space="preserve">关系， 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利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用 自回归滑动平均模型 、线性指数平滑法、需求系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数法等方法进行综合预</w:t>
      </w:r>
      <w:r>
        <w:rPr>
          <w:rFonts w:ascii="微软雅黑" w:eastAsia="微软雅黑" w:hAnsi="微软雅黑" w:cs="微软雅黑"/>
          <w:spacing w:val="1"/>
          <w:sz w:val="31"/>
          <w:szCs w:val="31"/>
        </w:rPr>
        <w:t>测与分析。在定量预测的基础上，  结</w:t>
      </w:r>
      <w:r>
        <w:rPr>
          <w:rFonts w:ascii="微软雅黑" w:eastAsia="微软雅黑" w:hAnsi="微软雅黑" w:cs="微软雅黑"/>
          <w:sz w:val="31"/>
          <w:szCs w:val="31"/>
        </w:rPr>
        <w:t xml:space="preserve">  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合省市的相关规划进行定性</w:t>
      </w:r>
      <w:r>
        <w:rPr>
          <w:rFonts w:ascii="微软雅黑" w:eastAsia="微软雅黑" w:hAnsi="微软雅黑" w:cs="微软雅黑"/>
          <w:sz w:val="31"/>
          <w:szCs w:val="31"/>
        </w:rPr>
        <w:t xml:space="preserve">分析，  同时听取相关专家的意见， 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综合考虑得出东台市生产性物流园区的物流量预测数值。</w:t>
      </w:r>
      <w:r>
        <w:rPr>
          <w:rFonts w:ascii="微软雅黑" w:eastAsia="微软雅黑" w:hAnsi="微软雅黑" w:cs="微软雅黑"/>
          <w:spacing w:val="8"/>
          <w:sz w:val="31"/>
          <w:szCs w:val="31"/>
        </w:rPr>
        <w:t>预</w:t>
      </w:r>
    </w:p>
    <w:p>
      <w:pPr>
        <w:spacing w:before="1" w:line="206" w:lineRule="auto"/>
        <w:ind w:left="3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4"/>
          <w:sz w:val="31"/>
          <w:szCs w:val="31"/>
        </w:rPr>
        <w:t>测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>技术路线如下图所示：</w:t>
      </w:r>
    </w:p>
    <w:p>
      <w:pPr>
        <w:spacing w:before="14" w:line="4190" w:lineRule="exact"/>
        <w:ind w:firstLine="14"/>
        <w:textAlignment w:val="center"/>
      </w:pPr>
      <w:r>
        <w:drawing>
          <wp:inline distT="0" distB="0" distL="0" distR="0">
            <wp:extent cx="5273675" cy="266065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3" w:line="197" w:lineRule="auto"/>
        <w:ind w:left="2753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pacing w:val="-10"/>
          <w:sz w:val="24"/>
          <w:szCs w:val="24"/>
        </w:rPr>
        <w:t>图</w:t>
      </w:r>
      <w:r>
        <w:rPr>
          <w:rFonts w:ascii="微软雅黑" w:eastAsia="微软雅黑" w:hAnsi="微软雅黑" w:cs="微软雅黑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3- 1  </w:t>
      </w:r>
      <w:r>
        <w:rPr>
          <w:rFonts w:ascii="微软雅黑" w:eastAsia="微软雅黑" w:hAnsi="微软雅黑" w:cs="微软雅黑"/>
          <w:spacing w:val="-6"/>
          <w:sz w:val="24"/>
          <w:szCs w:val="24"/>
        </w:rPr>
        <w:t>需求预测技术路线图</w:t>
      </w:r>
    </w:p>
    <w:p>
      <w:pPr>
        <w:spacing w:line="249" w:lineRule="auto"/>
      </w:pPr>
    </w:p>
    <w:p>
      <w:pPr>
        <w:spacing w:line="249" w:lineRule="auto"/>
      </w:pPr>
    </w:p>
    <w:p>
      <w:pPr>
        <w:spacing w:before="133" w:line="278" w:lineRule="auto"/>
        <w:ind w:left="32" w:right="503" w:firstLine="641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4"/>
          <w:sz w:val="31"/>
          <w:szCs w:val="31"/>
        </w:rPr>
        <w:t>预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>测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 xml:space="preserve">年限为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2021-2035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 xml:space="preserve">年，其中基准年为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2020 </w:t>
      </w:r>
      <w:r>
        <w:rPr>
          <w:rFonts w:ascii="微软雅黑" w:eastAsia="微软雅黑" w:hAnsi="微软雅黑" w:cs="微软雅黑"/>
          <w:spacing w:val="7"/>
          <w:sz w:val="31"/>
          <w:szCs w:val="31"/>
        </w:rPr>
        <w:t>年 (由</w:t>
      </w:r>
      <w:r>
        <w:rPr>
          <w:rFonts w:ascii="微软雅黑" w:eastAsia="微软雅黑" w:hAnsi="微软雅黑" w:cs="微软雅黑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 xml:space="preserve">于资料缺失部分预测基准年为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2019 </w:t>
      </w:r>
      <w:r>
        <w:rPr>
          <w:rFonts w:ascii="微软雅黑" w:eastAsia="微软雅黑" w:hAnsi="微软雅黑" w:cs="微软雅黑"/>
          <w:spacing w:val="2"/>
          <w:sz w:val="31"/>
          <w:szCs w:val="31"/>
        </w:rPr>
        <w:t xml:space="preserve">年)，  特征年为 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>2025</w:t>
      </w:r>
      <w:r>
        <w:rPr>
          <w:rFonts w:ascii="Times New Roman" w:eastAsia="Times New Roman" w:hAnsi="Times New Roman" w:cs="Times New Roman"/>
          <w:sz w:val="31"/>
          <w:szCs w:val="31"/>
        </w:rPr>
        <w:t xml:space="preserve">   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年、 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2030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 xml:space="preserve">年和 </w:t>
      </w:r>
      <w:r>
        <w:rPr>
          <w:rFonts w:ascii="Times New Roman" w:eastAsia="Times New Roman" w:hAnsi="Times New Roman" w:cs="Times New Roman"/>
          <w:spacing w:val="-7"/>
          <w:sz w:val="31"/>
          <w:szCs w:val="31"/>
        </w:rPr>
        <w:t xml:space="preserve">2035 </w:t>
      </w:r>
      <w:r>
        <w:rPr>
          <w:rFonts w:ascii="微软雅黑" w:eastAsia="微软雅黑" w:hAnsi="微软雅黑" w:cs="微软雅黑"/>
          <w:spacing w:val="-7"/>
          <w:sz w:val="31"/>
          <w:szCs w:val="31"/>
        </w:rPr>
        <w:t>年</w:t>
      </w:r>
      <w:r>
        <w:rPr>
          <w:rFonts w:ascii="微软雅黑" w:eastAsia="微软雅黑" w:hAnsi="微软雅黑" w:cs="微软雅黑"/>
          <w:spacing w:val="-4"/>
          <w:sz w:val="31"/>
          <w:szCs w:val="31"/>
        </w:rPr>
        <w:t>。</w:t>
      </w:r>
    </w:p>
    <w:p>
      <w:pPr>
        <w:spacing w:before="148" w:line="201" w:lineRule="auto"/>
        <w:ind w:left="2029"/>
        <w:rPr>
          <w:rFonts w:ascii="微软雅黑" w:eastAsia="微软雅黑" w:hAnsi="微软雅黑" w:cs="微软雅黑"/>
          <w:sz w:val="31"/>
          <w:szCs w:val="31"/>
        </w:rPr>
      </w:pPr>
      <w:bookmarkStart w:id="27" w:name="_bookmark27"/>
      <w:bookmarkEnd w:id="27"/>
      <w:bookmarkStart w:id="28" w:name="_bookmark28"/>
      <w:bookmarkEnd w:id="28"/>
      <w:r>
        <w:rPr>
          <w:rFonts w:ascii="微软雅黑" w:eastAsia="微软雅黑" w:hAnsi="微软雅黑" w:cs="微软雅黑"/>
          <w:spacing w:val="1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微软雅黑" w:eastAsia="微软雅黑" w:hAnsi="微软雅黑" w:cs="微软雅黑"/>
          <w:spacing w:val="1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二节</w:t>
      </w:r>
      <w:r>
        <w:rPr>
          <w:rFonts w:ascii="微软雅黑" w:eastAsia="微软雅黑" w:hAnsi="微软雅黑" w:cs="微软雅黑"/>
          <w:spacing w:val="13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1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全市生产性物流量预测</w:t>
      </w:r>
    </w:p>
    <w:p>
      <w:pPr>
        <w:spacing w:before="361" w:line="201" w:lineRule="auto"/>
        <w:ind w:left="735"/>
        <w:outlineLvl w:val="0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微软雅黑" w:eastAsia="微软雅黑" w:hAnsi="微软雅黑" w:cs="微软雅黑"/>
          <w:spacing w:val="-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微软雅黑" w:eastAsia="微软雅黑" w:hAnsi="微软雅黑" w:cs="微软雅黑"/>
          <w:spacing w:val="-9"/>
          <w:sz w:val="31"/>
          <w:szCs w:val="31"/>
        </w:rPr>
        <w:t xml:space="preserve">  </w:t>
      </w:r>
      <w:r>
        <w:rPr>
          <w:rFonts w:ascii="微软雅黑" w:eastAsia="微软雅黑" w:hAnsi="微软雅黑" w:cs="微软雅黑"/>
          <w:spacing w:val="-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东台</w:t>
      </w:r>
      <w:r>
        <w:rPr>
          <w:rFonts w:ascii="微软雅黑" w:eastAsia="微软雅黑" w:hAnsi="微软雅黑" w:cs="微软雅黑"/>
          <w:spacing w:val="-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31"/>
          <w:szCs w:val="31"/>
        </w:rPr>
        <w:t>GDP</w:t>
      </w:r>
      <w:r>
        <w:rPr>
          <w:rFonts w:ascii="Times New Roman" w:eastAsia="Times New Roman" w:hAnsi="Times New Roman" w:cs="Times New Roman"/>
          <w:spacing w:val="-9"/>
          <w:sz w:val="31"/>
          <w:szCs w:val="31"/>
        </w:rPr>
        <w:t xml:space="preserve"> </w:t>
      </w:r>
      <w:r>
        <w:rPr>
          <w:rFonts w:ascii="微软雅黑" w:eastAsia="微软雅黑" w:hAnsi="微软雅黑" w:cs="微软雅黑"/>
          <w:spacing w:val="-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0"/>
          </w14:textOutline>
        </w:rPr>
        <w:t>预测</w:t>
      </w:r>
    </w:p>
    <w:p>
      <w:pPr>
        <w:spacing w:before="139" w:line="274" w:lineRule="auto"/>
        <w:ind w:left="25" w:right="255" w:firstLine="648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/>
          <w:spacing w:val="1"/>
          <w:sz w:val="31"/>
          <w:szCs w:val="31"/>
        </w:rPr>
        <w:t>根据东台市经济发展现状和发展趋势，  预计未</w:t>
      </w:r>
      <w:r>
        <w:rPr>
          <w:rFonts w:ascii="微软雅黑" w:eastAsia="微软雅黑" w:hAnsi="微软雅黑" w:cs="微软雅黑"/>
          <w:sz w:val="31"/>
          <w:szCs w:val="31"/>
        </w:rPr>
        <w:t xml:space="preserve">来东台市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 xml:space="preserve">GDP </w:t>
      </w:r>
      <w:r>
        <w:rPr>
          <w:rFonts w:ascii="微软雅黑" w:eastAsia="微软雅黑" w:hAnsi="微软雅黑" w:cs="微软雅黑"/>
          <w:spacing w:val="-1"/>
          <w:sz w:val="31"/>
          <w:szCs w:val="31"/>
        </w:rPr>
        <w:t>总量的增长将保持较快的速度。因此，  需要综合各种经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https://d.book118.com/056200050234010040</w:t>
        </w:r>
      </w:hyperlink>
    </w:p>
    <w:p/>
    <w:sectPr>
      <w:footerReference w:type="default" r:id="rId37"/>
      <w:pgSz w:w="11907" w:h="16839"/>
      <w:pgMar w:top="1431" w:right="1544" w:bottom="1255" w:left="1785" w:header="0" w:footer="980" w:gutter="0"/>
      <w:pgNumType w:start="22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3980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19"/>
        <w:sz w:val="18"/>
        <w:szCs w:val="18"/>
      </w:rPr>
      <w:t>—</w:t>
    </w:r>
    <w:r>
      <w:rPr>
        <w:rFonts w:ascii="微软雅黑" w:eastAsia="微软雅黑" w:hAnsi="微软雅黑" w:cs="微软雅黑"/>
        <w:spacing w:val="17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z w:val="28"/>
        <w:szCs w:val="28"/>
      </w:rPr>
      <w:t>I</w:t>
    </w:r>
    <w:r>
      <w:rPr>
        <w:rFonts w:ascii="Times New Roman" w:eastAsia="Times New Roman" w:hAnsi="Times New Roman" w:cs="Times New Roman"/>
        <w:spacing w:val="17"/>
        <w:sz w:val="28"/>
        <w:szCs w:val="28"/>
      </w:rPr>
      <w:t xml:space="preserve"> </w:t>
    </w:r>
    <w:r>
      <w:rPr>
        <w:rFonts w:ascii="微软雅黑" w:eastAsia="微软雅黑" w:hAnsi="微软雅黑" w:cs="微软雅黑"/>
        <w:spacing w:val="17"/>
        <w:sz w:val="18"/>
        <w:szCs w:val="1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3934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20"/>
        <w:sz w:val="18"/>
        <w:szCs w:val="18"/>
      </w:rPr>
      <w:t>—</w:t>
    </w:r>
    <w:r>
      <w:rPr>
        <w:rFonts w:ascii="微软雅黑" w:eastAsia="微软雅黑" w:hAnsi="微软雅黑" w:cs="微软雅黑"/>
        <w:spacing w:val="17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z w:val="28"/>
        <w:szCs w:val="28"/>
      </w:rPr>
      <w:t>II</w:t>
    </w:r>
    <w:r>
      <w:rPr>
        <w:rFonts w:ascii="Times New Roman" w:eastAsia="Times New Roman" w:hAnsi="Times New Roman" w:cs="Times New Roman"/>
        <w:spacing w:val="17"/>
        <w:sz w:val="28"/>
        <w:szCs w:val="28"/>
      </w:rPr>
      <w:t xml:space="preserve"> </w:t>
    </w:r>
    <w:r>
      <w:rPr>
        <w:rFonts w:ascii="微软雅黑" w:eastAsia="微软雅黑" w:hAnsi="微软雅黑" w:cs="微软雅黑"/>
        <w:spacing w:val="17"/>
        <w:sz w:val="18"/>
        <w:szCs w:val="1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7"/>
        <w:sz w:val="18"/>
        <w:szCs w:val="18"/>
      </w:rPr>
      <w:t>—</w:t>
    </w:r>
    <w:r>
      <w:rPr>
        <w:rFonts w:ascii="微软雅黑" w:eastAsia="微软雅黑" w:hAnsi="微软雅黑" w:cs="微软雅黑"/>
        <w:spacing w:val="-4"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spacing w:val="-4"/>
        <w:sz w:val="28"/>
        <w:szCs w:val="28"/>
      </w:rPr>
      <w:t xml:space="preserve">1  </w:t>
    </w:r>
    <w:r>
      <w:rPr>
        <w:rFonts w:ascii="微软雅黑" w:eastAsia="微软雅黑" w:hAnsi="微软雅黑" w:cs="微软雅黑"/>
        <w:spacing w:val="-4"/>
        <w:sz w:val="18"/>
        <w:szCs w:val="1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2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3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4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5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6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7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8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58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4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9  </w:t>
    </w:r>
    <w:r>
      <w:rPr>
        <w:rFonts w:ascii="微软雅黑" w:eastAsia="微软雅黑" w:hAnsi="微软雅黑" w:cs="微软雅黑"/>
        <w:spacing w:val="2"/>
        <w:sz w:val="18"/>
        <w:szCs w:val="18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10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93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5"/>
        <w:sz w:val="18"/>
        <w:szCs w:val="18"/>
      </w:rPr>
      <w:t xml:space="preserve">—   </w:t>
    </w:r>
    <w:r>
      <w:rPr>
        <w:rFonts w:ascii="Times New Roman" w:eastAsia="Times New Roman" w:hAnsi="Times New Roman" w:cs="Times New Roman"/>
        <w:spacing w:val="-5"/>
        <w:sz w:val="28"/>
        <w:szCs w:val="28"/>
      </w:rPr>
      <w:t xml:space="preserve">11  </w:t>
    </w:r>
    <w:r>
      <w:rPr>
        <w:rFonts w:ascii="微软雅黑" w:eastAsia="微软雅黑" w:hAnsi="微软雅黑" w:cs="微软雅黑"/>
        <w:spacing w:val="-5"/>
        <w:sz w:val="18"/>
        <w:szCs w:val="18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12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13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14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15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16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17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18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889"/>
      <w:rPr>
        <w:rFonts w:ascii="微软雅黑" w:eastAsia="微软雅黑" w:hAnsi="微软雅黑" w:cs="微软雅黑"/>
        <w:sz w:val="18"/>
        <w:szCs w:val="18"/>
      </w:rPr>
    </w:pPr>
    <w:r>
      <w:rPr>
        <w:rFonts w:ascii="微软雅黑" w:eastAsia="微软雅黑" w:hAnsi="微软雅黑" w:cs="微软雅黑"/>
        <w:spacing w:val="-6"/>
        <w:sz w:val="18"/>
        <w:szCs w:val="18"/>
      </w:rPr>
      <w:t xml:space="preserve">— </w:t>
    </w:r>
    <w:r>
      <w:rPr>
        <w:rFonts w:ascii="微软雅黑" w:eastAsia="微软雅黑" w:hAnsi="微软雅黑" w:cs="微软雅黑"/>
        <w:spacing w:val="-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3"/>
        <w:sz w:val="28"/>
        <w:szCs w:val="28"/>
      </w:rPr>
      <w:t xml:space="preserve">19  </w:t>
    </w:r>
    <w:r>
      <w:rPr>
        <w:rFonts w:ascii="微软雅黑" w:eastAsia="微软雅黑" w:hAnsi="微软雅黑" w:cs="微软雅黑"/>
        <w:spacing w:val="-3"/>
        <w:sz w:val="18"/>
        <w:szCs w:val="1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0C71E9F"/>
  </w:rsids>
  <w:docVars>
    <w:docVar w:name="commondata" w:val="eyJoZGlkIjoiZjk3OGNlZDJjYzY3MjMzYmViYjUzZDdjYzQzYzUwMjc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0">
    <w:name w:val="Table Normal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0">
    <w:name w:val="Table Normal_0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jpeg" /><Relationship Id="rId11" Type="http://schemas.openxmlformats.org/officeDocument/2006/relationships/image" Target="media/image3.jpe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image" Target="media/image4.jpeg" /><Relationship Id="rId15" Type="http://schemas.openxmlformats.org/officeDocument/2006/relationships/footer" Target="footer7.xml" /><Relationship Id="rId16" Type="http://schemas.openxmlformats.org/officeDocument/2006/relationships/image" Target="media/image5.jpeg" /><Relationship Id="rId17" Type="http://schemas.openxmlformats.org/officeDocument/2006/relationships/footer" Target="footer8.xml" /><Relationship Id="rId18" Type="http://schemas.openxmlformats.org/officeDocument/2006/relationships/image" Target="media/image6.png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footer" Target="footer10.xml" /><Relationship Id="rId22" Type="http://schemas.openxmlformats.org/officeDocument/2006/relationships/footer" Target="footer11.xml" /><Relationship Id="rId23" Type="http://schemas.openxmlformats.org/officeDocument/2006/relationships/image" Target="media/image8.png" /><Relationship Id="rId24" Type="http://schemas.openxmlformats.org/officeDocument/2006/relationships/footer" Target="footer12.xml" /><Relationship Id="rId25" Type="http://schemas.openxmlformats.org/officeDocument/2006/relationships/image" Target="media/image9.png" /><Relationship Id="rId26" Type="http://schemas.openxmlformats.org/officeDocument/2006/relationships/footer" Target="footer13.xml" /><Relationship Id="rId27" Type="http://schemas.openxmlformats.org/officeDocument/2006/relationships/image" Target="media/image10.jpeg" /><Relationship Id="rId28" Type="http://schemas.openxmlformats.org/officeDocument/2006/relationships/footer" Target="footer14.xml" /><Relationship Id="rId29" Type="http://schemas.openxmlformats.org/officeDocument/2006/relationships/footer" Target="footer15.xml" /><Relationship Id="rId3" Type="http://schemas.openxmlformats.org/officeDocument/2006/relationships/fontTable" Target="fontTable.xml" /><Relationship Id="rId30" Type="http://schemas.openxmlformats.org/officeDocument/2006/relationships/footer" Target="footer16.xml" /><Relationship Id="rId31" Type="http://schemas.openxmlformats.org/officeDocument/2006/relationships/footer" Target="footer17.xml" /><Relationship Id="rId32" Type="http://schemas.openxmlformats.org/officeDocument/2006/relationships/footer" Target="footer18.xml" /><Relationship Id="rId33" Type="http://schemas.openxmlformats.org/officeDocument/2006/relationships/footer" Target="footer19.xml" /><Relationship Id="rId34" Type="http://schemas.openxmlformats.org/officeDocument/2006/relationships/footer" Target="footer20.xml" /><Relationship Id="rId35" Type="http://schemas.openxmlformats.org/officeDocument/2006/relationships/image" Target="media/image11.jpeg" /><Relationship Id="rId36" Type="http://schemas.openxmlformats.org/officeDocument/2006/relationships/hyperlink" Target="https://d.book118.com/056200050234010040" TargetMode="External" /><Relationship Id="rId37" Type="http://schemas.openxmlformats.org/officeDocument/2006/relationships/footer" Target="footer2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左岸</cp:lastModifiedBy>
  <cp:revision>0</cp:revision>
  <dcterms:created xsi:type="dcterms:W3CDTF">2022-04-26T10:38:00Z</dcterms:created>
  <dcterms:modified xsi:type="dcterms:W3CDTF">2024-01-05T09:34:07Z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2023-04-19T11:53:01Z</vt:filetime>
  </property>
  <property fmtid="{D5CDD505-2E9C-101B-9397-08002B2CF9AE}" pid="3" name="CRO">
    <vt:lpwstr>wqlLaW5nc29mdCBQREYgdG8gV1BTIDgw</vt:lpwstr>
  </property>
  <property fmtid="{D5CDD505-2E9C-101B-9397-08002B2CF9AE}" pid="4" name="ICV">
    <vt:lpwstr>72DCA5F92FFF463C8B2FBC89E686119A_12</vt:lpwstr>
  </property>
  <property fmtid="{D5CDD505-2E9C-101B-9397-08002B2CF9AE}" pid="5" name="KSOProductBuildVer">
    <vt:lpwstr>2052-12.1.0.16120</vt:lpwstr>
  </property>
  <property fmtid="{D5CDD505-2E9C-101B-9397-08002B2CF9AE}" pid="6" name="UsrData">
    <vt:lpwstr>643f658a4e2c4874fa229584</vt:lpwstr>
  </property>
</Properties>
</file>