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Title"/>
      </w:pPr>
      <w:r>
        <w:rPr>
          <w:color w:val="70AD47"/>
          <w:spacing w:val="-1"/>
        </w:rPr>
        <w:t>肾脏干细胞治疗的跨学科合作模式</w:t>
      </w:r>
    </w:p>
    <w:p>
      <w:pPr>
        <w:pStyle w:val="BodyText"/>
        <w:ind w:left="0"/>
        <w:rPr>
          <w:rFonts w:ascii="Microsoft JhengHei"/>
          <w:b/>
          <w:sz w:val="20"/>
        </w:rPr>
      </w:pPr>
    </w:p>
    <w:p>
      <w:pPr>
        <w:pStyle w:val="BodyText"/>
        <w:ind w:left="0"/>
        <w:rPr>
          <w:rFonts w:ascii="Microsoft JhengHei"/>
          <w:b/>
          <w:sz w:val="20"/>
        </w:rPr>
      </w:pPr>
    </w:p>
    <w:p>
      <w:pPr>
        <w:pStyle w:val="BodyText"/>
        <w:ind w:left="0"/>
        <w:rPr>
          <w:rFonts w:ascii="Microsoft JhengHei"/>
          <w:b/>
          <w:sz w:val="20"/>
        </w:rPr>
      </w:pPr>
    </w:p>
    <w:p>
      <w:pPr>
        <w:pStyle w:val="BodyText"/>
        <w:ind w:left="0"/>
        <w:rPr>
          <w:rFonts w:ascii="Microsoft JhengHei"/>
          <w:b/>
          <w:sz w:val="20"/>
        </w:rPr>
      </w:pPr>
    </w:p>
    <w:p>
      <w:pPr>
        <w:pStyle w:val="BodyText"/>
        <w:spacing w:before="11"/>
        <w:ind w:left="0"/>
        <w:rPr>
          <w:rFonts w:ascii="Microsoft JhengHei"/>
          <w:b/>
          <w:sz w:val="11"/>
        </w:rPr>
      </w:pPr>
      <w:r>
        <w:drawing>
          <wp:anchor distT="0" distB="0" distL="0" distR="0" simplePos="0" relativeHeight="251658240" behindDoc="0" locked="0" layoutInCell="1" allowOverlap="1">
            <wp:simplePos x="0" y="0"/>
            <wp:positionH relativeFrom="page">
              <wp:posOffset>3313176</wp:posOffset>
            </wp:positionH>
            <wp:positionV relativeFrom="paragraph">
              <wp:posOffset>151156</wp:posOffset>
            </wp:positionV>
            <wp:extent cx="935516" cy="398145"/>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935516" cy="398145"/>
                    </a:xfrm>
                    <a:prstGeom prst="rect">
                      <a:avLst/>
                    </a:prstGeom>
                  </pic:spPr>
                </pic:pic>
              </a:graphicData>
            </a:graphic>
          </wp:anchor>
        </w:drawing>
      </w:r>
    </w:p>
    <w:p>
      <w:pPr>
        <w:pStyle w:val="BodyText"/>
        <w:spacing w:before="1"/>
        <w:ind w:left="0"/>
        <w:rPr>
          <w:rFonts w:ascii="Microsoft JhengHei"/>
          <w:b/>
          <w:sz w:val="14"/>
        </w:rPr>
      </w:pPr>
    </w:p>
    <w:sdt>
      <w:sdtPr>
        <w:id w:val="1797519634"/>
        <w:docPartObj>
          <w:docPartGallery w:val="Table of Contents"/>
          <w:docPartUnique/>
        </w:docPartObj>
      </w:sdtPr>
      <w:sdtContent>
        <w:p>
          <w:pPr>
            <w:pStyle w:val="TOC1"/>
            <w:tabs>
              <w:tab w:val="left" w:pos="1589"/>
              <w:tab w:val="right" w:leader="dot" w:pos="8415"/>
            </w:tabs>
            <w:spacing w:before="77"/>
            <w:rPr>
              <w:rFonts w:ascii="Times New Roman" w:eastAsia="Times New Roman"/>
            </w:rPr>
          </w:pPr>
          <w:r>
            <w:fldChar w:fldCharType="begin"/>
          </w:r>
          <w:r>
            <w:instrText xml:space="preserve">TOC \o "1-1" \h \z \u </w:instrText>
          </w:r>
          <w:r>
            <w:fldChar w:fldCharType="separate"/>
          </w:r>
          <w:hyperlink w:anchor="_bookmark0" w:history="1">
            <w:r>
              <w:t>第一部</w:t>
            </w:r>
            <w:r>
              <w:rPr>
                <w:spacing w:val="-10"/>
              </w:rPr>
              <w:t>分</w:t>
            </w:r>
            <w:r>
              <w:tab/>
              <w:t>肾脏干细胞的生物学特</w:t>
            </w:r>
            <w:r>
              <w:rPr>
                <w:spacing w:val="-10"/>
              </w:rPr>
              <w:t>性</w:t>
            </w:r>
            <w:r>
              <w:rPr>
                <w:rFonts w:ascii="Times New Roman" w:eastAsia="Times New Roman"/>
              </w:rPr>
              <w:tab/>
            </w:r>
            <w:r>
              <w:rPr>
                <w:rFonts w:ascii="Times New Roman" w:eastAsia="Times New Roman"/>
                <w:spacing w:val="-10"/>
              </w:rPr>
              <w:t>2</w:t>
            </w:r>
          </w:hyperlink>
        </w:p>
        <w:p>
          <w:pPr>
            <w:pStyle w:val="TOC1"/>
            <w:tabs>
              <w:tab w:val="left" w:pos="1589"/>
              <w:tab w:val="right" w:leader="dot" w:pos="8415"/>
            </w:tabs>
            <w:rPr>
              <w:rFonts w:ascii="Times New Roman" w:eastAsia="Times New Roman"/>
            </w:rPr>
          </w:pPr>
          <w:hyperlink w:anchor="_TOC_250006" w:history="1">
            <w:r>
              <w:t>第二部</w:t>
            </w:r>
            <w:r>
              <w:rPr>
                <w:spacing w:val="-10"/>
              </w:rPr>
              <w:t>分</w:t>
            </w:r>
            <w:r>
              <w:tab/>
              <w:t>肾脏疾病与干细胞治疗的关</w:t>
            </w:r>
            <w:r>
              <w:rPr>
                <w:spacing w:val="-10"/>
              </w:rPr>
              <w:t>系</w:t>
            </w:r>
            <w:r>
              <w:rPr>
                <w:rFonts w:ascii="Times New Roman" w:eastAsia="Times New Roman"/>
              </w:rPr>
              <w:tab/>
            </w:r>
            <w:r>
              <w:rPr>
                <w:rFonts w:ascii="Times New Roman" w:eastAsia="Times New Roman"/>
                <w:spacing w:val="-10"/>
              </w:rPr>
              <w:t>4</w:t>
            </w:r>
          </w:hyperlink>
        </w:p>
        <w:p>
          <w:pPr>
            <w:pStyle w:val="TOC1"/>
            <w:tabs>
              <w:tab w:val="left" w:pos="1589"/>
              <w:tab w:val="right" w:leader="dot" w:pos="8415"/>
            </w:tabs>
            <w:rPr>
              <w:rFonts w:ascii="Times New Roman" w:eastAsia="Times New Roman"/>
            </w:rPr>
          </w:pPr>
          <w:hyperlink w:anchor="_TOC_250005" w:history="1">
            <w:r>
              <w:t>第三部</w:t>
            </w:r>
            <w:r>
              <w:rPr>
                <w:spacing w:val="-10"/>
              </w:rPr>
              <w:t>分</w:t>
            </w:r>
            <w:r>
              <w:tab/>
              <w:t>跨学科合作的必要性分</w:t>
            </w:r>
            <w:r>
              <w:rPr>
                <w:spacing w:val="-10"/>
              </w:rPr>
              <w:t>析</w:t>
            </w:r>
            <w:r>
              <w:rPr>
                <w:rFonts w:ascii="Times New Roman" w:eastAsia="Times New Roman"/>
              </w:rPr>
              <w:tab/>
            </w:r>
            <w:r>
              <w:rPr>
                <w:rFonts w:ascii="Times New Roman" w:eastAsia="Times New Roman"/>
                <w:spacing w:val="-10"/>
              </w:rPr>
              <w:t>4</w:t>
            </w:r>
          </w:hyperlink>
        </w:p>
        <w:p>
          <w:pPr>
            <w:pStyle w:val="TOC1"/>
            <w:tabs>
              <w:tab w:val="left" w:pos="1589"/>
              <w:tab w:val="right" w:leader="dot" w:pos="8415"/>
            </w:tabs>
            <w:rPr>
              <w:rFonts w:ascii="Times New Roman" w:eastAsia="Times New Roman"/>
            </w:rPr>
          </w:pPr>
          <w:hyperlink w:anchor="_TOC_250004" w:history="1">
            <w:r>
              <w:t>第四部</w:t>
            </w:r>
            <w:r>
              <w:rPr>
                <w:spacing w:val="-10"/>
              </w:rPr>
              <w:t>分</w:t>
            </w:r>
            <w:r>
              <w:tab/>
              <w:t>干细胞治疗的技术挑</w:t>
            </w:r>
            <w:r>
              <w:rPr>
                <w:spacing w:val="-10"/>
              </w:rPr>
              <w:t>战</w:t>
            </w:r>
            <w:r>
              <w:rPr>
                <w:rFonts w:ascii="Times New Roman" w:eastAsia="Times New Roman"/>
              </w:rPr>
              <w:tab/>
            </w:r>
            <w:r>
              <w:rPr>
                <w:rFonts w:ascii="Times New Roman" w:eastAsia="Times New Roman"/>
                <w:spacing w:val="-10"/>
              </w:rPr>
              <w:t>4</w:t>
            </w:r>
          </w:hyperlink>
        </w:p>
        <w:p>
          <w:pPr>
            <w:pStyle w:val="TOC1"/>
            <w:tabs>
              <w:tab w:val="left" w:pos="1589"/>
              <w:tab w:val="right" w:leader="dot" w:pos="8415"/>
            </w:tabs>
            <w:rPr>
              <w:rFonts w:ascii="Times New Roman" w:eastAsia="Times New Roman"/>
            </w:rPr>
          </w:pPr>
          <w:hyperlink w:anchor="_TOC_250003" w:history="1">
            <w:r>
              <w:t>第五部</w:t>
            </w:r>
            <w:r>
              <w:rPr>
                <w:spacing w:val="-10"/>
              </w:rPr>
              <w:t>分</w:t>
            </w:r>
            <w:r>
              <w:tab/>
              <w:t>临床试验的伦理考</w:t>
            </w:r>
            <w:r>
              <w:rPr>
                <w:spacing w:val="-10"/>
              </w:rPr>
              <w:t>量</w:t>
            </w:r>
            <w:r>
              <w:rPr>
                <w:rFonts w:ascii="Times New Roman" w:eastAsia="Times New Roman"/>
              </w:rPr>
              <w:tab/>
            </w:r>
            <w:r>
              <w:rPr>
                <w:rFonts w:ascii="Times New Roman" w:eastAsia="Times New Roman"/>
                <w:spacing w:val="-10"/>
              </w:rPr>
              <w:t>7</w:t>
            </w:r>
          </w:hyperlink>
        </w:p>
        <w:p>
          <w:pPr>
            <w:pStyle w:val="TOC1"/>
            <w:tabs>
              <w:tab w:val="left" w:pos="1589"/>
              <w:tab w:val="right" w:leader="dot" w:pos="8415"/>
            </w:tabs>
            <w:rPr>
              <w:rFonts w:ascii="Times New Roman" w:eastAsia="Times New Roman"/>
            </w:rPr>
          </w:pPr>
          <w:hyperlink w:anchor="_TOC_250002" w:history="1">
            <w:r>
              <w:t>第六部</w:t>
            </w:r>
            <w:r>
              <w:rPr>
                <w:spacing w:val="-10"/>
              </w:rPr>
              <w:t>分</w:t>
            </w:r>
            <w:r>
              <w:tab/>
              <w:t>跨学科团队的构建与管</w:t>
            </w:r>
            <w:r>
              <w:rPr>
                <w:spacing w:val="-10"/>
              </w:rPr>
              <w:t>理</w:t>
            </w:r>
            <w:r>
              <w:rPr>
                <w:rFonts w:ascii="Times New Roman" w:eastAsia="Times New Roman"/>
              </w:rPr>
              <w:tab/>
            </w:r>
            <w:r>
              <w:rPr>
                <w:rFonts w:ascii="Times New Roman" w:eastAsia="Times New Roman"/>
                <w:spacing w:val="-5"/>
              </w:rPr>
              <w:t>10</w:t>
            </w:r>
          </w:hyperlink>
        </w:p>
        <w:p>
          <w:pPr>
            <w:pStyle w:val="TOC1"/>
            <w:tabs>
              <w:tab w:val="left" w:pos="1589"/>
              <w:tab w:val="right" w:leader="dot" w:pos="8415"/>
            </w:tabs>
            <w:spacing w:before="354"/>
            <w:rPr>
              <w:rFonts w:ascii="Times New Roman" w:eastAsia="Times New Roman"/>
            </w:rPr>
          </w:pPr>
          <w:hyperlink w:anchor="_TOC_250001" w:history="1">
            <w:r>
              <w:t>第七部</w:t>
            </w:r>
            <w:r>
              <w:rPr>
                <w:spacing w:val="-10"/>
              </w:rPr>
              <w:t>分</w:t>
            </w:r>
            <w:r>
              <w:tab/>
              <w:t>肾脏干细胞治疗的临床应用前</w:t>
            </w:r>
            <w:r>
              <w:rPr>
                <w:spacing w:val="-10"/>
              </w:rPr>
              <w:t>景</w:t>
            </w:r>
            <w:r>
              <w:rPr>
                <w:rFonts w:ascii="Times New Roman" w:eastAsia="Times New Roman"/>
              </w:rPr>
              <w:tab/>
            </w:r>
            <w:r>
              <w:rPr>
                <w:rFonts w:ascii="Times New Roman" w:eastAsia="Times New Roman"/>
                <w:spacing w:val="-5"/>
              </w:rPr>
              <w:t>12</w:t>
            </w:r>
          </w:hyperlink>
        </w:p>
        <w:p>
          <w:pPr>
            <w:pStyle w:val="TOC1"/>
            <w:tabs>
              <w:tab w:val="left" w:pos="1589"/>
              <w:tab w:val="right" w:leader="dot" w:pos="8415"/>
            </w:tabs>
            <w:rPr>
              <w:rFonts w:ascii="Times New Roman" w:eastAsia="Times New Roman"/>
            </w:rPr>
          </w:pPr>
          <w:hyperlink w:anchor="_TOC_250000" w:history="1">
            <w:r>
              <w:t>第八部</w:t>
            </w:r>
            <w:r>
              <w:rPr>
                <w:spacing w:val="-10"/>
              </w:rPr>
              <w:t>分</w:t>
            </w:r>
            <w:r>
              <w:tab/>
              <w:t>政策与法规对合作模式的影</w:t>
            </w:r>
            <w:r>
              <w:rPr>
                <w:spacing w:val="-10"/>
              </w:rPr>
              <w:t>响</w:t>
            </w:r>
            <w:r>
              <w:rPr>
                <w:rFonts w:ascii="Times New Roman" w:eastAsia="Times New Roman"/>
              </w:rPr>
              <w:tab/>
            </w:r>
            <w:r>
              <w:rPr>
                <w:rFonts w:ascii="Times New Roman" w:eastAsia="Times New Roman"/>
                <w:spacing w:val="-5"/>
              </w:rPr>
              <w:t>14</w:t>
            </w:r>
          </w:hyperlink>
        </w:p>
        <w:p>
          <w:r>
            <w:fldChar w:fldCharType="end"/>
          </w:r>
        </w:p>
      </w:sdtContent>
    </w:sdt>
    <w:p>
      <w:pPr>
        <w:spacing w:after="0"/>
        <w:sectPr>
          <w:footerReference w:type="default" r:id="rId5"/>
          <w:type w:val="continuous"/>
          <w:pgSz w:w="11910" w:h="16840"/>
          <w:pgMar w:top="1480" w:right="1280" w:bottom="1380" w:left="1680" w:header="0" w:footer="1198"/>
          <w:pgNumType w:start="1"/>
          <w:cols w:space="708"/>
        </w:sectPr>
      </w:pPr>
    </w:p>
    <w:p>
      <w:pPr>
        <w:pStyle w:val="Heading1"/>
        <w:tabs>
          <w:tab w:val="left" w:pos="1725"/>
        </w:tabs>
        <w:spacing w:line="514" w:lineRule="exact"/>
      </w:pPr>
      <w:bookmarkStart w:id="0" w:name="_bookmark0"/>
      <w:bookmarkEnd w:id="0"/>
      <w:r>
        <w:t>第</w:t>
      </w:r>
      <w:r>
        <w:t>一</w:t>
      </w:r>
      <w:r>
        <w:t>部</w:t>
      </w:r>
      <w:r>
        <w:rPr>
          <w:spacing w:val="-10"/>
        </w:rPr>
        <w:t>分</w:t>
      </w:r>
      <w:r>
        <w:tab/>
        <w:t>肾</w:t>
      </w:r>
      <w:r>
        <w:t>脏</w:t>
      </w:r>
      <w:r>
        <w:t>干</w:t>
      </w:r>
      <w:r>
        <w:t>细</w:t>
      </w:r>
      <w:r>
        <w:t>胞</w:t>
      </w:r>
      <w:r>
        <w:t>的</w:t>
      </w:r>
      <w:r>
        <w:t>生</w:t>
      </w:r>
      <w:r>
        <w:t>物</w:t>
      </w:r>
      <w:r>
        <w:t>学</w:t>
      </w:r>
      <w:r>
        <w:t>特</w:t>
      </w:r>
      <w:r>
        <w:rPr>
          <w:spacing w:val="-10"/>
        </w:rPr>
        <w:t>性</w:t>
      </w:r>
    </w:p>
    <w:p>
      <w:pPr>
        <w:pStyle w:val="BodyText"/>
        <w:spacing w:before="15" w:after="1"/>
        <w:ind w:left="0"/>
        <w:rPr>
          <w:rFonts w:ascii="Microsoft JhengHei"/>
          <w:b/>
          <w:sz w:val="15"/>
        </w:rPr>
      </w:pPr>
    </w:p>
    <w:tbl>
      <w:tblPr>
        <w:tblStyle w:val="TableNormal0"/>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75"/>
        <w:gridCol w:w="5521"/>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75" w:type="dxa"/>
          </w:tcPr>
          <w:p>
            <w:pPr>
              <w:pStyle w:val="TableParagraph"/>
              <w:spacing w:before="23"/>
              <w:rPr>
                <w:sz w:val="21"/>
              </w:rPr>
            </w:pPr>
            <w:r>
              <w:rPr>
                <w:spacing w:val="-4"/>
                <w:sz w:val="21"/>
              </w:rPr>
              <w:t>关键词</w:t>
            </w:r>
          </w:p>
        </w:tc>
        <w:tc>
          <w:tcPr>
            <w:tcW w:w="5521" w:type="dxa"/>
          </w:tcPr>
          <w:p>
            <w:pPr>
              <w:pStyle w:val="TableParagraph"/>
              <w:spacing w:before="23"/>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4056"/>
          <w:jc w:val="left"/>
        </w:trPr>
        <w:tc>
          <w:tcPr>
            <w:tcW w:w="2775" w:type="dxa"/>
          </w:tcPr>
          <w:p>
            <w:pPr>
              <w:pStyle w:val="TableParagraph"/>
              <w:spacing w:before="23" w:line="278" w:lineRule="auto"/>
              <w:ind w:right="95"/>
              <w:rPr>
                <w:sz w:val="21"/>
              </w:rPr>
            </w:pPr>
            <w:r>
              <w:rPr>
                <w:spacing w:val="20"/>
                <w:sz w:val="21"/>
              </w:rPr>
              <w:t>【肾脏干细胞的定义与分</w:t>
            </w:r>
            <w:r>
              <w:rPr>
                <w:spacing w:val="-4"/>
                <w:sz w:val="21"/>
              </w:rPr>
              <w:t>类】：</w:t>
            </w:r>
          </w:p>
        </w:tc>
        <w:tc>
          <w:tcPr>
            <w:tcW w:w="5521" w:type="dxa"/>
          </w:tcPr>
          <w:p>
            <w:pPr>
              <w:pStyle w:val="TableParagraph"/>
              <w:spacing w:before="4"/>
              <w:ind w:left="0"/>
              <w:rPr>
                <w:rFonts w:ascii="Microsoft JhengHei"/>
                <w:b/>
                <w:sz w:val="18"/>
              </w:rPr>
            </w:pPr>
          </w:p>
          <w:p>
            <w:pPr>
              <w:pStyle w:val="TableParagraph"/>
              <w:numPr>
                <w:ilvl w:val="0"/>
                <w:numId w:val="17"/>
              </w:numPr>
              <w:tabs>
                <w:tab w:val="left" w:pos="375"/>
              </w:tabs>
              <w:spacing w:before="0" w:after="0" w:line="278" w:lineRule="auto"/>
              <w:ind w:left="108" w:right="96" w:firstLine="0"/>
              <w:jc w:val="both"/>
              <w:rPr>
                <w:sz w:val="21"/>
              </w:rPr>
            </w:pPr>
            <w:r>
              <w:rPr>
                <w:sz w:val="21"/>
              </w:rPr>
              <w:t>肾脏干细胞（</w:t>
            </w:r>
            <w:r>
              <w:rPr>
                <w:rFonts w:ascii="Times New Roman" w:eastAsia="Times New Roman"/>
                <w:sz w:val="21"/>
              </w:rPr>
              <w:t>Renal Stem Cells, RSCs</w:t>
            </w:r>
            <w:r>
              <w:rPr>
                <w:sz w:val="21"/>
              </w:rPr>
              <w:t>）是一类具有自我</w:t>
            </w:r>
            <w:r>
              <w:rPr>
                <w:spacing w:val="-2"/>
                <w:sz w:val="21"/>
              </w:rPr>
              <w:t>更新能力和多向分化潜能的细胞群体，它们在肾脏发育、</w:t>
            </w:r>
            <w:r>
              <w:rPr>
                <w:spacing w:val="-2"/>
                <w:sz w:val="21"/>
              </w:rPr>
              <w:t>修复及再生过程中起着至关重要的作用。</w:t>
            </w:r>
          </w:p>
          <w:p>
            <w:pPr>
              <w:pStyle w:val="TableParagraph"/>
              <w:numPr>
                <w:ilvl w:val="0"/>
                <w:numId w:val="17"/>
              </w:numPr>
              <w:tabs>
                <w:tab w:val="left" w:pos="371"/>
              </w:tabs>
              <w:spacing w:before="0" w:after="0" w:line="278" w:lineRule="auto"/>
              <w:ind w:left="108" w:right="96" w:firstLine="0"/>
              <w:jc w:val="both"/>
              <w:rPr>
                <w:sz w:val="21"/>
              </w:rPr>
            </w:pPr>
            <w:r>
              <w:rPr>
                <w:spacing w:val="-2"/>
                <w:sz w:val="21"/>
              </w:rPr>
              <w:t>根据来源和分化能力，肾脏干细胞可以分为胚胎肾干细</w:t>
            </w:r>
            <w:r>
              <w:rPr>
                <w:spacing w:val="-2"/>
                <w:sz w:val="21"/>
              </w:rPr>
              <w:t>胞和成体肾干细胞。胚胎肾干细胞主要来源于胚胎发育阶</w:t>
            </w:r>
            <w:r>
              <w:rPr>
                <w:spacing w:val="-2"/>
                <w:sz w:val="21"/>
              </w:rPr>
              <w:t>段，具有较强的分化潜力；而成体肾干细胞则主要存在于</w:t>
            </w:r>
            <w:r>
              <w:rPr>
                <w:spacing w:val="-2"/>
                <w:sz w:val="21"/>
              </w:rPr>
              <w:t>成年个体的肾脏组织中，其分化能力相对较弱。</w:t>
            </w:r>
          </w:p>
          <w:p>
            <w:pPr>
              <w:pStyle w:val="TableParagraph"/>
              <w:numPr>
                <w:ilvl w:val="0"/>
                <w:numId w:val="17"/>
              </w:numPr>
              <w:tabs>
                <w:tab w:val="left" w:pos="371"/>
              </w:tabs>
              <w:spacing w:before="0" w:after="0" w:line="278" w:lineRule="auto"/>
              <w:ind w:left="108" w:right="96" w:firstLine="0"/>
              <w:jc w:val="both"/>
              <w:rPr>
                <w:sz w:val="21"/>
              </w:rPr>
            </w:pPr>
            <w:r>
              <w:rPr>
                <w:spacing w:val="-2"/>
                <w:sz w:val="21"/>
              </w:rPr>
              <w:t>近年来，随着干细胞技术的发展，研究人员已经能够通</w:t>
            </w:r>
            <w:r>
              <w:rPr>
                <w:spacing w:val="-2"/>
                <w:sz w:val="21"/>
              </w:rPr>
              <w:t>过体外培养的方式获得具有一定分化能力的肾脏干细胞，</w:t>
            </w:r>
            <w:r>
              <w:rPr>
                <w:spacing w:val="-2"/>
                <w:sz w:val="21"/>
              </w:rPr>
              <w:t>为肾脏疾病的治疗提供了新的可能。</w:t>
            </w:r>
          </w:p>
          <w:p>
            <w:pPr>
              <w:pStyle w:val="TableParagraph"/>
              <w:spacing w:line="269" w:lineRule="exact"/>
              <w:rPr>
                <w:sz w:val="21"/>
              </w:rPr>
            </w:pPr>
            <w:r>
              <w:rPr>
                <w:spacing w:val="-1"/>
                <w:sz w:val="21"/>
              </w:rPr>
              <w:t>【肾脏干细胞的生物学特性】：</w:t>
            </w:r>
          </w:p>
        </w:tc>
      </w:tr>
    </w:tbl>
    <w:p>
      <w:pPr>
        <w:pStyle w:val="BodyText"/>
        <w:spacing w:before="135" w:line="417" w:lineRule="auto"/>
        <w:ind w:right="518" w:firstLine="560"/>
        <w:jc w:val="both"/>
      </w:pPr>
      <w:r>
        <w:t>肾脏干细胞（Renal</w:t>
      </w:r>
      <w:r>
        <w:rPr>
          <w:spacing w:val="-35"/>
        </w:rPr>
        <w:t xml:space="preserve"> </w:t>
      </w:r>
      <w:r>
        <w:t>Stem</w:t>
      </w:r>
      <w:r>
        <w:rPr>
          <w:spacing w:val="-35"/>
        </w:rPr>
        <w:t xml:space="preserve"> </w:t>
      </w:r>
      <w:r>
        <w:t>Cells,</w:t>
      </w:r>
      <w:r>
        <w:rPr>
          <w:spacing w:val="-35"/>
        </w:rPr>
        <w:t xml:space="preserve"> </w:t>
      </w:r>
      <w:r>
        <w:t>RSCs）是肾脏组织内具有自我</w:t>
      </w:r>
      <w:r>
        <w:rPr>
          <w:spacing w:val="-4"/>
        </w:rPr>
        <w:t>更新和分化为成熟肾脏细胞潜能的原始细胞。它们在肾脏发育、修复</w:t>
      </w:r>
      <w:r>
        <w:rPr>
          <w:spacing w:val="-2"/>
        </w:rPr>
        <w:t>及再生过程中起着至关重要的作用。</w:t>
      </w:r>
    </w:p>
    <w:p>
      <w:pPr>
        <w:pStyle w:val="BodyText"/>
        <w:spacing w:line="358" w:lineRule="exact"/>
        <w:jc w:val="both"/>
      </w:pPr>
      <w:r>
        <w:rPr>
          <w:spacing w:val="-1"/>
        </w:rPr>
        <w:t>### 肾脏干细胞的生物学特性：</w:t>
      </w:r>
    </w:p>
    <w:p>
      <w:pPr>
        <w:pStyle w:val="BodyText"/>
        <w:spacing w:before="8"/>
        <w:ind w:left="0"/>
        <w:rPr>
          <w:sz w:val="20"/>
        </w:rPr>
      </w:pPr>
    </w:p>
    <w:p>
      <w:pPr>
        <w:pStyle w:val="BodyText"/>
        <w:spacing w:before="1"/>
        <w:jc w:val="both"/>
      </w:pPr>
      <w:r>
        <w:t>#### 1.</w:t>
      </w:r>
      <w:r>
        <w:rPr>
          <w:spacing w:val="-2"/>
        </w:rPr>
        <w:t xml:space="preserve"> 自我更新能力</w:t>
      </w:r>
    </w:p>
    <w:p>
      <w:pPr>
        <w:pStyle w:val="BodyText"/>
        <w:spacing w:before="8"/>
        <w:ind w:left="0"/>
        <w:rPr>
          <w:sz w:val="20"/>
        </w:rPr>
      </w:pPr>
    </w:p>
    <w:p>
      <w:pPr>
        <w:pStyle w:val="BodyText"/>
        <w:spacing w:before="1" w:line="417" w:lineRule="auto"/>
        <w:ind w:right="518"/>
        <w:jc w:val="both"/>
      </w:pPr>
      <w:r>
        <w:rPr>
          <w:spacing w:val="-8"/>
        </w:rPr>
        <w:t>肾脏干细胞具备强大的自我更新能力，能在体内外环境中维持其干细</w:t>
      </w:r>
      <w:r>
        <w:rPr>
          <w:spacing w:val="-4"/>
        </w:rPr>
        <w:t>胞池的稳定。这种能力对于肾脏损伤后的修复至关重要，因为干细胞</w:t>
      </w:r>
      <w:r>
        <w:rPr>
          <w:spacing w:val="-2"/>
        </w:rPr>
        <w:t>可以不断产生新的干细胞以补充因损伤而减少的干细胞群体。</w:t>
      </w:r>
    </w:p>
    <w:p>
      <w:pPr>
        <w:pStyle w:val="BodyText"/>
        <w:spacing w:line="358" w:lineRule="exact"/>
        <w:jc w:val="both"/>
      </w:pPr>
      <w:r>
        <w:t>#### 2.</w:t>
      </w:r>
      <w:r>
        <w:rPr>
          <w:spacing w:val="-2"/>
        </w:rPr>
        <w:t xml:space="preserve"> 多向分化潜能</w:t>
      </w:r>
    </w:p>
    <w:p>
      <w:pPr>
        <w:pStyle w:val="BodyText"/>
        <w:spacing w:before="8"/>
        <w:ind w:left="0"/>
        <w:rPr>
          <w:sz w:val="20"/>
        </w:rPr>
      </w:pPr>
    </w:p>
    <w:p>
      <w:pPr>
        <w:pStyle w:val="BodyText"/>
        <w:spacing w:before="1" w:line="417" w:lineRule="auto"/>
        <w:ind w:right="518"/>
        <w:jc w:val="both"/>
      </w:pPr>
      <w:r>
        <w:rPr>
          <w:spacing w:val="-9"/>
        </w:rPr>
        <w:t>肾脏干细胞具有多向分化的潜能，意味着它们能够分化成多种类型的</w:t>
      </w:r>
      <w:r>
        <w:rPr>
          <w:spacing w:val="-4"/>
        </w:rPr>
        <w:t>肾脏细胞，如肾小球上皮细胞、肾小管上皮细胞、间质细胞以及血管</w:t>
      </w:r>
      <w:r>
        <w:rPr>
          <w:spacing w:val="-13"/>
        </w:rPr>
        <w:t>细胞等。这种分化潜能使得肾脏干细胞在治疗由不同原因引起的肾脏</w:t>
      </w:r>
      <w:r>
        <w:rPr>
          <w:spacing w:val="-2"/>
        </w:rPr>
        <w:t>疾病时具有广泛的应用前景。</w:t>
      </w:r>
    </w:p>
    <w:p>
      <w:pPr>
        <w:pStyle w:val="BodyText"/>
        <w:spacing w:line="358" w:lineRule="exact"/>
        <w:jc w:val="both"/>
      </w:pPr>
      <w:r>
        <w:t>#### 3.</w:t>
      </w:r>
      <w:r>
        <w:rPr>
          <w:spacing w:val="-2"/>
        </w:rPr>
        <w:t xml:space="preserve"> 低免疫原性</w:t>
      </w:r>
    </w:p>
    <w:p>
      <w:pPr>
        <w:spacing w:after="0" w:line="358" w:lineRule="exact"/>
        <w:jc w:val="both"/>
        <w:sectPr>
          <w:footerReference w:type="default" r:id="rId6"/>
          <w:pgSz w:w="11910" w:h="16840"/>
          <w:pgMar w:top="1500" w:right="1280" w:bottom="1380" w:left="1680" w:header="0" w:footer="1198"/>
          <w:pgNumType w:start="2"/>
          <w:cols w:space="708"/>
        </w:sectPr>
      </w:pPr>
    </w:p>
    <w:p>
      <w:pPr>
        <w:pStyle w:val="BodyText"/>
        <w:spacing w:before="37" w:line="417" w:lineRule="auto"/>
        <w:ind w:right="518"/>
        <w:jc w:val="both"/>
      </w:pPr>
      <w:r>
        <w:rPr>
          <w:spacing w:val="-8"/>
        </w:rPr>
        <w:t>肾脏干细胞通常表现出较低的免疫原性，这意味着它们不太可能引发</w:t>
      </w:r>
      <w:r>
        <w:rPr>
          <w:spacing w:val="-12"/>
        </w:rPr>
        <w:t>宿主的免疫反应。这一特性使得肾脏干细胞移植成为治疗某些肾脏疾</w:t>
      </w:r>
      <w:r>
        <w:rPr>
          <w:spacing w:val="-12"/>
        </w:rPr>
        <w:t>病的一种可行方法，尤其是在需要抑制宿主免疫系统以防止移植物排</w:t>
      </w:r>
      <w:r>
        <w:rPr>
          <w:spacing w:val="-2"/>
        </w:rPr>
        <w:t>斥的情况下。</w:t>
      </w:r>
    </w:p>
    <w:p>
      <w:pPr>
        <w:pStyle w:val="BodyText"/>
        <w:spacing w:line="358" w:lineRule="exact"/>
        <w:jc w:val="both"/>
      </w:pPr>
      <w:r>
        <w:t>#### 4.</w:t>
      </w:r>
      <w:r>
        <w:rPr>
          <w:spacing w:val="-2"/>
        </w:rPr>
        <w:t xml:space="preserve"> 旁分泌效应</w:t>
      </w:r>
    </w:p>
    <w:p>
      <w:pPr>
        <w:pStyle w:val="BodyText"/>
        <w:spacing w:before="8"/>
        <w:ind w:left="0"/>
        <w:rPr>
          <w:sz w:val="20"/>
        </w:rPr>
      </w:pPr>
    </w:p>
    <w:p>
      <w:pPr>
        <w:pStyle w:val="BodyText"/>
        <w:spacing w:before="1" w:line="417" w:lineRule="auto"/>
        <w:ind w:right="518"/>
        <w:jc w:val="both"/>
      </w:pPr>
      <w:r>
        <w:rPr>
          <w:spacing w:val="-7"/>
        </w:rPr>
        <w:t>肾脏干细胞不仅能够分化为成熟的肾脏细胞，还能够通过释放各种生</w:t>
      </w:r>
      <w:r>
        <w:rPr>
          <w:spacing w:val="-8"/>
        </w:rPr>
        <w:t>长因子和细胞因子来调节局部微环境。这些旁分泌因子有助于促进受</w:t>
      </w:r>
      <w:r>
        <w:rPr>
          <w:spacing w:val="-2"/>
        </w:rPr>
        <w:t>损肾脏组织的修复和再生，同时也能改善肾脏功能。</w:t>
      </w:r>
    </w:p>
    <w:p>
      <w:pPr>
        <w:pStyle w:val="BodyText"/>
        <w:spacing w:line="358" w:lineRule="exact"/>
        <w:jc w:val="both"/>
      </w:pPr>
      <w:r>
        <w:t>#### 5.</w:t>
      </w:r>
      <w:r>
        <w:rPr>
          <w:spacing w:val="-2"/>
        </w:rPr>
        <w:t xml:space="preserve"> 归巢能力</w:t>
      </w:r>
    </w:p>
    <w:p>
      <w:pPr>
        <w:pStyle w:val="BodyText"/>
        <w:spacing w:before="8"/>
        <w:ind w:left="0"/>
        <w:rPr>
          <w:sz w:val="20"/>
        </w:rPr>
      </w:pPr>
    </w:p>
    <w:p>
      <w:pPr>
        <w:pStyle w:val="BodyText"/>
        <w:spacing w:before="1" w:line="417" w:lineRule="auto"/>
        <w:ind w:right="518"/>
        <w:jc w:val="both"/>
      </w:pPr>
      <w:r>
        <w:rPr>
          <w:spacing w:val="-4"/>
        </w:rPr>
        <w:t>肾脏干细胞具有归巢到损伤肾脏部位的天然倾向，这一现象称为“归</w:t>
      </w:r>
      <w:r>
        <w:rPr>
          <w:spacing w:val="-14"/>
        </w:rPr>
        <w:t>巢”或“趋化”。这种能力使得肾脏干细胞能够在肾脏损伤后迅速到</w:t>
      </w:r>
      <w:r>
        <w:rPr>
          <w:spacing w:val="-2"/>
        </w:rPr>
        <w:t>达损伤部位，从而加速修复过程。</w:t>
      </w:r>
    </w:p>
    <w:p>
      <w:pPr>
        <w:pStyle w:val="BodyText"/>
        <w:spacing w:line="358" w:lineRule="exact"/>
        <w:jc w:val="both"/>
      </w:pPr>
      <w:r>
        <w:rPr>
          <w:spacing w:val="-1"/>
        </w:rPr>
        <w:t>### 肾脏干细胞的来源：</w:t>
      </w:r>
    </w:p>
    <w:p>
      <w:pPr>
        <w:pStyle w:val="BodyText"/>
        <w:spacing w:before="8"/>
        <w:ind w:left="0"/>
        <w:rPr>
          <w:sz w:val="20"/>
        </w:rPr>
      </w:pPr>
    </w:p>
    <w:p>
      <w:pPr>
        <w:pStyle w:val="BodyText"/>
        <w:spacing w:before="1"/>
      </w:pPr>
      <w:r>
        <w:rPr>
          <w:spacing w:val="-1"/>
        </w:rPr>
        <w:t>肾脏干细胞的来源主要有两种途径：胚胎来源和成体来源。</w:t>
      </w:r>
    </w:p>
    <w:p>
      <w:pPr>
        <w:pStyle w:val="BodyText"/>
        <w:spacing w:before="8"/>
        <w:ind w:left="0"/>
        <w:rPr>
          <w:sz w:val="20"/>
        </w:rPr>
      </w:pPr>
    </w:p>
    <w:p>
      <w:pPr>
        <w:pStyle w:val="ListParagraph"/>
        <w:numPr>
          <w:ilvl w:val="0"/>
          <w:numId w:val="16"/>
        </w:numPr>
        <w:tabs>
          <w:tab w:val="left" w:pos="400"/>
        </w:tabs>
        <w:spacing w:before="1" w:after="0" w:line="417" w:lineRule="auto"/>
        <w:ind w:left="120" w:right="518" w:firstLine="0"/>
        <w:jc w:val="left"/>
        <w:rPr>
          <w:sz w:val="28"/>
        </w:rPr>
      </w:pPr>
      <w:r>
        <w:rPr>
          <w:spacing w:val="-4"/>
          <w:sz w:val="28"/>
        </w:rPr>
        <w:t>**胚胎来源**：胚胎期的肾脏干细胞主要来源于胚胎肾芽，它们在</w:t>
      </w:r>
      <w:r>
        <w:rPr>
          <w:spacing w:val="-2"/>
          <w:sz w:val="28"/>
        </w:rPr>
        <w:t>肾脏发育过程中起到关键作用。</w:t>
      </w:r>
    </w:p>
    <w:p>
      <w:pPr>
        <w:pStyle w:val="ListParagraph"/>
        <w:numPr>
          <w:ilvl w:val="0"/>
          <w:numId w:val="16"/>
        </w:numPr>
        <w:tabs>
          <w:tab w:val="left" w:pos="407"/>
        </w:tabs>
        <w:spacing w:before="0" w:after="0" w:line="417" w:lineRule="auto"/>
        <w:ind w:left="120" w:right="238" w:firstLine="0"/>
        <w:jc w:val="left"/>
        <w:rPr>
          <w:sz w:val="28"/>
        </w:rPr>
      </w:pPr>
      <w:r>
        <w:rPr>
          <w:spacing w:val="-2"/>
          <w:sz w:val="28"/>
        </w:rPr>
        <w:t>**成体来源**：成体肾脏干细胞主要存在于肾脏的某些特定区域，</w:t>
      </w:r>
      <w:r>
        <w:rPr>
          <w:spacing w:val="-12"/>
          <w:sz w:val="28"/>
        </w:rPr>
        <w:t>如肾髓质和肾小管。这些干细胞在成年肾脏受到损伤时可以被激活并</w:t>
      </w:r>
      <w:r>
        <w:rPr>
          <w:spacing w:val="-2"/>
          <w:sz w:val="28"/>
        </w:rPr>
        <w:t xml:space="preserve"> </w:t>
      </w:r>
      <w:r>
        <w:rPr>
          <w:spacing w:val="-2"/>
          <w:sz w:val="28"/>
        </w:rPr>
        <w:t>参与肾脏的修复与再生。</w:t>
      </w:r>
    </w:p>
    <w:p>
      <w:pPr>
        <w:pStyle w:val="BodyText"/>
        <w:spacing w:line="358" w:lineRule="exact"/>
      </w:pPr>
      <w:r>
        <w:rPr>
          <w:spacing w:val="-1"/>
        </w:rPr>
        <w:t>### 肾脏干细胞的研究进展：</w:t>
      </w:r>
    </w:p>
    <w:p>
      <w:pPr>
        <w:pStyle w:val="BodyText"/>
        <w:spacing w:before="8"/>
        <w:ind w:left="0"/>
        <w:rPr>
          <w:sz w:val="20"/>
        </w:rPr>
      </w:pPr>
    </w:p>
    <w:p>
      <w:pPr>
        <w:pStyle w:val="BodyText"/>
        <w:spacing w:line="417" w:lineRule="auto"/>
        <w:ind w:right="518"/>
      </w:pPr>
      <w:r>
        <w:rPr>
          <w:spacing w:val="-4"/>
        </w:rPr>
        <w:t>近年来，随着干细胞生物学的快速发展，肾脏干细胞的研究也取得了</w:t>
      </w:r>
      <w:r>
        <w:rPr>
          <w:spacing w:val="-5"/>
        </w:rPr>
        <w:t>显著进步。研究人员已经能够通过体外培养技术扩增肾脏干细胞，并</w:t>
      </w:r>
    </w:p>
    <w:p>
      <w:pPr>
        <w:spacing w:after="0" w:line="417" w:lineRule="auto"/>
        <w:sectPr>
          <w:footerReference w:type="default" r:id="rId7"/>
          <w:pgSz w:w="11910" w:h="16840"/>
          <w:pgMar w:top="1520" w:right="1280" w:bottom="1380" w:left="1680" w:header="0" w:footer="1198"/>
          <w:pgNumType w:start="3"/>
          <w:cols w:space="708"/>
        </w:sectPr>
      </w:pPr>
    </w:p>
    <w:p>
      <w:pPr>
        <w:pStyle w:val="BodyText"/>
        <w:spacing w:before="37" w:line="417" w:lineRule="auto"/>
        <w:ind w:right="518"/>
        <w:jc w:val="both"/>
      </w:pPr>
      <w:r>
        <w:rPr>
          <w:spacing w:val="-4"/>
        </w:rPr>
        <w:t>在动物模型上验证了它们的治疗效果。此外，关于肾脏干细胞如何调</w:t>
      </w:r>
      <w:r>
        <w:rPr>
          <w:spacing w:val="-12"/>
        </w:rPr>
        <w:t>控其分化命运、如何响应肾脏损伤信号以及如何与其他肾脏细胞相互</w:t>
      </w:r>
      <w:r>
        <w:rPr>
          <w:spacing w:val="-2"/>
        </w:rPr>
        <w:t>作用等问题，也正在逐步得到解答。</w:t>
      </w:r>
    </w:p>
    <w:p>
      <w:pPr>
        <w:pStyle w:val="BodyText"/>
        <w:spacing w:line="417" w:lineRule="auto"/>
        <w:ind w:right="518"/>
        <w:jc w:val="both"/>
      </w:pPr>
      <w:r>
        <w:rPr>
          <w:spacing w:val="-4"/>
        </w:rPr>
        <w:t>然而，肾脏干细胞治疗仍面临许多挑战，包括如何提高干细胞的治疗</w:t>
      </w:r>
      <w:r>
        <w:rPr>
          <w:spacing w:val="-13"/>
        </w:rPr>
        <w:t>效果、如何避免干细胞引发的潜在副作用以及如何实现干细胞的大规</w:t>
      </w:r>
      <w:r>
        <w:rPr>
          <w:spacing w:val="-4"/>
        </w:rPr>
        <w:t>模临床应用等。这些问题需要通过跨学科的合作来解决，包括细胞生</w:t>
      </w:r>
      <w:r>
        <w:rPr>
          <w:spacing w:val="-4"/>
        </w:rPr>
        <w:t>物学、分子生物学、临床医学、药理学以及生物材料学等领域的专家</w:t>
      </w:r>
      <w:r>
        <w:rPr>
          <w:spacing w:val="-2"/>
        </w:rPr>
        <w:t>共同努力。</w:t>
      </w:r>
    </w:p>
    <w:p>
      <w:pPr>
        <w:pStyle w:val="BodyText"/>
        <w:ind w:left="0"/>
      </w:pPr>
    </w:p>
    <w:p>
      <w:pPr>
        <w:pStyle w:val="Heading1"/>
        <w:tabs>
          <w:tab w:val="left" w:pos="1725"/>
        </w:tabs>
        <w:spacing w:before="236"/>
      </w:pPr>
      <w:bookmarkStart w:id="1" w:name="_TOC_250006"/>
      <w:r>
        <w:t>第</w:t>
      </w:r>
      <w:r>
        <w:t>二</w:t>
      </w:r>
      <w:r>
        <w:t>部</w:t>
      </w:r>
      <w:r>
        <w:rPr>
          <w:spacing w:val="-10"/>
        </w:rPr>
        <w:t>分</w:t>
      </w:r>
      <w:r>
        <w:tab/>
        <w:t>肾</w:t>
      </w:r>
      <w:r>
        <w:t>脏</w:t>
      </w:r>
      <w:r>
        <w:t>疾</w:t>
      </w:r>
      <w:r>
        <w:t>病</w:t>
      </w:r>
      <w:r>
        <w:t>与</w:t>
      </w:r>
      <w:r>
        <w:t>干</w:t>
      </w:r>
      <w:r>
        <w:t>细</w:t>
      </w:r>
      <w:r>
        <w:t>胞</w:t>
      </w:r>
      <w:r>
        <w:t>治</w:t>
      </w:r>
      <w:r>
        <w:t>疗</w:t>
      </w:r>
      <w:r>
        <w:t>的</w:t>
      </w:r>
      <w:r>
        <w:t>关</w:t>
      </w:r>
      <w:bookmarkEnd w:id="1"/>
      <w:r>
        <w:rPr>
          <w:spacing w:val="-10"/>
        </w:rPr>
        <w:t>系</w:t>
      </w:r>
    </w:p>
    <w:p>
      <w:pPr>
        <w:pStyle w:val="BodyText"/>
        <w:ind w:left="0"/>
        <w:rPr>
          <w:rFonts w:ascii="Microsoft JhengHei"/>
          <w:b/>
          <w:sz w:val="32"/>
        </w:rPr>
      </w:pPr>
    </w:p>
    <w:p>
      <w:pPr>
        <w:pStyle w:val="BodyText"/>
        <w:ind w:left="0"/>
        <w:rPr>
          <w:rFonts w:ascii="Microsoft JhengHei"/>
          <w:b/>
          <w:sz w:val="32"/>
        </w:rPr>
      </w:pPr>
    </w:p>
    <w:p>
      <w:pPr>
        <w:pStyle w:val="BodyText"/>
        <w:spacing w:before="11"/>
        <w:ind w:left="0"/>
        <w:rPr>
          <w:rFonts w:ascii="Microsoft JhengHei"/>
          <w:b/>
          <w:sz w:val="25"/>
        </w:rPr>
      </w:pPr>
    </w:p>
    <w:p>
      <w:pPr>
        <w:pStyle w:val="Heading1"/>
        <w:tabs>
          <w:tab w:val="left" w:pos="1725"/>
        </w:tabs>
      </w:pPr>
      <w:bookmarkStart w:id="2" w:name="_TOC_250005"/>
      <w:r>
        <w:t>第</w:t>
      </w:r>
      <w:r>
        <w:t>三</w:t>
      </w:r>
      <w:r>
        <w:t>部</w:t>
      </w:r>
      <w:r>
        <w:rPr>
          <w:spacing w:val="-10"/>
        </w:rPr>
        <w:t>分</w:t>
      </w:r>
      <w:r>
        <w:tab/>
        <w:t>跨</w:t>
      </w:r>
      <w:r>
        <w:t>学</w:t>
      </w:r>
      <w:r>
        <w:t>科</w:t>
      </w:r>
      <w:r>
        <w:t>合</w:t>
      </w:r>
      <w:r>
        <w:t>作</w:t>
      </w:r>
      <w:r>
        <w:t>的</w:t>
      </w:r>
      <w:r>
        <w:t>必</w:t>
      </w:r>
      <w:r>
        <w:t>要</w:t>
      </w:r>
      <w:r>
        <w:t>性</w:t>
      </w:r>
      <w:r>
        <w:t>分</w:t>
      </w:r>
      <w:bookmarkEnd w:id="2"/>
      <w:r>
        <w:rPr>
          <w:spacing w:val="-10"/>
        </w:rPr>
        <w:t>析</w:t>
      </w:r>
    </w:p>
    <w:p>
      <w:pPr>
        <w:pStyle w:val="BodyText"/>
        <w:ind w:left="0"/>
        <w:rPr>
          <w:rFonts w:ascii="Microsoft JhengHei"/>
          <w:b/>
          <w:sz w:val="32"/>
        </w:rPr>
      </w:pPr>
    </w:p>
    <w:p>
      <w:pPr>
        <w:pStyle w:val="BodyText"/>
        <w:ind w:left="0"/>
        <w:rPr>
          <w:rFonts w:ascii="Microsoft JhengHei"/>
          <w:b/>
          <w:sz w:val="32"/>
        </w:rPr>
      </w:pPr>
    </w:p>
    <w:p>
      <w:pPr>
        <w:pStyle w:val="BodyText"/>
        <w:spacing w:before="11"/>
        <w:ind w:left="0"/>
        <w:rPr>
          <w:rFonts w:ascii="Microsoft JhengHei"/>
          <w:b/>
          <w:sz w:val="25"/>
        </w:rPr>
      </w:pPr>
    </w:p>
    <w:p>
      <w:pPr>
        <w:pStyle w:val="Heading1"/>
        <w:tabs>
          <w:tab w:val="left" w:pos="1725"/>
        </w:tabs>
      </w:pPr>
      <w:bookmarkStart w:id="3" w:name="_TOC_250004"/>
      <w:r>
        <w:t>第</w:t>
      </w:r>
      <w:r>
        <w:t>四</w:t>
      </w:r>
      <w:r>
        <w:t>部</w:t>
      </w:r>
      <w:r>
        <w:rPr>
          <w:spacing w:val="-10"/>
        </w:rPr>
        <w:t>分</w:t>
      </w:r>
      <w:r>
        <w:tab/>
        <w:t>干</w:t>
      </w:r>
      <w:r>
        <w:t>细</w:t>
      </w:r>
      <w:r>
        <w:t>胞</w:t>
      </w:r>
      <w:r>
        <w:t>治</w:t>
      </w:r>
      <w:r>
        <w:t>疗</w:t>
      </w:r>
      <w:r>
        <w:t>的</w:t>
      </w:r>
      <w:r>
        <w:t>技</w:t>
      </w:r>
      <w:r>
        <w:t>术</w:t>
      </w:r>
      <w:r>
        <w:t>挑</w:t>
      </w:r>
      <w:bookmarkEnd w:id="3"/>
      <w:r>
        <w:rPr>
          <w:spacing w:val="-10"/>
        </w:rPr>
        <w:t>战</w:t>
      </w:r>
    </w:p>
    <w:p>
      <w:pPr>
        <w:pStyle w:val="BodyText"/>
        <w:spacing w:before="16"/>
        <w:ind w:left="0"/>
        <w:rPr>
          <w:rFonts w:ascii="Microsoft JhengHei"/>
          <w:b/>
          <w:sz w:val="15"/>
        </w:rPr>
      </w:pPr>
    </w:p>
    <w:tbl>
      <w:tblPr>
        <w:tblStyle w:val="TableNormal1"/>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6"/>
        <w:gridCol w:w="5540"/>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56" w:type="dxa"/>
          </w:tcPr>
          <w:p>
            <w:pPr>
              <w:pStyle w:val="TableParagraph"/>
              <w:spacing w:before="23"/>
              <w:rPr>
                <w:sz w:val="21"/>
              </w:rPr>
            </w:pPr>
            <w:r>
              <w:rPr>
                <w:spacing w:val="-4"/>
                <w:sz w:val="21"/>
              </w:rPr>
              <w:t>关键词</w:t>
            </w:r>
          </w:p>
        </w:tc>
        <w:tc>
          <w:tcPr>
            <w:tcW w:w="5540" w:type="dxa"/>
          </w:tcPr>
          <w:p>
            <w:pPr>
              <w:pStyle w:val="TableParagraph"/>
              <w:spacing w:before="23"/>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2496"/>
          <w:jc w:val="left"/>
        </w:trPr>
        <w:tc>
          <w:tcPr>
            <w:tcW w:w="2756" w:type="dxa"/>
          </w:tcPr>
          <w:p>
            <w:pPr>
              <w:pStyle w:val="TableParagraph"/>
              <w:spacing w:before="23"/>
              <w:rPr>
                <w:sz w:val="21"/>
              </w:rPr>
            </w:pPr>
            <w:r>
              <w:rPr>
                <w:spacing w:val="-2"/>
                <w:sz w:val="21"/>
              </w:rPr>
              <w:t>干细胞来源与获取</w:t>
            </w:r>
          </w:p>
        </w:tc>
        <w:tc>
          <w:tcPr>
            <w:tcW w:w="5540" w:type="dxa"/>
          </w:tcPr>
          <w:p>
            <w:pPr>
              <w:pStyle w:val="TableParagraph"/>
              <w:spacing w:before="4"/>
              <w:ind w:left="0"/>
              <w:rPr>
                <w:rFonts w:ascii="Microsoft JhengHei"/>
                <w:b/>
                <w:sz w:val="18"/>
              </w:rPr>
            </w:pPr>
          </w:p>
          <w:p>
            <w:pPr>
              <w:pStyle w:val="TableParagraph"/>
              <w:numPr>
                <w:ilvl w:val="0"/>
                <w:numId w:val="15"/>
              </w:numPr>
              <w:tabs>
                <w:tab w:val="left" w:pos="332"/>
              </w:tabs>
              <w:spacing w:before="0" w:after="0" w:line="240" w:lineRule="auto"/>
              <w:ind w:left="331" w:right="0" w:hanging="224"/>
              <w:jc w:val="both"/>
              <w:rPr>
                <w:sz w:val="21"/>
              </w:rPr>
            </w:pPr>
            <w:r>
              <w:rPr>
                <w:rFonts w:ascii="Times New Roman" w:eastAsia="Times New Roman"/>
                <w:sz w:val="21"/>
              </w:rPr>
              <w:t>**</w:t>
            </w:r>
            <w:r>
              <w:rPr>
                <w:spacing w:val="13"/>
                <w:sz w:val="21"/>
              </w:rPr>
              <w:t>细胞来源多样性</w:t>
            </w:r>
            <w:r>
              <w:rPr>
                <w:rFonts w:ascii="Times New Roman" w:eastAsia="Times New Roman"/>
                <w:sz w:val="21"/>
              </w:rPr>
              <w:t>**</w:t>
            </w:r>
            <w:r>
              <w:rPr>
                <w:spacing w:val="7"/>
                <w:sz w:val="21"/>
              </w:rPr>
              <w:t>：干细胞的来源包括胚胎干细胞</w:t>
            </w:r>
          </w:p>
          <w:p>
            <w:pPr>
              <w:pStyle w:val="TableParagraph"/>
              <w:spacing w:before="43" w:line="278" w:lineRule="auto"/>
              <w:ind w:right="95"/>
              <w:jc w:val="both"/>
              <w:rPr>
                <w:sz w:val="21"/>
              </w:rPr>
            </w:pPr>
            <w:r>
              <w:rPr>
                <w:spacing w:val="14"/>
                <w:sz w:val="21"/>
              </w:rPr>
              <w:t>（</w:t>
            </w:r>
            <w:r>
              <w:rPr>
                <w:rFonts w:ascii="Times New Roman" w:eastAsia="Times New Roman"/>
                <w:spacing w:val="13"/>
                <w:sz w:val="21"/>
              </w:rPr>
              <w:t>ESCs</w:t>
            </w:r>
            <w:r>
              <w:rPr>
                <w:spacing w:val="-91"/>
                <w:sz w:val="21"/>
              </w:rPr>
              <w:t>）</w:t>
            </w:r>
            <w:r>
              <w:rPr>
                <w:spacing w:val="-4"/>
                <w:sz w:val="21"/>
              </w:rPr>
              <w:t>、诱导多能干细胞（</w:t>
            </w:r>
            <w:r>
              <w:rPr>
                <w:rFonts w:ascii="Times New Roman" w:eastAsia="Times New Roman"/>
                <w:spacing w:val="-4"/>
                <w:sz w:val="21"/>
              </w:rPr>
              <w:t>iPSCs</w:t>
            </w:r>
            <w:r>
              <w:rPr>
                <w:spacing w:val="-4"/>
                <w:sz w:val="21"/>
              </w:rPr>
              <w:t>）以及成体干细胞。每</w:t>
            </w:r>
            <w:r>
              <w:rPr>
                <w:spacing w:val="-2"/>
                <w:sz w:val="21"/>
              </w:rPr>
              <w:t>种来源都有其特定的优势和局限性，例如胚胎干细胞具有高度分化潜能但伦理问题突出，而成体干细胞相对容易获</w:t>
            </w:r>
            <w:r>
              <w:rPr>
                <w:spacing w:val="-2"/>
                <w:sz w:val="21"/>
              </w:rPr>
              <w:t>取但分化能力受限。</w:t>
            </w:r>
          </w:p>
          <w:p>
            <w:pPr>
              <w:pStyle w:val="TableParagraph"/>
              <w:numPr>
                <w:ilvl w:val="0"/>
                <w:numId w:val="15"/>
              </w:numPr>
              <w:tabs>
                <w:tab w:val="left" w:pos="322"/>
              </w:tabs>
              <w:spacing w:before="0" w:after="0" w:line="269" w:lineRule="exact"/>
              <w:ind w:left="321" w:right="0" w:hanging="214"/>
              <w:jc w:val="both"/>
              <w:rPr>
                <w:sz w:val="21"/>
              </w:rPr>
            </w:pPr>
            <w:r>
              <w:rPr>
                <w:rFonts w:ascii="Times New Roman" w:eastAsia="Times New Roman"/>
                <w:sz w:val="21"/>
              </w:rPr>
              <w:t>**</w:t>
            </w:r>
            <w:r>
              <w:rPr>
                <w:sz w:val="21"/>
              </w:rPr>
              <w:t>获取技术发展</w:t>
            </w:r>
            <w:r>
              <w:rPr>
                <w:rFonts w:ascii="Times New Roman" w:eastAsia="Times New Roman"/>
                <w:sz w:val="21"/>
              </w:rPr>
              <w:t>**</w:t>
            </w:r>
            <w:r>
              <w:rPr>
                <w:spacing w:val="-1"/>
                <w:sz w:val="21"/>
              </w:rPr>
              <w:t>：随着组织工程技术的发展，干细胞</w:t>
            </w:r>
          </w:p>
          <w:p>
            <w:pPr>
              <w:pStyle w:val="TableParagraph"/>
              <w:spacing w:before="43"/>
              <w:rPr>
                <w:sz w:val="21"/>
              </w:rPr>
            </w:pPr>
            <w:r>
              <w:rPr>
                <w:spacing w:val="-1"/>
                <w:sz w:val="21"/>
              </w:rPr>
              <w:t>获取方法不断进步，如通过生物反应器培养、微重力环境</w:t>
            </w:r>
          </w:p>
        </w:tc>
      </w:tr>
    </w:tbl>
    <w:p>
      <w:pPr>
        <w:spacing w:after="0"/>
        <w:rPr>
          <w:sz w:val="21"/>
        </w:rPr>
        <w:sectPr>
          <w:footerReference w:type="default" r:id="rId8"/>
          <w:pgSz w:w="11910" w:h="16840"/>
          <w:pgMar w:top="1520" w:right="1280" w:bottom="1380" w:left="1680" w:header="0" w:footer="1198"/>
          <w:pgNumType w:start="4"/>
          <w:cols w:space="708"/>
        </w:sectPr>
      </w:pPr>
    </w:p>
    <w:tbl>
      <w:tblPr>
        <w:tblStyle w:val="TableNormal1"/>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6"/>
        <w:gridCol w:w="5540"/>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1871"/>
          <w:jc w:val="left"/>
        </w:trPr>
        <w:tc>
          <w:tcPr>
            <w:tcW w:w="2756" w:type="dxa"/>
          </w:tcPr>
          <w:p>
            <w:pPr>
              <w:pStyle w:val="TableParagraph"/>
              <w:ind w:left="0"/>
              <w:rPr>
                <w:rFonts w:ascii="Times New Roman"/>
                <w:sz w:val="20"/>
              </w:rPr>
            </w:pPr>
          </w:p>
        </w:tc>
        <w:tc>
          <w:tcPr>
            <w:tcW w:w="5540" w:type="dxa"/>
          </w:tcPr>
          <w:p>
            <w:pPr>
              <w:pStyle w:val="TableParagraph"/>
              <w:spacing w:before="23" w:line="278" w:lineRule="auto"/>
              <w:ind w:right="96"/>
              <w:rPr>
                <w:sz w:val="21"/>
              </w:rPr>
            </w:pPr>
            <w:r>
              <w:rPr>
                <w:spacing w:val="-2"/>
                <w:sz w:val="21"/>
              </w:rPr>
              <w:t>下的干细胞扩增等，这些技术的应用提高了干细胞的产量</w:t>
            </w:r>
            <w:r>
              <w:rPr>
                <w:spacing w:val="-4"/>
                <w:sz w:val="21"/>
              </w:rPr>
              <w:t>和质量。</w:t>
            </w:r>
          </w:p>
          <w:p>
            <w:pPr>
              <w:pStyle w:val="TableParagraph"/>
              <w:spacing w:line="278" w:lineRule="auto"/>
              <w:ind w:right="-15"/>
              <w:rPr>
                <w:sz w:val="21"/>
              </w:rPr>
            </w:pPr>
            <w:r>
              <w:rPr>
                <w:rFonts w:ascii="Times New Roman" w:eastAsia="Times New Roman"/>
                <w:sz w:val="21"/>
              </w:rPr>
              <w:t>3. **</w:t>
            </w:r>
            <w:r>
              <w:rPr>
                <w:sz w:val="21"/>
              </w:rPr>
              <w:t>质量控制标准</w:t>
            </w:r>
            <w:r>
              <w:rPr>
                <w:rFonts w:ascii="Times New Roman" w:eastAsia="Times New Roman"/>
                <w:sz w:val="21"/>
              </w:rPr>
              <w:t>**</w:t>
            </w:r>
            <w:r>
              <w:rPr>
                <w:sz w:val="21"/>
              </w:rPr>
              <w:t>：为了确保干细胞治疗的安全性和有</w:t>
            </w:r>
            <w:r>
              <w:rPr>
                <w:spacing w:val="-2"/>
                <w:sz w:val="21"/>
              </w:rPr>
              <w:t>效性，需要建立严格的质量控制体系，包括干细胞的纯化、</w:t>
            </w:r>
            <w:r>
              <w:rPr>
                <w:spacing w:val="-2"/>
                <w:sz w:val="21"/>
              </w:rPr>
              <w:t>鉴定、扩增及功能评估等环节。</w:t>
            </w:r>
          </w:p>
        </w:tc>
      </w:tr>
    </w:tbl>
    <w:p>
      <w:pPr>
        <w:sectPr>
          <w:footerReference w:type="default" r:id="rId9"/>
          <w:type w:val="continuous"/>
          <w:pgSz w:w="11910" w:h="16840"/>
          <w:pgMar w:top="1400" w:right="1280" w:bottom="1380" w:left="1680" w:header="0" w:footer="1198"/>
          <w:pgNumType w:start="5"/>
          <w:cols w:space="708"/>
        </w:sectPr>
      </w:pPr>
    </w:p>
    <w:tbl>
      <w:tblPr>
        <w:tblStyle w:val="TableNormal2"/>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6"/>
        <w:gridCol w:w="5540"/>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0"/>
          <w:jc w:val="left"/>
        </w:trPr>
        <w:tc>
          <w:tcPr>
            <w:tcW w:w="2756" w:type="dxa"/>
          </w:tcPr>
          <w:p>
            <w:pPr>
              <w:pStyle w:val="TableParagraph"/>
              <w:spacing w:before="23"/>
              <w:rPr>
                <w:sz w:val="21"/>
              </w:rPr>
            </w:pPr>
            <w:r>
              <w:rPr>
                <w:spacing w:val="-2"/>
                <w:sz w:val="21"/>
              </w:rPr>
              <w:t>干细胞定向分化</w:t>
            </w:r>
          </w:p>
        </w:tc>
        <w:tc>
          <w:tcPr>
            <w:tcW w:w="5540" w:type="dxa"/>
          </w:tcPr>
          <w:p>
            <w:pPr>
              <w:pStyle w:val="TableParagraph"/>
              <w:spacing w:before="4"/>
              <w:ind w:left="0"/>
              <w:rPr>
                <w:rFonts w:ascii="Microsoft JhengHei"/>
                <w:b/>
                <w:sz w:val="18"/>
              </w:rPr>
            </w:pPr>
          </w:p>
          <w:p>
            <w:pPr>
              <w:pStyle w:val="TableParagraph"/>
              <w:numPr>
                <w:ilvl w:val="0"/>
                <w:numId w:val="14"/>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分化调控机制</w:t>
            </w:r>
            <w:r>
              <w:rPr>
                <w:rFonts w:ascii="Times New Roman" w:eastAsia="Times New Roman"/>
                <w:spacing w:val="-2"/>
                <w:sz w:val="21"/>
              </w:rPr>
              <w:t>**</w:t>
            </w:r>
            <w:r>
              <w:rPr>
                <w:spacing w:val="-2"/>
                <w:sz w:val="21"/>
              </w:rPr>
              <w:t>：研究干细胞向特定细胞类型分化的</w:t>
            </w:r>
            <w:r>
              <w:rPr>
                <w:spacing w:val="-2"/>
                <w:sz w:val="21"/>
              </w:rPr>
              <w:t>分子机制是干细胞治疗的关键，这包括转录因子、信号通</w:t>
            </w:r>
            <w:r>
              <w:rPr>
                <w:spacing w:val="-2"/>
                <w:sz w:val="21"/>
              </w:rPr>
              <w:t>路和微环境的相互作用。</w:t>
            </w:r>
          </w:p>
          <w:p>
            <w:pPr>
              <w:pStyle w:val="TableParagraph"/>
              <w:numPr>
                <w:ilvl w:val="0"/>
                <w:numId w:val="14"/>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分化效率优化</w:t>
            </w:r>
            <w:r>
              <w:rPr>
                <w:rFonts w:ascii="Times New Roman" w:eastAsia="Times New Roman"/>
                <w:spacing w:val="-2"/>
                <w:sz w:val="21"/>
              </w:rPr>
              <w:t>**</w:t>
            </w:r>
            <w:r>
              <w:rPr>
                <w:spacing w:val="-2"/>
                <w:sz w:val="21"/>
              </w:rPr>
              <w:t>：提高干细胞分化为所需细胞类型的</w:t>
            </w:r>
            <w:r>
              <w:rPr>
                <w:spacing w:val="-2"/>
                <w:sz w:val="21"/>
              </w:rPr>
              <w:t>效率和一致性是技术挑战之一，这涉及到优化培养条件、</w:t>
            </w:r>
            <w:r>
              <w:rPr>
                <w:spacing w:val="-2"/>
                <w:sz w:val="21"/>
              </w:rPr>
              <w:t>使用小分子化合物或基因编辑技术来引导分化过程。</w:t>
            </w:r>
          </w:p>
          <w:p>
            <w:pPr>
              <w:pStyle w:val="TableParagraph"/>
              <w:numPr>
                <w:ilvl w:val="0"/>
                <w:numId w:val="14"/>
              </w:numPr>
              <w:tabs>
                <w:tab w:val="left" w:pos="322"/>
              </w:tabs>
              <w:spacing w:before="0" w:after="0" w:line="278" w:lineRule="auto"/>
              <w:ind w:left="108" w:right="-15" w:firstLine="0"/>
              <w:jc w:val="both"/>
              <w:rPr>
                <w:sz w:val="21"/>
              </w:rPr>
            </w:pPr>
            <w:r>
              <w:rPr>
                <w:rFonts w:ascii="Times New Roman" w:eastAsia="Times New Roman"/>
                <w:sz w:val="21"/>
              </w:rPr>
              <w:t>**</w:t>
            </w:r>
            <w:r>
              <w:rPr>
                <w:spacing w:val="3"/>
                <w:sz w:val="21"/>
              </w:rPr>
              <w:t>分化后的细胞功能验证</w:t>
            </w:r>
            <w:r>
              <w:rPr>
                <w:rFonts w:ascii="Times New Roman" w:eastAsia="Times New Roman"/>
                <w:sz w:val="21"/>
              </w:rPr>
              <w:t>**</w:t>
            </w:r>
            <w:r>
              <w:rPr>
                <w:spacing w:val="2"/>
                <w:sz w:val="21"/>
              </w:rPr>
              <w:t>：确保分化后的细胞具备目</w:t>
            </w:r>
            <w:r>
              <w:rPr>
                <w:spacing w:val="-3"/>
                <w:sz w:val="21"/>
              </w:rPr>
              <w:t>标组织的功能特性，需要进行一系列的功能和形态学评估。</w:t>
            </w:r>
          </w:p>
        </w:tc>
      </w:tr>
      <w:tr>
        <w:tblPrEx>
          <w:tblW w:w="0" w:type="auto"/>
          <w:jc w:val="left"/>
          <w:tblInd w:w="130" w:type="dxa"/>
          <w:tblLayout w:type="fixed"/>
          <w:tblCellMar>
            <w:top w:w="0" w:type="dxa"/>
            <w:left w:w="0" w:type="dxa"/>
            <w:bottom w:w="0" w:type="dxa"/>
            <w:right w:w="0" w:type="dxa"/>
          </w:tblCellMar>
          <w:tblLook w:val="01E0"/>
        </w:tblPrEx>
        <w:trPr>
          <w:trHeight w:val="3120"/>
          <w:jc w:val="left"/>
        </w:trPr>
        <w:tc>
          <w:tcPr>
            <w:tcW w:w="2756" w:type="dxa"/>
          </w:tcPr>
          <w:p>
            <w:pPr>
              <w:pStyle w:val="TableParagraph"/>
              <w:spacing w:before="23"/>
              <w:rPr>
                <w:sz w:val="21"/>
              </w:rPr>
            </w:pPr>
            <w:r>
              <w:rPr>
                <w:spacing w:val="-2"/>
                <w:sz w:val="21"/>
              </w:rPr>
              <w:t>干细胞免疫原性</w:t>
            </w:r>
          </w:p>
        </w:tc>
        <w:tc>
          <w:tcPr>
            <w:tcW w:w="5540" w:type="dxa"/>
          </w:tcPr>
          <w:p>
            <w:pPr>
              <w:pStyle w:val="TableParagraph"/>
              <w:spacing w:before="4"/>
              <w:ind w:left="0"/>
              <w:rPr>
                <w:rFonts w:ascii="Microsoft JhengHei"/>
                <w:b/>
                <w:sz w:val="18"/>
              </w:rPr>
            </w:pPr>
          </w:p>
          <w:p>
            <w:pPr>
              <w:pStyle w:val="TableParagraph"/>
              <w:numPr>
                <w:ilvl w:val="0"/>
                <w:numId w:val="13"/>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异体干细胞排斥问题</w:t>
            </w:r>
            <w:r>
              <w:rPr>
                <w:rFonts w:ascii="Times New Roman" w:eastAsia="Times New Roman"/>
                <w:spacing w:val="-2"/>
                <w:sz w:val="21"/>
              </w:rPr>
              <w:t>**</w:t>
            </w:r>
            <w:r>
              <w:rPr>
                <w:spacing w:val="-2"/>
                <w:sz w:val="21"/>
              </w:rPr>
              <w:t>：异体干细胞移植会引发宿主</w:t>
            </w:r>
            <w:r>
              <w:rPr>
                <w:spacing w:val="-2"/>
                <w:sz w:val="21"/>
              </w:rPr>
              <w:t>的免疫反应，因此需要解决如何降低干细胞的免疫原性问</w:t>
            </w:r>
            <w:r>
              <w:rPr>
                <w:spacing w:val="-6"/>
                <w:sz w:val="21"/>
              </w:rPr>
              <w:t>题。</w:t>
            </w:r>
          </w:p>
          <w:p>
            <w:pPr>
              <w:pStyle w:val="TableParagraph"/>
              <w:numPr>
                <w:ilvl w:val="0"/>
                <w:numId w:val="13"/>
              </w:numPr>
              <w:tabs>
                <w:tab w:val="left" w:pos="318"/>
              </w:tabs>
              <w:spacing w:before="0" w:after="0" w:line="278" w:lineRule="auto"/>
              <w:ind w:left="108" w:right="-15" w:firstLine="0"/>
              <w:jc w:val="both"/>
              <w:rPr>
                <w:sz w:val="21"/>
              </w:rPr>
            </w:pPr>
            <w:r>
              <w:rPr>
                <w:rFonts w:ascii="Times New Roman" w:eastAsia="Times New Roman"/>
                <w:sz w:val="21"/>
              </w:rPr>
              <w:t>**</w:t>
            </w:r>
            <w:r>
              <w:rPr>
                <w:sz w:val="21"/>
              </w:rPr>
              <w:t>免疫匹配策略</w:t>
            </w:r>
            <w:r>
              <w:rPr>
                <w:rFonts w:ascii="Times New Roman" w:eastAsia="Times New Roman"/>
                <w:sz w:val="21"/>
              </w:rPr>
              <w:t>**</w:t>
            </w:r>
            <w:r>
              <w:rPr>
                <w:spacing w:val="-7"/>
                <w:sz w:val="21"/>
              </w:rPr>
              <w:t xml:space="preserve">：通过 </w:t>
            </w:r>
            <w:r>
              <w:rPr>
                <w:rFonts w:ascii="Times New Roman" w:eastAsia="Times New Roman"/>
                <w:sz w:val="21"/>
              </w:rPr>
              <w:t>HLA</w:t>
            </w:r>
            <w:r>
              <w:rPr>
                <w:rFonts w:ascii="Times New Roman" w:eastAsia="Times New Roman"/>
                <w:spacing w:val="4"/>
                <w:sz w:val="21"/>
              </w:rPr>
              <w:t xml:space="preserve"> </w:t>
            </w:r>
            <w:r>
              <w:rPr>
                <w:sz w:val="21"/>
              </w:rPr>
              <w:t>配型等手段减少移植排斥</w:t>
            </w:r>
            <w:r>
              <w:rPr>
                <w:spacing w:val="-2"/>
                <w:sz w:val="21"/>
              </w:rPr>
              <w:t>风险，同时研究新型免疫抑制药物以控制宿主的免疫应答。</w:t>
            </w:r>
          </w:p>
          <w:p>
            <w:pPr>
              <w:pStyle w:val="TableParagraph"/>
              <w:numPr>
                <w:ilvl w:val="0"/>
                <w:numId w:val="13"/>
              </w:numPr>
              <w:tabs>
                <w:tab w:val="left" w:pos="320"/>
              </w:tabs>
              <w:spacing w:before="0" w:after="0" w:line="278" w:lineRule="auto"/>
              <w:ind w:left="108" w:right="96" w:firstLine="0"/>
              <w:jc w:val="both"/>
              <w:rPr>
                <w:sz w:val="21"/>
              </w:rPr>
            </w:pPr>
            <w:r>
              <w:rPr>
                <w:rFonts w:ascii="Times New Roman" w:eastAsia="Times New Roman"/>
                <w:sz w:val="21"/>
              </w:rPr>
              <w:t>**</w:t>
            </w:r>
            <w:r>
              <w:rPr>
                <w:sz w:val="21"/>
              </w:rPr>
              <w:t>基因编辑的应用</w:t>
            </w:r>
            <w:r>
              <w:rPr>
                <w:rFonts w:ascii="Times New Roman" w:eastAsia="Times New Roman"/>
                <w:sz w:val="21"/>
              </w:rPr>
              <w:t>**</w:t>
            </w:r>
            <w:r>
              <w:rPr>
                <w:spacing w:val="-4"/>
                <w:sz w:val="21"/>
              </w:rPr>
              <w:t xml:space="preserve">：基因编辑技术如 </w:t>
            </w:r>
            <w:r>
              <w:rPr>
                <w:rFonts w:ascii="Times New Roman" w:eastAsia="Times New Roman"/>
                <w:sz w:val="21"/>
              </w:rPr>
              <w:t>CRISPR/Cas9</w:t>
            </w:r>
            <w:r>
              <w:rPr>
                <w:rFonts w:ascii="Times New Roman" w:eastAsia="Times New Roman"/>
                <w:spacing w:val="-13"/>
                <w:sz w:val="21"/>
              </w:rPr>
              <w:t xml:space="preserve"> </w:t>
            </w:r>
            <w:r>
              <w:rPr>
                <w:sz w:val="21"/>
              </w:rPr>
              <w:t>可</w:t>
            </w:r>
            <w:r>
              <w:rPr>
                <w:spacing w:val="-2"/>
                <w:sz w:val="21"/>
              </w:rPr>
              <w:t>用于移除或替换影响免疫识别的基因，从而降低干细胞的</w:t>
            </w:r>
            <w:r>
              <w:rPr>
                <w:spacing w:val="-2"/>
                <w:sz w:val="21"/>
              </w:rPr>
              <w:t>免疫原性。</w:t>
            </w:r>
          </w:p>
        </w:tc>
      </w:tr>
      <w:tr>
        <w:tblPrEx>
          <w:tblW w:w="0" w:type="auto"/>
          <w:jc w:val="left"/>
          <w:tblInd w:w="130" w:type="dxa"/>
          <w:tblLayout w:type="fixed"/>
          <w:tblCellMar>
            <w:top w:w="0" w:type="dxa"/>
            <w:left w:w="0" w:type="dxa"/>
            <w:bottom w:w="0" w:type="dxa"/>
            <w:right w:w="0" w:type="dxa"/>
          </w:tblCellMar>
          <w:tblLook w:val="01E0"/>
        </w:tblPrEx>
        <w:trPr>
          <w:trHeight w:val="2807"/>
          <w:jc w:val="left"/>
        </w:trPr>
        <w:tc>
          <w:tcPr>
            <w:tcW w:w="2756" w:type="dxa"/>
          </w:tcPr>
          <w:p>
            <w:pPr>
              <w:pStyle w:val="TableParagraph"/>
              <w:spacing w:before="23"/>
              <w:rPr>
                <w:sz w:val="21"/>
              </w:rPr>
            </w:pPr>
            <w:r>
              <w:rPr>
                <w:spacing w:val="-2"/>
                <w:sz w:val="21"/>
              </w:rPr>
              <w:t>干细胞治疗的安全性</w:t>
            </w:r>
          </w:p>
        </w:tc>
        <w:tc>
          <w:tcPr>
            <w:tcW w:w="5540" w:type="dxa"/>
          </w:tcPr>
          <w:p>
            <w:pPr>
              <w:pStyle w:val="TableParagraph"/>
              <w:spacing w:before="4"/>
              <w:ind w:left="0"/>
              <w:rPr>
                <w:rFonts w:ascii="Microsoft JhengHei"/>
                <w:b/>
                <w:sz w:val="18"/>
              </w:rPr>
            </w:pPr>
          </w:p>
          <w:p>
            <w:pPr>
              <w:pStyle w:val="TableParagraph"/>
              <w:numPr>
                <w:ilvl w:val="0"/>
                <w:numId w:val="12"/>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长期安全性监测</w:t>
            </w:r>
            <w:r>
              <w:rPr>
                <w:rFonts w:ascii="Times New Roman" w:eastAsia="Times New Roman"/>
                <w:spacing w:val="-2"/>
                <w:sz w:val="21"/>
              </w:rPr>
              <w:t>**</w:t>
            </w:r>
            <w:r>
              <w:rPr>
                <w:spacing w:val="-2"/>
                <w:sz w:val="21"/>
              </w:rPr>
              <w:t>：干细胞治疗可能引发肿瘤形成、</w:t>
            </w:r>
            <w:r>
              <w:rPr>
                <w:spacing w:val="-2"/>
                <w:sz w:val="21"/>
              </w:rPr>
              <w:t>感染等副作用，需进行长期的跟踪观察以确保治疗的安全</w:t>
            </w:r>
            <w:r>
              <w:rPr>
                <w:spacing w:val="-6"/>
                <w:sz w:val="21"/>
              </w:rPr>
              <w:t>性。</w:t>
            </w:r>
          </w:p>
          <w:p>
            <w:pPr>
              <w:pStyle w:val="TableParagraph"/>
              <w:numPr>
                <w:ilvl w:val="0"/>
                <w:numId w:val="12"/>
              </w:numPr>
              <w:tabs>
                <w:tab w:val="left" w:pos="318"/>
              </w:tabs>
              <w:spacing w:before="0" w:after="0" w:line="278" w:lineRule="auto"/>
              <w:ind w:left="108" w:right="-15" w:firstLine="0"/>
              <w:jc w:val="both"/>
              <w:rPr>
                <w:sz w:val="21"/>
              </w:rPr>
            </w:pPr>
            <w:r>
              <w:rPr>
                <w:rFonts w:ascii="Times New Roman" w:eastAsia="Times New Roman"/>
                <w:spacing w:val="-2"/>
                <w:sz w:val="21"/>
              </w:rPr>
              <w:t>**</w:t>
            </w:r>
            <w:r>
              <w:rPr>
                <w:spacing w:val="-2"/>
                <w:sz w:val="21"/>
              </w:rPr>
              <w:t>风险评估与管理</w:t>
            </w:r>
            <w:r>
              <w:rPr>
                <w:rFonts w:ascii="Times New Roman" w:eastAsia="Times New Roman"/>
                <w:spacing w:val="-2"/>
                <w:sz w:val="21"/>
              </w:rPr>
              <w:t>**</w:t>
            </w:r>
            <w:r>
              <w:rPr>
                <w:spacing w:val="-2"/>
                <w:sz w:val="21"/>
              </w:rPr>
              <w:t>：制定详细的风险评估和管理计划，</w:t>
            </w:r>
            <w:r>
              <w:rPr>
                <w:spacing w:val="-2"/>
                <w:sz w:val="21"/>
              </w:rPr>
              <w:t>包括对潜在并发症的早期识别和处理。</w:t>
            </w:r>
          </w:p>
          <w:p>
            <w:pPr>
              <w:pStyle w:val="TableParagraph"/>
              <w:numPr>
                <w:ilvl w:val="0"/>
                <w:numId w:val="12"/>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标准化治疗指南</w:t>
            </w:r>
            <w:r>
              <w:rPr>
                <w:rFonts w:ascii="Times New Roman" w:eastAsia="Times New Roman"/>
                <w:spacing w:val="-2"/>
                <w:sz w:val="21"/>
              </w:rPr>
              <w:t>**</w:t>
            </w:r>
            <w:r>
              <w:rPr>
                <w:spacing w:val="-2"/>
                <w:sz w:val="21"/>
              </w:rPr>
              <w:t>：制定统一的干细胞治疗操作规范</w:t>
            </w:r>
            <w:r>
              <w:rPr>
                <w:spacing w:val="-2"/>
                <w:sz w:val="21"/>
              </w:rPr>
              <w:t>和标准，以减少因操作不当引起的安全隐患。</w:t>
            </w:r>
          </w:p>
        </w:tc>
      </w:tr>
      <w:tr>
        <w:tblPrEx>
          <w:tblW w:w="0" w:type="auto"/>
          <w:jc w:val="left"/>
          <w:tblInd w:w="130" w:type="dxa"/>
          <w:tblLayout w:type="fixed"/>
          <w:tblCellMar>
            <w:top w:w="0" w:type="dxa"/>
            <w:left w:w="0" w:type="dxa"/>
            <w:bottom w:w="0" w:type="dxa"/>
            <w:right w:w="0" w:type="dxa"/>
          </w:tblCellMar>
          <w:tblLook w:val="01E0"/>
        </w:tblPrEx>
        <w:trPr>
          <w:trHeight w:val="2808"/>
          <w:jc w:val="left"/>
        </w:trPr>
        <w:tc>
          <w:tcPr>
            <w:tcW w:w="2756" w:type="dxa"/>
          </w:tcPr>
          <w:p>
            <w:pPr>
              <w:pStyle w:val="TableParagraph"/>
              <w:spacing w:before="23"/>
              <w:rPr>
                <w:sz w:val="21"/>
              </w:rPr>
            </w:pPr>
            <w:r>
              <w:rPr>
                <w:spacing w:val="-1"/>
                <w:sz w:val="21"/>
              </w:rPr>
              <w:t>干细胞治疗的临床应用</w:t>
            </w:r>
          </w:p>
        </w:tc>
        <w:tc>
          <w:tcPr>
            <w:tcW w:w="5540" w:type="dxa"/>
          </w:tcPr>
          <w:p>
            <w:pPr>
              <w:pStyle w:val="TableParagraph"/>
              <w:spacing w:before="4"/>
              <w:ind w:left="0"/>
              <w:rPr>
                <w:rFonts w:ascii="Microsoft JhengHei"/>
                <w:b/>
                <w:sz w:val="18"/>
              </w:rPr>
            </w:pPr>
          </w:p>
          <w:p>
            <w:pPr>
              <w:pStyle w:val="TableParagraph"/>
              <w:numPr>
                <w:ilvl w:val="0"/>
                <w:numId w:val="11"/>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临床试验设计</w:t>
            </w:r>
            <w:r>
              <w:rPr>
                <w:rFonts w:ascii="Times New Roman" w:eastAsia="Times New Roman"/>
                <w:spacing w:val="-2"/>
                <w:sz w:val="21"/>
              </w:rPr>
              <w:t>**</w:t>
            </w:r>
            <w:r>
              <w:rPr>
                <w:spacing w:val="-2"/>
                <w:sz w:val="21"/>
              </w:rPr>
              <w:t>：设计合理的临床试验方案，包括病</w:t>
            </w:r>
            <w:r>
              <w:rPr>
                <w:spacing w:val="-2"/>
                <w:sz w:val="21"/>
              </w:rPr>
              <w:t>例选择、剂量确定、疗效评价标准等，以科学地评估干细</w:t>
            </w:r>
            <w:r>
              <w:rPr>
                <w:spacing w:val="-2"/>
                <w:sz w:val="21"/>
              </w:rPr>
              <w:t>胞治疗的效果。</w:t>
            </w:r>
          </w:p>
          <w:p>
            <w:pPr>
              <w:pStyle w:val="TableParagraph"/>
              <w:numPr>
                <w:ilvl w:val="0"/>
                <w:numId w:val="11"/>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多学科协作</w:t>
            </w:r>
            <w:r>
              <w:rPr>
                <w:rFonts w:ascii="Times New Roman" w:eastAsia="Times New Roman"/>
                <w:spacing w:val="-2"/>
                <w:sz w:val="21"/>
              </w:rPr>
              <w:t>**</w:t>
            </w:r>
            <w:r>
              <w:rPr>
                <w:spacing w:val="-2"/>
                <w:sz w:val="21"/>
              </w:rPr>
              <w:t>：干细胞治疗通常涉及多个学科领域，</w:t>
            </w:r>
            <w:r>
              <w:rPr>
                <w:spacing w:val="-2"/>
                <w:sz w:val="21"/>
              </w:rPr>
              <w:t>如肾病科、泌尿外科、再生医学等，需要建立有效的跨学</w:t>
            </w:r>
            <w:r>
              <w:rPr>
                <w:spacing w:val="-2"/>
                <w:sz w:val="21"/>
              </w:rPr>
              <w:t>科协作机制。</w:t>
            </w:r>
          </w:p>
          <w:p>
            <w:pPr>
              <w:pStyle w:val="TableParagraph"/>
              <w:numPr>
                <w:ilvl w:val="0"/>
                <w:numId w:val="11"/>
              </w:numPr>
              <w:tabs>
                <w:tab w:val="left" w:pos="322"/>
              </w:tabs>
              <w:spacing w:before="0" w:after="0" w:line="269" w:lineRule="exact"/>
              <w:ind w:left="321" w:right="0" w:hanging="214"/>
              <w:jc w:val="both"/>
              <w:rPr>
                <w:sz w:val="21"/>
              </w:rPr>
            </w:pPr>
            <w:r>
              <w:rPr>
                <w:rFonts w:ascii="Times New Roman" w:eastAsia="Times New Roman"/>
                <w:sz w:val="21"/>
              </w:rPr>
              <w:t>**</w:t>
            </w:r>
            <w:r>
              <w:rPr>
                <w:sz w:val="21"/>
              </w:rPr>
              <w:t>监管政策与伦理审查</w:t>
            </w:r>
            <w:r>
              <w:rPr>
                <w:rFonts w:ascii="Times New Roman" w:eastAsia="Times New Roman"/>
                <w:sz w:val="21"/>
              </w:rPr>
              <w:t>**</w:t>
            </w:r>
            <w:r>
              <w:rPr>
                <w:spacing w:val="-1"/>
                <w:sz w:val="21"/>
              </w:rPr>
              <w:t>：遵循相关法规和政策，确保</w:t>
            </w:r>
          </w:p>
          <w:p>
            <w:pPr>
              <w:pStyle w:val="TableParagraph"/>
              <w:spacing w:before="42"/>
              <w:rPr>
                <w:sz w:val="21"/>
              </w:rPr>
            </w:pPr>
            <w:r>
              <w:rPr>
                <w:spacing w:val="-1"/>
                <w:sz w:val="21"/>
              </w:rPr>
              <w:t>干细胞治疗的合规性，并通过伦理审查确保患者的权益得</w:t>
            </w:r>
          </w:p>
        </w:tc>
      </w:tr>
    </w:tbl>
    <w:p>
      <w:pPr>
        <w:spacing w:after="0"/>
        <w:rPr>
          <w:sz w:val="21"/>
        </w:rPr>
        <w:sectPr>
          <w:footerReference w:type="default" r:id="rId10"/>
          <w:type w:val="nextPage"/>
          <w:pgSz w:w="11910" w:h="16840"/>
          <w:pgMar w:top="1400" w:right="1280" w:bottom="1380" w:left="1680" w:header="0" w:footer="1198"/>
          <w:pgNumType w:start="6"/>
          <w:cols w:space="708"/>
          <w:titlePg w:val="0"/>
        </w:sectPr>
      </w:pPr>
    </w:p>
    <w:tbl>
      <w:tblPr>
        <w:tblStyle w:val="TableNormal2"/>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6"/>
        <w:gridCol w:w="5540"/>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624"/>
          <w:jc w:val="left"/>
        </w:trPr>
        <w:tc>
          <w:tcPr>
            <w:tcW w:w="2756" w:type="dxa"/>
          </w:tcPr>
          <w:p>
            <w:pPr>
              <w:pStyle w:val="TableParagraph"/>
              <w:ind w:left="0"/>
              <w:rPr>
                <w:rFonts w:ascii="Times New Roman"/>
                <w:sz w:val="24"/>
              </w:rPr>
            </w:pPr>
          </w:p>
        </w:tc>
        <w:tc>
          <w:tcPr>
            <w:tcW w:w="5540" w:type="dxa"/>
          </w:tcPr>
          <w:p>
            <w:pPr>
              <w:pStyle w:val="TableParagraph"/>
              <w:spacing w:before="23"/>
              <w:rPr>
                <w:sz w:val="21"/>
              </w:rPr>
            </w:pPr>
            <w:r>
              <w:rPr>
                <w:spacing w:val="-3"/>
                <w:sz w:val="21"/>
              </w:rPr>
              <w:t>到保护。</w:t>
            </w:r>
          </w:p>
        </w:tc>
      </w:tr>
    </w:tbl>
    <w:p>
      <w:pPr>
        <w:sectPr>
          <w:footerReference w:type="default" r:id="rId11"/>
          <w:type w:val="continuous"/>
          <w:pgSz w:w="11910" w:h="16840"/>
          <w:pgMar w:top="1400" w:right="1280" w:bottom="1380" w:left="1680" w:header="0" w:footer="1198"/>
          <w:pgNumType w:start="7"/>
          <w:cols w:space="708"/>
        </w:sectPr>
      </w:pPr>
    </w:p>
    <w:tbl>
      <w:tblPr>
        <w:tblStyle w:val="TableNormal3"/>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6"/>
        <w:gridCol w:w="5540"/>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19"/>
          <w:jc w:val="left"/>
        </w:trPr>
        <w:tc>
          <w:tcPr>
            <w:tcW w:w="2756" w:type="dxa"/>
          </w:tcPr>
          <w:p>
            <w:pPr>
              <w:pStyle w:val="TableParagraph"/>
              <w:spacing w:before="23"/>
              <w:rPr>
                <w:sz w:val="21"/>
              </w:rPr>
            </w:pPr>
            <w:r>
              <w:rPr>
                <w:spacing w:val="-2"/>
                <w:sz w:val="21"/>
              </w:rPr>
              <w:t>干细胞治疗的产业化</w:t>
            </w:r>
          </w:p>
        </w:tc>
        <w:tc>
          <w:tcPr>
            <w:tcW w:w="5540" w:type="dxa"/>
          </w:tcPr>
          <w:p>
            <w:pPr>
              <w:pStyle w:val="TableParagraph"/>
              <w:spacing w:before="4"/>
              <w:ind w:left="0"/>
              <w:rPr>
                <w:rFonts w:ascii="Microsoft JhengHei"/>
                <w:b/>
                <w:sz w:val="18"/>
              </w:rPr>
            </w:pPr>
          </w:p>
          <w:p>
            <w:pPr>
              <w:pStyle w:val="TableParagraph"/>
              <w:numPr>
                <w:ilvl w:val="0"/>
                <w:numId w:val="10"/>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规模化生产难题</w:t>
            </w:r>
            <w:r>
              <w:rPr>
                <w:rFonts w:ascii="Times New Roman" w:eastAsia="Times New Roman"/>
                <w:spacing w:val="-2"/>
                <w:sz w:val="21"/>
              </w:rPr>
              <w:t>**</w:t>
            </w:r>
            <w:r>
              <w:rPr>
                <w:spacing w:val="-2"/>
                <w:sz w:val="21"/>
              </w:rPr>
              <w:t>：实现干细胞的大规模、低成本生</w:t>
            </w:r>
            <w:r>
              <w:rPr>
                <w:spacing w:val="-2"/>
                <w:sz w:val="21"/>
              </w:rPr>
              <w:t>产是产业化的关键，需要解决细胞扩增、存储和运输等技</w:t>
            </w:r>
            <w:r>
              <w:rPr>
                <w:spacing w:val="-4"/>
                <w:sz w:val="21"/>
              </w:rPr>
              <w:t>术难题。</w:t>
            </w:r>
          </w:p>
          <w:p>
            <w:pPr>
              <w:pStyle w:val="TableParagraph"/>
              <w:numPr>
                <w:ilvl w:val="0"/>
                <w:numId w:val="10"/>
              </w:numPr>
              <w:tabs>
                <w:tab w:val="left" w:pos="322"/>
              </w:tabs>
              <w:spacing w:before="0" w:after="0" w:line="278" w:lineRule="auto"/>
              <w:ind w:left="108" w:right="96" w:firstLine="0"/>
              <w:jc w:val="both"/>
              <w:rPr>
                <w:sz w:val="21"/>
              </w:rPr>
            </w:pPr>
            <w:r>
              <w:rPr>
                <w:rFonts w:ascii="Times New Roman" w:eastAsia="Times New Roman"/>
                <w:spacing w:val="-2"/>
                <w:sz w:val="21"/>
              </w:rPr>
              <w:t>**</w:t>
            </w:r>
            <w:r>
              <w:rPr>
                <w:spacing w:val="-2"/>
                <w:sz w:val="21"/>
              </w:rPr>
              <w:t>成本效益分析</w:t>
            </w:r>
            <w:r>
              <w:rPr>
                <w:rFonts w:ascii="Times New Roman" w:eastAsia="Times New Roman"/>
                <w:spacing w:val="-2"/>
                <w:sz w:val="21"/>
              </w:rPr>
              <w:t>**</w:t>
            </w:r>
            <w:r>
              <w:rPr>
                <w:spacing w:val="-2"/>
                <w:sz w:val="21"/>
              </w:rPr>
              <w:t>：干细胞治疗的高成本是一个主要障</w:t>
            </w:r>
            <w:r>
              <w:rPr>
                <w:spacing w:val="-2"/>
                <w:sz w:val="21"/>
              </w:rPr>
              <w:t>碍，需要通过技术创新和规模经济来降低成本，提高经济</w:t>
            </w:r>
            <w:r>
              <w:rPr>
                <w:spacing w:val="-4"/>
                <w:sz w:val="21"/>
              </w:rPr>
              <w:t>效益。</w:t>
            </w:r>
          </w:p>
          <w:p>
            <w:pPr>
              <w:pStyle w:val="TableParagraph"/>
              <w:numPr>
                <w:ilvl w:val="0"/>
                <w:numId w:val="10"/>
              </w:numPr>
              <w:tabs>
                <w:tab w:val="left" w:pos="322"/>
              </w:tabs>
              <w:spacing w:before="0" w:after="0" w:line="269" w:lineRule="exact"/>
              <w:ind w:left="321" w:right="0" w:hanging="214"/>
              <w:jc w:val="both"/>
              <w:rPr>
                <w:sz w:val="21"/>
              </w:rPr>
            </w:pPr>
            <w:r>
              <w:rPr>
                <w:rFonts w:ascii="Times New Roman" w:eastAsia="Times New Roman"/>
                <w:sz w:val="21"/>
              </w:rPr>
              <w:t>**</w:t>
            </w:r>
            <w:r>
              <w:rPr>
                <w:sz w:val="21"/>
              </w:rPr>
              <w:t>市场准入与政策支持</w:t>
            </w:r>
            <w:r>
              <w:rPr>
                <w:rFonts w:ascii="Times New Roman" w:eastAsia="Times New Roman"/>
                <w:sz w:val="21"/>
              </w:rPr>
              <w:t>**</w:t>
            </w:r>
            <w:r>
              <w:rPr>
                <w:spacing w:val="-1"/>
                <w:sz w:val="21"/>
              </w:rPr>
              <w:t>：政府和相关机构应出台相应</w:t>
            </w:r>
          </w:p>
          <w:p>
            <w:pPr>
              <w:pStyle w:val="TableParagraph"/>
              <w:spacing w:before="1" w:line="310" w:lineRule="atLeast"/>
              <w:ind w:right="96"/>
              <w:rPr>
                <w:sz w:val="21"/>
              </w:rPr>
            </w:pPr>
            <w:r>
              <w:rPr>
                <w:spacing w:val="-2"/>
                <w:sz w:val="21"/>
              </w:rPr>
              <w:t>的政策支持和激励措施，以促进干细胞治疗技术的商业化</w:t>
            </w:r>
            <w:r>
              <w:rPr>
                <w:spacing w:val="-4"/>
                <w:sz w:val="21"/>
              </w:rPr>
              <w:t>进程。</w:t>
            </w:r>
          </w:p>
        </w:tc>
      </w:tr>
      <w:tr>
        <w:tblPrEx>
          <w:tblW w:w="0" w:type="auto"/>
          <w:jc w:val="left"/>
          <w:tblInd w:w="130" w:type="dxa"/>
          <w:tblLayout w:type="fixed"/>
          <w:tblCellMar>
            <w:top w:w="0" w:type="dxa"/>
            <w:left w:w="0" w:type="dxa"/>
            <w:bottom w:w="0" w:type="dxa"/>
            <w:right w:w="0" w:type="dxa"/>
          </w:tblCellMar>
          <w:tblLook w:val="01E0"/>
        </w:tblPrEx>
        <w:trPr>
          <w:trHeight w:val="312"/>
          <w:jc w:val="left"/>
        </w:trPr>
        <w:tc>
          <w:tcPr>
            <w:tcW w:w="2756" w:type="dxa"/>
          </w:tcPr>
          <w:p>
            <w:pPr>
              <w:pStyle w:val="TableParagraph"/>
              <w:ind w:left="0"/>
              <w:rPr>
                <w:rFonts w:ascii="Times New Roman"/>
                <w:sz w:val="22"/>
              </w:rPr>
            </w:pPr>
          </w:p>
        </w:tc>
        <w:tc>
          <w:tcPr>
            <w:tcW w:w="5540" w:type="dxa"/>
          </w:tcPr>
          <w:p>
            <w:pPr>
              <w:pStyle w:val="TableParagraph"/>
              <w:ind w:left="0"/>
              <w:rPr>
                <w:rFonts w:ascii="Times New Roman"/>
                <w:sz w:val="22"/>
              </w:rPr>
            </w:pPr>
          </w:p>
        </w:tc>
      </w:tr>
    </w:tbl>
    <w:p>
      <w:pPr>
        <w:pStyle w:val="BodyText"/>
        <w:spacing w:before="5"/>
        <w:ind w:left="0"/>
        <w:rPr>
          <w:rFonts w:ascii="Microsoft JhengHei"/>
          <w:b/>
          <w:sz w:val="5"/>
        </w:rPr>
      </w:pPr>
    </w:p>
    <w:p>
      <w:pPr>
        <w:pStyle w:val="BodyText"/>
        <w:spacing w:before="61" w:line="417" w:lineRule="auto"/>
        <w:ind w:right="378" w:firstLine="560"/>
      </w:pPr>
      <w:r>
        <w:rPr>
          <w:spacing w:val="-2"/>
        </w:rPr>
        <w:t>肾脏疾病是全球公共卫生的重大挑战之一，其治疗需求迫切。近</w:t>
      </w:r>
      <w:r>
        <w:rPr>
          <w:spacing w:val="-2"/>
        </w:rPr>
        <w:t>年来，干细胞疗法作为一种具有再生潜力的治疗方法，在肾脏疾病的</w:t>
      </w:r>
      <w:r>
        <w:rPr>
          <w:spacing w:val="-18"/>
        </w:rPr>
        <w:t>治疗研究中备受关注。然而，干细胞治疗在技术层面面临着诸多挑战，</w:t>
      </w:r>
      <w:r>
        <w:rPr>
          <w:spacing w:val="-2"/>
        </w:rPr>
        <w:t>这些挑战需要跨学科的合作来解决。</w:t>
      </w:r>
    </w:p>
    <w:p>
      <w:pPr>
        <w:pStyle w:val="BodyText"/>
        <w:spacing w:line="417" w:lineRule="auto"/>
        <w:ind w:right="518"/>
        <w:jc w:val="both"/>
      </w:pPr>
      <w:r>
        <w:rPr>
          <w:spacing w:val="-4"/>
        </w:rPr>
        <w:t>首先，干细胞的来源和获取是干细胞治疗面临的一个关键问题。理想</w:t>
      </w:r>
      <w:r>
        <w:rPr>
          <w:spacing w:val="-4"/>
        </w:rPr>
        <w:t>的干细胞应具有多能性，能够分化为多种细胞类型，同时保持低免疫</w:t>
      </w:r>
      <w:r>
        <w:rPr>
          <w:spacing w:val="16"/>
        </w:rPr>
        <w:t>原性以减少移植排斥反应。目前，胚胎干细胞和诱导多能干细胞</w:t>
      </w:r>
    </w:p>
    <w:p>
      <w:pPr>
        <w:pStyle w:val="BodyText"/>
        <w:spacing w:line="417" w:lineRule="auto"/>
        <w:ind w:right="518"/>
        <w:jc w:val="both"/>
      </w:pPr>
      <w:r>
        <w:rPr>
          <w:spacing w:val="-2"/>
        </w:rPr>
        <w:t>（iPSCs）是最常用的干细胞来源。然而，胚胎干细胞的应用受限于</w:t>
      </w:r>
      <w:r>
        <w:rPr>
          <w:spacing w:val="-10"/>
        </w:rPr>
        <w:t xml:space="preserve">伦理问题，而 </w:t>
      </w:r>
      <w:r>
        <w:rPr>
          <w:spacing w:val="-6"/>
        </w:rPr>
        <w:t>iPSCs</w:t>
      </w:r>
      <w:r>
        <w:rPr>
          <w:spacing w:val="-11"/>
        </w:rPr>
        <w:t xml:space="preserve"> 的制备过程复杂且成本较高。此外，干细胞的质</w:t>
      </w:r>
      <w:r>
        <w:rPr>
          <w:spacing w:val="-10"/>
        </w:rPr>
        <w:t>量控制也是一个重要的问题，需要确保干细胞的遗传稳定性和避免致</w:t>
      </w:r>
      <w:r>
        <w:rPr>
          <w:spacing w:val="-4"/>
        </w:rPr>
        <w:t>瘤风险。</w:t>
      </w:r>
    </w:p>
    <w:p>
      <w:pPr>
        <w:pStyle w:val="BodyText"/>
        <w:spacing w:line="417" w:lineRule="auto"/>
        <w:ind w:right="378"/>
        <w:jc w:val="both"/>
      </w:pPr>
      <w:r>
        <w:rPr>
          <w:spacing w:val="-2"/>
        </w:rPr>
        <w:t>其次，干细胞向肾脏组织的定向分化是一个技术难题。尽管已经有一</w:t>
      </w:r>
      <w:r>
        <w:rPr>
          <w:spacing w:val="-2"/>
        </w:rPr>
        <w:t>些研究报道成功地将干细胞分化为肾小球、肾小管等肾脏结构，但这</w:t>
      </w:r>
      <w:r>
        <w:rPr>
          <w:spacing w:val="-9"/>
        </w:rPr>
        <w:t>些分化的效率和质量仍不理想。如何精确调控干细胞分化过程中的信</w:t>
      </w:r>
      <w:r>
        <w:rPr>
          <w:spacing w:val="-17"/>
        </w:rPr>
        <w:t>号通路，以及如何优化培养条件以提高分化效率，是当前研究的热点。</w:t>
      </w:r>
    </w:p>
    <w:p>
      <w:pPr>
        <w:pStyle w:val="BodyText"/>
        <w:spacing w:line="358" w:lineRule="exact"/>
      </w:pPr>
      <w:r>
        <w:rPr>
          <w:spacing w:val="-5"/>
        </w:rPr>
        <w:t>第三，干细胞治疗的安全性问题不容忽视。干细胞治疗可能会引起免</w:t>
      </w:r>
    </w:p>
    <w:p>
      <w:pPr>
        <w:spacing w:after="0" w:line="358" w:lineRule="exact"/>
        <w:sectPr>
          <w:footerReference w:type="default" r:id="rId12"/>
          <w:type w:val="nextPage"/>
          <w:pgSz w:w="11910" w:h="16840"/>
          <w:pgMar w:top="1400" w:right="1280" w:bottom="1380" w:left="1680" w:header="0" w:footer="1198"/>
          <w:pgNumType w:start="8"/>
          <w:cols w:space="708"/>
          <w:titlePg w:val="0"/>
        </w:sectPr>
      </w:pPr>
    </w:p>
    <w:p>
      <w:pPr>
        <w:pStyle w:val="BodyText"/>
        <w:spacing w:before="37" w:line="417" w:lineRule="auto"/>
        <w:ind w:right="238"/>
      </w:pPr>
      <w:r>
        <w:rPr>
          <w:spacing w:val="-2"/>
        </w:rPr>
        <w:t>疫反应、炎症反应或肿瘤形成等问题。因此，需要对干细胞的免疫特</w:t>
      </w:r>
      <w:r>
        <w:rPr>
          <w:spacing w:val="-2"/>
        </w:rPr>
        <w:t xml:space="preserve"> </w:t>
      </w:r>
      <w:r>
        <w:rPr>
          <w:spacing w:val="-2"/>
        </w:rPr>
        <w:t>性进行深入研究，并开发新的免疫抑制策略来降低排斥反应的风险。</w:t>
      </w:r>
      <w:r>
        <w:rPr>
          <w:spacing w:val="-2"/>
        </w:rPr>
        <w:t>同时，对干细胞衍生物的安全性评估也至关重要，以确保治疗的安全</w:t>
      </w:r>
      <w:r>
        <w:rPr>
          <w:spacing w:val="-2"/>
        </w:rPr>
        <w:t xml:space="preserve"> </w:t>
      </w:r>
      <w:r>
        <w:rPr>
          <w:spacing w:val="-6"/>
        </w:rPr>
        <w:t>性。</w:t>
      </w:r>
    </w:p>
    <w:p>
      <w:pPr>
        <w:pStyle w:val="BodyText"/>
        <w:spacing w:line="417" w:lineRule="auto"/>
        <w:ind w:right="518"/>
        <w:jc w:val="both"/>
      </w:pPr>
      <w:r>
        <w:rPr>
          <w:spacing w:val="-4"/>
        </w:rPr>
        <w:t>第四，干细胞治疗的临床应用还面临许多挑战。例如，如何有效地将</w:t>
      </w:r>
      <w:r>
        <w:rPr>
          <w:spacing w:val="-4"/>
        </w:rPr>
        <w:t>干细胞输送到肾脏组织，以及如何控制干细胞的存活和功能发挥。此</w:t>
      </w:r>
      <w:r>
        <w:rPr>
          <w:spacing w:val="-13"/>
        </w:rPr>
        <w:t>外，干细胞治疗的剂量和疗程也需要根据不同的疾病类型和患者状况</w:t>
      </w:r>
      <w:r>
        <w:rPr>
          <w:spacing w:val="-2"/>
        </w:rPr>
        <w:t>进行个体化调整。</w:t>
      </w:r>
    </w:p>
    <w:p>
      <w:pPr>
        <w:pStyle w:val="BodyText"/>
        <w:spacing w:line="417" w:lineRule="auto"/>
        <w:ind w:right="285"/>
      </w:pPr>
      <w:r>
        <w:rPr>
          <w:spacing w:val="-15"/>
        </w:rPr>
        <w:t>最后，干细胞治疗的经济可行性也是影响其广泛应用的一个重要因素。</w:t>
      </w:r>
      <w:r>
        <w:rPr>
          <w:spacing w:val="-2"/>
        </w:rPr>
        <w:t>目前，干细胞治疗的成本相对较高，这限制了其在临床上的普及。因</w:t>
      </w:r>
      <w:r>
        <w:rPr>
          <w:spacing w:val="-2"/>
        </w:rPr>
        <w:t>此，需要进一步降低成本，提高生产效率，以实现干细胞治疗的广泛</w:t>
      </w:r>
      <w:r>
        <w:rPr>
          <w:spacing w:val="-4"/>
        </w:rPr>
        <w:t>应用。</w:t>
      </w:r>
    </w:p>
    <w:p>
      <w:pPr>
        <w:pStyle w:val="BodyText"/>
        <w:spacing w:line="417" w:lineRule="auto"/>
        <w:ind w:right="518"/>
        <w:jc w:val="both"/>
      </w:pPr>
      <w:r>
        <w:rPr>
          <w:spacing w:val="-4"/>
        </w:rPr>
        <w:t>综上所述，肾脏干细胞治疗的技术挑战是多方面的，需要生物学、医学、药学、材料科学等多学科的紧密合作，共同解决这些问题。通过</w:t>
      </w:r>
      <w:r>
        <w:rPr>
          <w:spacing w:val="-4"/>
        </w:rPr>
        <w:t>跨学科的合作，有望推动肾脏干细胞治疗的发展，为肾脏疾病的治疗</w:t>
      </w:r>
      <w:r>
        <w:rPr>
          <w:spacing w:val="-2"/>
        </w:rPr>
        <w:t>提供新的可能。</w:t>
      </w:r>
    </w:p>
    <w:p>
      <w:pPr>
        <w:pStyle w:val="BodyText"/>
        <w:ind w:left="0"/>
      </w:pPr>
    </w:p>
    <w:p>
      <w:pPr>
        <w:pStyle w:val="Heading1"/>
        <w:spacing w:before="234"/>
        <w:jc w:val="both"/>
      </w:pPr>
      <w:bookmarkStart w:id="4" w:name="_TOC_250003"/>
      <w:r>
        <w:t>第五部分</w:t>
      </w:r>
      <w:r>
        <w:rPr>
          <w:spacing w:val="212"/>
          <w:w w:val="150"/>
        </w:rPr>
        <w:t xml:space="preserve"> </w:t>
      </w:r>
      <w:bookmarkEnd w:id="4"/>
      <w:r>
        <w:rPr>
          <w:spacing w:val="-2"/>
        </w:rPr>
        <w:t>临床试验的伦理考量</w:t>
      </w:r>
    </w:p>
    <w:p>
      <w:pPr>
        <w:pStyle w:val="BodyText"/>
        <w:spacing w:before="16"/>
        <w:ind w:left="0"/>
        <w:rPr>
          <w:rFonts w:ascii="Microsoft JhengHei"/>
          <w:b/>
          <w:sz w:val="15"/>
        </w:rPr>
      </w:pPr>
    </w:p>
    <w:tbl>
      <w:tblPr>
        <w:tblStyle w:val="TableNormal4"/>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77"/>
        <w:gridCol w:w="5519"/>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77" w:type="dxa"/>
          </w:tcPr>
          <w:p>
            <w:pPr>
              <w:pStyle w:val="TableParagraph"/>
              <w:spacing w:before="23"/>
              <w:rPr>
                <w:sz w:val="21"/>
              </w:rPr>
            </w:pPr>
            <w:r>
              <w:rPr>
                <w:spacing w:val="-4"/>
                <w:sz w:val="21"/>
              </w:rPr>
              <w:t>关键词</w:t>
            </w:r>
          </w:p>
        </w:tc>
        <w:tc>
          <w:tcPr>
            <w:tcW w:w="5519" w:type="dxa"/>
          </w:tcPr>
          <w:p>
            <w:pPr>
              <w:pStyle w:val="TableParagraph"/>
              <w:spacing w:before="23"/>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1871"/>
          <w:jc w:val="left"/>
        </w:trPr>
        <w:tc>
          <w:tcPr>
            <w:tcW w:w="2777" w:type="dxa"/>
          </w:tcPr>
          <w:p>
            <w:pPr>
              <w:pStyle w:val="TableParagraph"/>
              <w:spacing w:before="23"/>
              <w:rPr>
                <w:sz w:val="21"/>
              </w:rPr>
            </w:pPr>
            <w:r>
              <w:rPr>
                <w:spacing w:val="-1"/>
                <w:sz w:val="21"/>
              </w:rPr>
              <w:t>【临床试验的伦理考量】：</w:t>
            </w:r>
          </w:p>
        </w:tc>
        <w:tc>
          <w:tcPr>
            <w:tcW w:w="5519" w:type="dxa"/>
          </w:tcPr>
          <w:p>
            <w:pPr>
              <w:pStyle w:val="TableParagraph"/>
              <w:spacing w:before="4"/>
              <w:ind w:left="0"/>
              <w:rPr>
                <w:rFonts w:ascii="Microsoft JhengHei"/>
                <w:b/>
                <w:sz w:val="18"/>
              </w:rPr>
            </w:pPr>
          </w:p>
          <w:p>
            <w:pPr>
              <w:pStyle w:val="TableParagraph"/>
              <w:numPr>
                <w:ilvl w:val="0"/>
                <w:numId w:val="9"/>
              </w:numPr>
              <w:tabs>
                <w:tab w:val="left" w:pos="371"/>
              </w:tabs>
              <w:spacing w:before="0" w:after="0" w:line="278" w:lineRule="auto"/>
              <w:ind w:left="108" w:right="96" w:firstLine="0"/>
              <w:jc w:val="both"/>
              <w:rPr>
                <w:sz w:val="21"/>
              </w:rPr>
            </w:pPr>
            <w:r>
              <w:rPr>
                <w:spacing w:val="-2"/>
                <w:sz w:val="21"/>
              </w:rPr>
              <w:t>患者知情同意：在临床试验中，确保患者充分了解试验</w:t>
            </w:r>
            <w:r>
              <w:rPr>
                <w:spacing w:val="-2"/>
                <w:sz w:val="21"/>
              </w:rPr>
              <w:t>的目的、过程、潜在风险与利益，并自愿参与是至关重要</w:t>
            </w:r>
            <w:r>
              <w:rPr>
                <w:spacing w:val="-2"/>
                <w:sz w:val="21"/>
              </w:rPr>
              <w:t>的。这包括提供详细的信息，让患者有足够的时间考虑，</w:t>
            </w:r>
            <w:r>
              <w:rPr>
                <w:spacing w:val="-2"/>
                <w:sz w:val="21"/>
              </w:rPr>
              <w:t>并在完全理解的基础上签署知情同意书。</w:t>
            </w:r>
          </w:p>
          <w:p>
            <w:pPr>
              <w:pStyle w:val="TableParagraph"/>
              <w:numPr>
                <w:ilvl w:val="0"/>
                <w:numId w:val="9"/>
              </w:numPr>
              <w:tabs>
                <w:tab w:val="left" w:pos="371"/>
              </w:tabs>
              <w:spacing w:before="0" w:after="0" w:line="268" w:lineRule="exact"/>
              <w:ind w:left="370" w:right="0" w:hanging="263"/>
              <w:jc w:val="both"/>
              <w:rPr>
                <w:sz w:val="21"/>
              </w:rPr>
            </w:pPr>
            <w:r>
              <w:rPr>
                <w:spacing w:val="-12"/>
                <w:sz w:val="21"/>
              </w:rPr>
              <w:t>隐私保护：患者的个人信息和医疗记录应受到严格保护，</w:t>
            </w:r>
          </w:p>
        </w:tc>
      </w:tr>
    </w:tbl>
    <w:p>
      <w:pPr>
        <w:spacing w:after="0" w:line="268" w:lineRule="exact"/>
        <w:jc w:val="both"/>
        <w:rPr>
          <w:sz w:val="21"/>
        </w:rPr>
        <w:sectPr>
          <w:footerReference w:type="default" r:id="rId13"/>
          <w:pgSz w:w="11910" w:h="16840"/>
          <w:pgMar w:top="1520" w:right="1280" w:bottom="1380" w:left="1680" w:header="0" w:footer="1198"/>
          <w:pgNumType w:start="9"/>
          <w:cols w:space="708"/>
        </w:sectPr>
      </w:pPr>
    </w:p>
    <w:tbl>
      <w:tblPr>
        <w:tblStyle w:val="TableNormal4"/>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77"/>
        <w:gridCol w:w="5519"/>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2183"/>
          <w:jc w:val="left"/>
        </w:trPr>
        <w:tc>
          <w:tcPr>
            <w:tcW w:w="2777" w:type="dxa"/>
          </w:tcPr>
          <w:p>
            <w:pPr>
              <w:pStyle w:val="TableParagraph"/>
              <w:ind w:left="0"/>
              <w:rPr>
                <w:rFonts w:ascii="Times New Roman"/>
                <w:sz w:val="26"/>
              </w:rPr>
            </w:pPr>
          </w:p>
        </w:tc>
        <w:tc>
          <w:tcPr>
            <w:tcW w:w="5519" w:type="dxa"/>
          </w:tcPr>
          <w:p>
            <w:pPr>
              <w:pStyle w:val="TableParagraph"/>
              <w:spacing w:before="23" w:line="278" w:lineRule="auto"/>
              <w:ind w:right="-15"/>
              <w:rPr>
                <w:sz w:val="21"/>
              </w:rPr>
            </w:pPr>
            <w:r>
              <w:rPr>
                <w:spacing w:val="1"/>
                <w:sz w:val="21"/>
              </w:rPr>
              <w:t>防止未经授权的访问和使用。此外，对于基因信息等特殊</w:t>
            </w:r>
            <w:r>
              <w:rPr>
                <w:spacing w:val="-8"/>
                <w:sz w:val="21"/>
              </w:rPr>
              <w:t>类型的数据，还需要遵守额外的法律法规和数据保护标准。</w:t>
            </w:r>
          </w:p>
          <w:p>
            <w:pPr>
              <w:pStyle w:val="TableParagraph"/>
              <w:spacing w:line="278" w:lineRule="auto"/>
              <w:ind w:right="96"/>
              <w:jc w:val="both"/>
              <w:rPr>
                <w:sz w:val="21"/>
              </w:rPr>
            </w:pPr>
            <w:r>
              <w:rPr>
                <w:rFonts w:ascii="Times New Roman" w:eastAsia="Times New Roman"/>
                <w:sz w:val="21"/>
              </w:rPr>
              <w:t xml:space="preserve">3. </w:t>
            </w:r>
            <w:r>
              <w:rPr>
                <w:sz w:val="21"/>
              </w:rPr>
              <w:t>公平性和代表性：试验设计应确保不同性别、年龄、种</w:t>
            </w:r>
            <w:r>
              <w:rPr>
                <w:spacing w:val="-2"/>
                <w:sz w:val="21"/>
              </w:rPr>
              <w:t>族和社会经济背景的患者都能公平地参与其中，以增加研</w:t>
            </w:r>
            <w:r>
              <w:rPr>
                <w:spacing w:val="-2"/>
                <w:sz w:val="21"/>
              </w:rPr>
              <w:t>究结果的普遍适用性。</w:t>
            </w:r>
          </w:p>
          <w:p>
            <w:pPr>
              <w:pStyle w:val="TableParagraph"/>
              <w:spacing w:line="269" w:lineRule="exact"/>
              <w:rPr>
                <w:sz w:val="21"/>
              </w:rPr>
            </w:pPr>
            <w:r>
              <w:rPr>
                <w:spacing w:val="-2"/>
                <w:sz w:val="21"/>
              </w:rPr>
              <w:t>【受试者安全】：</w:t>
            </w:r>
          </w:p>
        </w:tc>
      </w:tr>
    </w:tbl>
    <w:p>
      <w:pPr>
        <w:sectPr>
          <w:footerReference w:type="default" r:id="rId14"/>
          <w:type w:val="continuous"/>
          <w:pgSz w:w="11910" w:h="16840"/>
          <w:pgMar w:top="1400" w:right="1280" w:bottom="1380" w:left="1680" w:header="0" w:footer="1198"/>
          <w:pgNumType w:start="10"/>
          <w:cols w:space="708"/>
        </w:sectPr>
      </w:pPr>
    </w:p>
    <w:p>
      <w:pPr>
        <w:pStyle w:val="BodyText"/>
        <w:spacing w:before="5"/>
        <w:ind w:left="0"/>
        <w:rPr>
          <w:rFonts w:ascii="Microsoft JhengHei"/>
          <w:b/>
          <w:sz w:val="5"/>
        </w:rPr>
      </w:pPr>
    </w:p>
    <w:p>
      <w:pPr>
        <w:pStyle w:val="BodyText"/>
        <w:spacing w:before="61"/>
        <w:ind w:left="680"/>
      </w:pPr>
      <w:r>
        <w:rPr>
          <w:spacing w:val="-1"/>
        </w:rPr>
        <w:t># 肾脏干细胞治疗的跨学科合作模式：临床试验的伦理考量</w:t>
      </w:r>
    </w:p>
    <w:p>
      <w:pPr>
        <w:pStyle w:val="BodyText"/>
        <w:spacing w:before="8"/>
        <w:ind w:left="0"/>
        <w:rPr>
          <w:sz w:val="20"/>
        </w:rPr>
      </w:pPr>
    </w:p>
    <w:p>
      <w:pPr>
        <w:pStyle w:val="BodyText"/>
        <w:spacing w:before="1"/>
      </w:pPr>
      <w:r>
        <w:rPr>
          <w:spacing w:val="-2"/>
        </w:rPr>
        <w:t>## 引言</w:t>
      </w:r>
    </w:p>
    <w:p>
      <w:pPr>
        <w:pStyle w:val="BodyText"/>
        <w:spacing w:before="8"/>
        <w:ind w:left="0"/>
        <w:rPr>
          <w:sz w:val="20"/>
        </w:rPr>
      </w:pPr>
    </w:p>
    <w:p>
      <w:pPr>
        <w:pStyle w:val="BodyText"/>
        <w:spacing w:before="1" w:line="417" w:lineRule="auto"/>
        <w:ind w:right="238"/>
      </w:pPr>
      <w:r>
        <w:rPr>
          <w:spacing w:val="-2"/>
        </w:rPr>
        <w:t>随着再生医学的发展，肾脏干细胞治疗作为一种潜在的治疗手段，引</w:t>
      </w:r>
      <w:r>
        <w:rPr>
          <w:spacing w:val="-2"/>
        </w:rPr>
        <w:t xml:space="preserve"> </w:t>
      </w:r>
      <w:r>
        <w:rPr>
          <w:spacing w:val="-2"/>
        </w:rPr>
        <w:t>起了广泛关注。然而，此类研究涉及多个学科的合作，包括生物学、</w:t>
      </w:r>
      <w:r>
        <w:rPr>
          <w:spacing w:val="-2"/>
        </w:rPr>
        <w:t>伦理学、法律学以及医学等，因此，其临床试验必须经过严格的伦理</w:t>
      </w:r>
      <w:r>
        <w:rPr>
          <w:spacing w:val="-2"/>
        </w:rPr>
        <w:t xml:space="preserve"> </w:t>
      </w:r>
      <w:r>
        <w:rPr>
          <w:spacing w:val="-2"/>
        </w:rPr>
        <w:t>审查与评估。本文旨在探讨肾脏干细胞治疗临床试验中的伦理考量，</w:t>
      </w:r>
      <w:r>
        <w:rPr>
          <w:spacing w:val="-2"/>
        </w:rPr>
        <w:t>以确保研究的合法性与道德性。</w:t>
      </w:r>
    </w:p>
    <w:p>
      <w:pPr>
        <w:pStyle w:val="BodyText"/>
        <w:spacing w:line="358" w:lineRule="exact"/>
      </w:pPr>
      <w:r>
        <w:rPr>
          <w:spacing w:val="-1"/>
        </w:rPr>
        <w:t>## 临床试验的伦理原则</w:t>
      </w:r>
    </w:p>
    <w:p>
      <w:pPr>
        <w:pStyle w:val="BodyText"/>
        <w:spacing w:before="8"/>
        <w:ind w:left="0"/>
        <w:rPr>
          <w:sz w:val="20"/>
        </w:rPr>
      </w:pPr>
    </w:p>
    <w:p>
      <w:pPr>
        <w:pStyle w:val="BodyText"/>
        <w:spacing w:before="1" w:line="417" w:lineRule="auto"/>
        <w:ind w:right="378"/>
      </w:pPr>
      <w:r>
        <w:rPr>
          <w:spacing w:val="-2"/>
        </w:rPr>
        <w:t>在进行肾脏干细胞治疗的临床试验时，应遵循以下伦理原则：尊重受</w:t>
      </w:r>
      <w:r>
        <w:rPr>
          <w:spacing w:val="-19"/>
        </w:rPr>
        <w:t>试者自主权、确保受试者的安全、公平选择受试者以及促进社会公益。</w:t>
      </w:r>
      <w:r>
        <w:rPr>
          <w:spacing w:val="-8"/>
        </w:rPr>
        <w:t>这些原则是指导临床试验的基本准则，有助于保护受试者的权益并提</w:t>
      </w:r>
      <w:r>
        <w:rPr>
          <w:spacing w:val="-2"/>
        </w:rPr>
        <w:t>高研究的道德标准。</w:t>
      </w:r>
    </w:p>
    <w:p>
      <w:pPr>
        <w:pStyle w:val="BodyText"/>
        <w:spacing w:line="358" w:lineRule="exact"/>
      </w:pPr>
      <w:r>
        <w:rPr>
          <w:spacing w:val="-2"/>
        </w:rPr>
        <w:t>## 知情同意</w:t>
      </w:r>
    </w:p>
    <w:p>
      <w:pPr>
        <w:pStyle w:val="BodyText"/>
        <w:spacing w:before="8"/>
        <w:ind w:left="0"/>
        <w:rPr>
          <w:sz w:val="20"/>
        </w:rPr>
      </w:pPr>
    </w:p>
    <w:p>
      <w:pPr>
        <w:pStyle w:val="BodyText"/>
        <w:spacing w:before="1" w:line="417" w:lineRule="auto"/>
        <w:ind w:right="518"/>
        <w:jc w:val="both"/>
      </w:pPr>
      <w:r>
        <w:rPr>
          <w:spacing w:val="-7"/>
        </w:rPr>
        <w:t>知情同意是临床试验中的核心伦理要求之一。研究者需向受试者详细</w:t>
      </w:r>
      <w:r>
        <w:rPr>
          <w:spacing w:val="-4"/>
        </w:rPr>
        <w:t>解释试验的目的、方法、潜在风险及益处等信息，确保受试者充分了</w:t>
      </w:r>
      <w:r>
        <w:rPr>
          <w:spacing w:val="-4"/>
        </w:rPr>
        <w:t>解并自愿参与试验。此外，知情同意书应明确列出所有可能的利益冲</w:t>
      </w:r>
      <w:r>
        <w:rPr>
          <w:spacing w:val="-2"/>
        </w:rPr>
        <w:t>突，并保证受试者在任何时候都有权退出试验而不受任何惩罚。</w:t>
      </w:r>
    </w:p>
    <w:p>
      <w:pPr>
        <w:pStyle w:val="BodyText"/>
        <w:spacing w:line="358" w:lineRule="exact"/>
        <w:jc w:val="both"/>
      </w:pPr>
      <w:r>
        <w:rPr>
          <w:spacing w:val="-1"/>
        </w:rPr>
        <w:t>## 受试者的选择与招募</w:t>
      </w:r>
    </w:p>
    <w:p>
      <w:pPr>
        <w:pStyle w:val="BodyText"/>
        <w:spacing w:before="8"/>
        <w:ind w:left="0"/>
        <w:rPr>
          <w:sz w:val="20"/>
        </w:rPr>
      </w:pPr>
    </w:p>
    <w:p>
      <w:pPr>
        <w:pStyle w:val="BodyText"/>
        <w:spacing w:before="1"/>
      </w:pPr>
      <w:r>
        <w:rPr>
          <w:spacing w:val="-1"/>
        </w:rPr>
        <w:t>在选择与招募受试者时，应确保受试者的代表性，避免偏见和歧视。</w:t>
      </w:r>
    </w:p>
    <w:p>
      <w:pPr>
        <w:spacing w:after="0"/>
        <w:sectPr>
          <w:footerReference w:type="default" r:id="rId15"/>
          <w:type w:val="nextPage"/>
          <w:pgSz w:w="11910" w:h="16840"/>
          <w:pgMar w:top="1400" w:right="1280" w:bottom="1380" w:left="1680" w:header="0" w:footer="1198"/>
          <w:pgNumType w:start="11"/>
          <w:cols w:space="708"/>
          <w:titlePg w:val="0"/>
        </w:sectPr>
      </w:pPr>
    </w:p>
    <w:p>
      <w:pPr>
        <w:pStyle w:val="BodyText"/>
        <w:spacing w:before="37" w:line="417" w:lineRule="auto"/>
        <w:ind w:right="238"/>
      </w:pPr>
      <w:r>
        <w:rPr>
          <w:spacing w:val="-2"/>
        </w:rPr>
        <w:t>例如，不应仅基于种族、性别或社会经济地位来选择受试者。同时，</w:t>
      </w:r>
      <w:r>
        <w:rPr>
          <w:spacing w:val="-2"/>
        </w:rPr>
        <w:t>应优先考虑那些从研究中获益最大的群体，如终末期肾病患者。</w:t>
      </w:r>
    </w:p>
    <w:p>
      <w:pPr>
        <w:pStyle w:val="BodyText"/>
        <w:spacing w:line="358" w:lineRule="exact"/>
      </w:pPr>
      <w:r>
        <w:rPr>
          <w:spacing w:val="-1"/>
        </w:rPr>
        <w:t>## 风险与收益的权衡</w:t>
      </w:r>
    </w:p>
    <w:p>
      <w:pPr>
        <w:pStyle w:val="BodyText"/>
        <w:spacing w:before="8"/>
        <w:ind w:left="0"/>
        <w:rPr>
          <w:sz w:val="20"/>
        </w:rPr>
      </w:pPr>
    </w:p>
    <w:p>
      <w:pPr>
        <w:pStyle w:val="BodyText"/>
        <w:spacing w:before="1" w:line="417" w:lineRule="auto"/>
        <w:ind w:right="378"/>
      </w:pPr>
      <w:r>
        <w:rPr>
          <w:spacing w:val="-9"/>
        </w:rPr>
        <w:t>在肾脏干细胞治疗的临床试验中，研究者必须在确保受试者安全的前</w:t>
      </w:r>
      <w:r>
        <w:rPr>
          <w:spacing w:val="-20"/>
        </w:rPr>
        <w:t>提下，对潜在的风险与收益进行权衡。这包括评估治疗方法的有效性、</w:t>
      </w:r>
      <w:r>
        <w:rPr>
          <w:spacing w:val="-2"/>
        </w:rPr>
        <w:t>安全性以及长期影响。此外，还应考虑试验设计是否允许及时识别并</w:t>
      </w:r>
      <w:r>
        <w:rPr>
          <w:spacing w:val="-2"/>
        </w:rPr>
        <w:t>处理不良事件。</w:t>
      </w:r>
    </w:p>
    <w:p>
      <w:pPr>
        <w:pStyle w:val="BodyText"/>
        <w:spacing w:line="358" w:lineRule="exact"/>
      </w:pPr>
      <w:r>
        <w:rPr>
          <w:spacing w:val="-1"/>
        </w:rPr>
        <w:t>## 隐私保护与数据安全</w:t>
      </w:r>
    </w:p>
    <w:p>
      <w:pPr>
        <w:pStyle w:val="BodyText"/>
        <w:spacing w:before="8"/>
        <w:ind w:left="0"/>
        <w:rPr>
          <w:sz w:val="20"/>
        </w:rPr>
      </w:pPr>
    </w:p>
    <w:p>
      <w:pPr>
        <w:pStyle w:val="BodyText"/>
        <w:spacing w:before="1" w:line="417" w:lineRule="auto"/>
        <w:ind w:right="378"/>
      </w:pPr>
      <w:r>
        <w:rPr>
          <w:spacing w:val="-2"/>
        </w:rPr>
        <w:t>在收集、存储和处理受试者的个人信息及生物样本时，必须严格遵守</w:t>
      </w:r>
      <w:r>
        <w:rPr>
          <w:spacing w:val="-2"/>
        </w:rPr>
        <w:t>相关法律法规，确保受试者的隐私得到充分保护。此外，对于临床试</w:t>
      </w:r>
      <w:r>
        <w:rPr>
          <w:spacing w:val="-19"/>
        </w:rPr>
        <w:t>验产生的数据，应采取适当的安全措施，防止未经授权的访问和使用。</w:t>
      </w:r>
      <w:r>
        <w:rPr>
          <w:spacing w:val="-2"/>
        </w:rPr>
        <w:t xml:space="preserve"> </w:t>
      </w:r>
      <w:r>
        <w:t>## 跨学科合作的伦理挑战</w:t>
      </w:r>
    </w:p>
    <w:p>
      <w:pPr>
        <w:pStyle w:val="BodyText"/>
        <w:spacing w:line="417" w:lineRule="auto"/>
        <w:ind w:right="378"/>
      </w:pPr>
      <w:r>
        <w:rPr>
          <w:spacing w:val="-6"/>
        </w:rPr>
        <w:t>肾脏干细胞治疗的临床试验往往需要不同学科的专家共同参与。这种</w:t>
      </w:r>
      <w:r>
        <w:rPr>
          <w:spacing w:val="-13"/>
        </w:rPr>
        <w:t>跨学科的合作模式可能带来沟通不畅、责任划分不明确等问题。因此，</w:t>
      </w:r>
      <w:r>
        <w:rPr>
          <w:spacing w:val="-7"/>
        </w:rPr>
        <w:t>建立有效的沟通机制和协调机制至关重要，以确保各方在伦理问题上</w:t>
      </w:r>
      <w:r>
        <w:rPr>
          <w:spacing w:val="-2"/>
        </w:rPr>
        <w:t>达成共识并采取一致行动。</w:t>
      </w:r>
    </w:p>
    <w:p>
      <w:pPr>
        <w:pStyle w:val="BodyText"/>
        <w:spacing w:line="358" w:lineRule="exact"/>
      </w:pPr>
      <w:r>
        <w:rPr>
          <w:spacing w:val="-2"/>
        </w:rPr>
        <w:t>## 结论</w:t>
      </w:r>
    </w:p>
    <w:p>
      <w:pPr>
        <w:pStyle w:val="BodyText"/>
        <w:spacing w:before="7"/>
        <w:ind w:left="0"/>
        <w:rPr>
          <w:sz w:val="20"/>
        </w:rPr>
      </w:pPr>
    </w:p>
    <w:p>
      <w:pPr>
        <w:pStyle w:val="BodyText"/>
        <w:spacing w:before="1" w:line="417" w:lineRule="auto"/>
        <w:ind w:right="244"/>
      </w:pPr>
      <w:r>
        <w:rPr>
          <w:spacing w:val="-2"/>
        </w:rPr>
        <w:t>肾脏干细胞治疗的临床试验不仅涉及科学问题，还涉及伦理问题。为</w:t>
      </w:r>
      <w:r>
        <w:rPr>
          <w:spacing w:val="-2"/>
        </w:rPr>
        <w:t xml:space="preserve"> </w:t>
      </w:r>
      <w:r>
        <w:rPr>
          <w:spacing w:val="-2"/>
        </w:rPr>
        <w:t>确保研究的合法性、道德性和有效性，研究者必须充分考虑上述伦理</w:t>
      </w:r>
      <w:r>
        <w:rPr>
          <w:spacing w:val="-2"/>
        </w:rPr>
        <w:t xml:space="preserve"> </w:t>
      </w:r>
      <w:r>
        <w:rPr>
          <w:spacing w:val="-2"/>
        </w:rPr>
        <w:t>考量，并在整个研究过程中持续进行伦理监督与管理。通过跨学科合</w:t>
      </w:r>
      <w:r>
        <w:rPr>
          <w:spacing w:val="-2"/>
        </w:rPr>
        <w:t xml:space="preserve"> </w:t>
      </w:r>
      <w:r>
        <w:rPr>
          <w:spacing w:val="-2"/>
        </w:rPr>
        <w:t>作，可以更好地解决伦理难题，推动肾脏干细胞治疗的研究与应用。</w:t>
      </w:r>
    </w:p>
    <w:p>
      <w:pPr>
        <w:spacing w:after="0" w:line="417" w:lineRule="auto"/>
        <w:sectPr>
          <w:footerReference w:type="default" r:id="rId16"/>
          <w:pgSz w:w="11910" w:h="16840"/>
          <w:pgMar w:top="1520" w:right="1280" w:bottom="1380" w:left="1680" w:header="0" w:footer="1198"/>
          <w:pgNumType w:start="12"/>
          <w:cols w:space="708"/>
        </w:sectPr>
      </w:pPr>
    </w:p>
    <w:p>
      <w:pPr>
        <w:pStyle w:val="Heading1"/>
        <w:tabs>
          <w:tab w:val="left" w:pos="1725"/>
        </w:tabs>
        <w:spacing w:line="514" w:lineRule="exact"/>
      </w:pPr>
      <w:bookmarkStart w:id="5" w:name="_TOC_250002"/>
      <w:r>
        <w:t>第</w:t>
      </w:r>
      <w:r>
        <w:t>六</w:t>
      </w:r>
      <w:r>
        <w:t>部</w:t>
      </w:r>
      <w:r>
        <w:rPr>
          <w:spacing w:val="-10"/>
        </w:rPr>
        <w:t>分</w:t>
      </w:r>
      <w:r>
        <w:tab/>
        <w:t>跨</w:t>
      </w:r>
      <w:r>
        <w:t>学</w:t>
      </w:r>
      <w:r>
        <w:t>科</w:t>
      </w:r>
      <w:r>
        <w:t>团</w:t>
      </w:r>
      <w:r>
        <w:t>队</w:t>
      </w:r>
      <w:r>
        <w:t>的</w:t>
      </w:r>
      <w:r>
        <w:t>构</w:t>
      </w:r>
      <w:r>
        <w:t>建</w:t>
      </w:r>
      <w:r>
        <w:t>与</w:t>
      </w:r>
      <w:r>
        <w:t>管</w:t>
      </w:r>
      <w:bookmarkEnd w:id="5"/>
      <w:r>
        <w:rPr>
          <w:spacing w:val="-10"/>
        </w:rPr>
        <w:t>理</w:t>
      </w:r>
    </w:p>
    <w:p>
      <w:pPr>
        <w:pStyle w:val="BodyText"/>
        <w:spacing w:before="15" w:after="1"/>
        <w:ind w:left="0"/>
        <w:rPr>
          <w:rFonts w:ascii="Microsoft JhengHei"/>
          <w:b/>
          <w:sz w:val="15"/>
        </w:rPr>
      </w:pPr>
    </w:p>
    <w:tbl>
      <w:tblPr>
        <w:tblStyle w:val="TableNormal5"/>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9"/>
        <w:gridCol w:w="5527"/>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69" w:type="dxa"/>
          </w:tcPr>
          <w:p>
            <w:pPr>
              <w:pStyle w:val="TableParagraph"/>
              <w:spacing w:before="23"/>
              <w:rPr>
                <w:sz w:val="21"/>
              </w:rPr>
            </w:pPr>
            <w:r>
              <w:rPr>
                <w:spacing w:val="-4"/>
                <w:sz w:val="21"/>
              </w:rPr>
              <w:t>关键词</w:t>
            </w:r>
          </w:p>
        </w:tc>
        <w:tc>
          <w:tcPr>
            <w:tcW w:w="5527" w:type="dxa"/>
          </w:tcPr>
          <w:p>
            <w:pPr>
              <w:pStyle w:val="TableParagraph"/>
              <w:spacing w:before="23"/>
              <w:ind w:left="107"/>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4680"/>
          <w:jc w:val="left"/>
        </w:trPr>
        <w:tc>
          <w:tcPr>
            <w:tcW w:w="2769" w:type="dxa"/>
          </w:tcPr>
          <w:p>
            <w:pPr>
              <w:pStyle w:val="TableParagraph"/>
              <w:spacing w:before="23"/>
              <w:rPr>
                <w:sz w:val="21"/>
              </w:rPr>
            </w:pPr>
            <w:r>
              <w:rPr>
                <w:spacing w:val="-1"/>
                <w:sz w:val="21"/>
              </w:rPr>
              <w:t>跨学科团队构建的策略</w:t>
            </w:r>
          </w:p>
        </w:tc>
        <w:tc>
          <w:tcPr>
            <w:tcW w:w="5527" w:type="dxa"/>
          </w:tcPr>
          <w:p>
            <w:pPr>
              <w:pStyle w:val="TableParagraph"/>
              <w:spacing w:before="4"/>
              <w:ind w:left="0"/>
              <w:rPr>
                <w:rFonts w:ascii="Microsoft JhengHei"/>
                <w:b/>
                <w:sz w:val="18"/>
              </w:rPr>
            </w:pPr>
          </w:p>
          <w:p>
            <w:pPr>
              <w:pStyle w:val="TableParagraph"/>
              <w:numPr>
                <w:ilvl w:val="0"/>
                <w:numId w:val="8"/>
              </w:numPr>
              <w:tabs>
                <w:tab w:val="left" w:pos="321"/>
              </w:tabs>
              <w:spacing w:before="0" w:after="0" w:line="278" w:lineRule="auto"/>
              <w:ind w:left="107" w:right="-15" w:firstLine="0"/>
              <w:jc w:val="left"/>
              <w:rPr>
                <w:sz w:val="21"/>
              </w:rPr>
            </w:pPr>
            <w:r>
              <w:rPr>
                <w:rFonts w:ascii="Times New Roman" w:eastAsia="Times New Roman"/>
                <w:sz w:val="21"/>
              </w:rPr>
              <w:t>**</w:t>
            </w:r>
            <w:r>
              <w:rPr>
                <w:spacing w:val="2"/>
                <w:sz w:val="21"/>
              </w:rPr>
              <w:t>明确目标与愿景</w:t>
            </w:r>
            <w:r>
              <w:rPr>
                <w:rFonts w:ascii="Times New Roman" w:eastAsia="Times New Roman"/>
                <w:sz w:val="21"/>
              </w:rPr>
              <w:t>**</w:t>
            </w:r>
            <w:r>
              <w:rPr>
                <w:spacing w:val="1"/>
                <w:sz w:val="21"/>
              </w:rPr>
              <w:t>：在组建跨学科团队时，首先需要确立共同的目标和愿景，确保团队成员对项目的最终目的</w:t>
            </w:r>
            <w:r>
              <w:rPr>
                <w:spacing w:val="-6"/>
                <w:sz w:val="21"/>
              </w:rPr>
              <w:t>有清晰的认识。这有助于团队成员理解各自的角色和责任，以及他们在实现整体目标中的重要性。</w:t>
            </w:r>
          </w:p>
          <w:p>
            <w:pPr>
              <w:pStyle w:val="TableParagraph"/>
              <w:numPr>
                <w:ilvl w:val="0"/>
                <w:numId w:val="8"/>
              </w:numPr>
              <w:tabs>
                <w:tab w:val="left" w:pos="321"/>
              </w:tabs>
              <w:spacing w:before="0" w:after="0" w:line="278" w:lineRule="auto"/>
              <w:ind w:left="107" w:right="96" w:firstLine="0"/>
              <w:jc w:val="both"/>
              <w:rPr>
                <w:sz w:val="21"/>
              </w:rPr>
            </w:pPr>
            <w:r>
              <w:rPr>
                <w:rFonts w:ascii="Times New Roman" w:eastAsia="Times New Roman"/>
                <w:spacing w:val="-2"/>
                <w:sz w:val="21"/>
              </w:rPr>
              <w:t>**</w:t>
            </w:r>
            <w:r>
              <w:rPr>
                <w:spacing w:val="-2"/>
                <w:sz w:val="21"/>
              </w:rPr>
              <w:t>成员选择与技能匹配</w:t>
            </w:r>
            <w:r>
              <w:rPr>
                <w:rFonts w:ascii="Times New Roman" w:eastAsia="Times New Roman"/>
                <w:spacing w:val="-2"/>
                <w:sz w:val="21"/>
              </w:rPr>
              <w:t>**</w:t>
            </w:r>
            <w:r>
              <w:rPr>
                <w:spacing w:val="-2"/>
                <w:sz w:val="21"/>
              </w:rPr>
              <w:t>：选择合适的团队成员是成功的关键。应考虑成员的背景、专业技能、经验以及对项目的热情。通过合理搭配不同领域的专家，可以充分利用各</w:t>
            </w:r>
            <w:r>
              <w:rPr>
                <w:spacing w:val="-2"/>
                <w:sz w:val="21"/>
              </w:rPr>
              <w:t>自的专长，提高解决问题的效率和创新能力。</w:t>
            </w:r>
          </w:p>
          <w:p>
            <w:pPr>
              <w:pStyle w:val="TableParagraph"/>
              <w:numPr>
                <w:ilvl w:val="0"/>
                <w:numId w:val="8"/>
              </w:numPr>
              <w:tabs>
                <w:tab w:val="left" w:pos="321"/>
              </w:tabs>
              <w:spacing w:before="0" w:after="0" w:line="278" w:lineRule="auto"/>
              <w:ind w:left="107" w:right="96" w:firstLine="0"/>
              <w:jc w:val="both"/>
              <w:rPr>
                <w:sz w:val="21"/>
              </w:rPr>
            </w:pPr>
            <w:r>
              <w:rPr>
                <w:rFonts w:ascii="Times New Roman" w:eastAsia="Times New Roman"/>
                <w:spacing w:val="-2"/>
                <w:sz w:val="21"/>
              </w:rPr>
              <w:t>**</w:t>
            </w:r>
            <w:r>
              <w:rPr>
                <w:spacing w:val="-2"/>
                <w:sz w:val="21"/>
              </w:rPr>
              <w:t>沟通与合作机制</w:t>
            </w:r>
            <w:r>
              <w:rPr>
                <w:rFonts w:ascii="Times New Roman" w:eastAsia="Times New Roman"/>
                <w:spacing w:val="-2"/>
                <w:sz w:val="21"/>
              </w:rPr>
              <w:t>**</w:t>
            </w:r>
            <w:r>
              <w:rPr>
                <w:spacing w:val="-2"/>
                <w:sz w:val="21"/>
              </w:rPr>
              <w:t>：建立有效的沟通渠道和合作机制对于跨学科团队至关重要。定期的团队会议、项目更新报告和开放的讨论环境有助于促进信息的流通和团队成员之间的互动。此外，鼓励团队成员之间的非正式交流也有助</w:t>
            </w:r>
            <w:r>
              <w:rPr>
                <w:spacing w:val="-2"/>
                <w:sz w:val="21"/>
              </w:rPr>
              <w:t>于建立信任和理解。</w:t>
            </w:r>
          </w:p>
        </w:tc>
      </w:tr>
      <w:tr>
        <w:tblPrEx>
          <w:tblW w:w="0" w:type="auto"/>
          <w:jc w:val="left"/>
          <w:tblInd w:w="130" w:type="dxa"/>
          <w:tblLayout w:type="fixed"/>
          <w:tblCellMar>
            <w:top w:w="0" w:type="dxa"/>
            <w:left w:w="0" w:type="dxa"/>
            <w:bottom w:w="0" w:type="dxa"/>
            <w:right w:w="0" w:type="dxa"/>
          </w:tblCellMar>
          <w:tblLook w:val="01E0"/>
        </w:tblPrEx>
        <w:trPr>
          <w:trHeight w:val="4056"/>
          <w:jc w:val="left"/>
        </w:trPr>
        <w:tc>
          <w:tcPr>
            <w:tcW w:w="2769" w:type="dxa"/>
          </w:tcPr>
          <w:p>
            <w:pPr>
              <w:pStyle w:val="TableParagraph"/>
              <w:spacing w:before="23"/>
              <w:rPr>
                <w:sz w:val="21"/>
              </w:rPr>
            </w:pPr>
            <w:r>
              <w:rPr>
                <w:spacing w:val="-1"/>
                <w:sz w:val="21"/>
              </w:rPr>
              <w:t>跨学科团队的管理与领导</w:t>
            </w:r>
          </w:p>
        </w:tc>
        <w:tc>
          <w:tcPr>
            <w:tcW w:w="5527" w:type="dxa"/>
          </w:tcPr>
          <w:p>
            <w:pPr>
              <w:pStyle w:val="TableParagraph"/>
              <w:spacing w:before="4"/>
              <w:ind w:left="0"/>
              <w:rPr>
                <w:rFonts w:ascii="Microsoft JhengHei"/>
                <w:b/>
                <w:sz w:val="18"/>
              </w:rPr>
            </w:pPr>
          </w:p>
          <w:p>
            <w:pPr>
              <w:pStyle w:val="TableParagraph"/>
              <w:numPr>
                <w:ilvl w:val="0"/>
                <w:numId w:val="7"/>
              </w:numPr>
              <w:tabs>
                <w:tab w:val="left" w:pos="321"/>
              </w:tabs>
              <w:spacing w:before="0" w:after="0" w:line="278" w:lineRule="auto"/>
              <w:ind w:left="107" w:right="96" w:firstLine="0"/>
              <w:jc w:val="both"/>
              <w:rPr>
                <w:sz w:val="21"/>
              </w:rPr>
            </w:pPr>
            <w:r>
              <w:rPr>
                <w:rFonts w:ascii="Times New Roman" w:eastAsia="Times New Roman"/>
                <w:spacing w:val="-2"/>
                <w:sz w:val="21"/>
              </w:rPr>
              <w:t>**</w:t>
            </w:r>
            <w:r>
              <w:rPr>
                <w:spacing w:val="-2"/>
                <w:sz w:val="21"/>
              </w:rPr>
              <w:t>领导力培养</w:t>
            </w:r>
            <w:r>
              <w:rPr>
                <w:rFonts w:ascii="Times New Roman" w:eastAsia="Times New Roman"/>
                <w:spacing w:val="-2"/>
                <w:sz w:val="21"/>
              </w:rPr>
              <w:t>**</w:t>
            </w:r>
            <w:r>
              <w:rPr>
                <w:spacing w:val="-2"/>
                <w:sz w:val="21"/>
              </w:rPr>
              <w:t>：跨学科团队需要一个能够协调不同领域专家的领导。这样的领导者应具备强大的沟通能力、决策能力和冲突解决能力，以应对团队内部可能出现的分歧</w:t>
            </w:r>
            <w:r>
              <w:rPr>
                <w:spacing w:val="-4"/>
                <w:sz w:val="21"/>
              </w:rPr>
              <w:t>和挑战。</w:t>
            </w:r>
          </w:p>
          <w:p>
            <w:pPr>
              <w:pStyle w:val="TableParagraph"/>
              <w:numPr>
                <w:ilvl w:val="0"/>
                <w:numId w:val="7"/>
              </w:numPr>
              <w:tabs>
                <w:tab w:val="left" w:pos="318"/>
              </w:tabs>
              <w:spacing w:before="0" w:after="0" w:line="278" w:lineRule="auto"/>
              <w:ind w:left="107" w:right="-15" w:firstLine="0"/>
              <w:jc w:val="left"/>
              <w:rPr>
                <w:sz w:val="21"/>
              </w:rPr>
            </w:pPr>
            <w:r>
              <w:rPr>
                <w:rFonts w:ascii="Times New Roman" w:eastAsia="Times New Roman"/>
                <w:sz w:val="21"/>
              </w:rPr>
              <w:t>**</w:t>
            </w:r>
            <w:r>
              <w:rPr>
                <w:sz w:val="21"/>
              </w:rPr>
              <w:t>绩效评估与激励</w:t>
            </w:r>
            <w:r>
              <w:rPr>
                <w:rFonts w:ascii="Times New Roman" w:eastAsia="Times New Roman"/>
                <w:sz w:val="21"/>
              </w:rPr>
              <w:t>**</w:t>
            </w:r>
            <w:r>
              <w:rPr>
                <w:spacing w:val="-7"/>
                <w:sz w:val="21"/>
              </w:rPr>
              <w:t>：为了保持团队的活力和高效运作，</w:t>
            </w:r>
            <w:r>
              <w:rPr>
                <w:spacing w:val="1"/>
                <w:sz w:val="21"/>
              </w:rPr>
              <w:t>需要对团队成员的工作进行定期的绩效评估，并根据评估结果实施相应的激励措施。这包括认可优秀表现、提供职业发展机会以及适当的物质奖励。</w:t>
            </w:r>
          </w:p>
          <w:p>
            <w:pPr>
              <w:pStyle w:val="TableParagraph"/>
              <w:numPr>
                <w:ilvl w:val="0"/>
                <w:numId w:val="7"/>
              </w:numPr>
              <w:tabs>
                <w:tab w:val="left" w:pos="321"/>
              </w:tabs>
              <w:spacing w:before="0" w:after="0" w:line="278" w:lineRule="auto"/>
              <w:ind w:left="107" w:right="96" w:firstLine="0"/>
              <w:jc w:val="both"/>
              <w:rPr>
                <w:sz w:val="21"/>
              </w:rPr>
            </w:pPr>
            <w:r>
              <w:rPr>
                <w:rFonts w:ascii="Times New Roman" w:eastAsia="Times New Roman"/>
                <w:spacing w:val="-2"/>
                <w:sz w:val="21"/>
              </w:rPr>
              <w:t>**</w:t>
            </w:r>
            <w:r>
              <w:rPr>
                <w:spacing w:val="-2"/>
                <w:sz w:val="21"/>
              </w:rPr>
              <w:t>持续学习与改进</w:t>
            </w:r>
            <w:r>
              <w:rPr>
                <w:rFonts w:ascii="Times New Roman" w:eastAsia="Times New Roman"/>
                <w:spacing w:val="-2"/>
                <w:sz w:val="21"/>
              </w:rPr>
              <w:t>**</w:t>
            </w:r>
            <w:r>
              <w:rPr>
                <w:spacing w:val="-2"/>
                <w:sz w:val="21"/>
              </w:rPr>
              <w:t>：跨学科团队应该具备持续学习和改进的能力。通过定期回顾项目进展、总结经验教训并调整策略，团队可以不断优化其工作方法和流程，从而提高</w:t>
            </w:r>
          </w:p>
          <w:p>
            <w:pPr>
              <w:pStyle w:val="TableParagraph"/>
              <w:spacing w:line="269" w:lineRule="exact"/>
              <w:ind w:left="107"/>
              <w:rPr>
                <w:sz w:val="21"/>
              </w:rPr>
            </w:pPr>
            <w:r>
              <w:rPr>
                <w:spacing w:val="-2"/>
                <w:sz w:val="21"/>
              </w:rPr>
              <w:t>整体效能。</w:t>
            </w:r>
          </w:p>
        </w:tc>
      </w:tr>
      <w:tr>
        <w:tblPrEx>
          <w:tblW w:w="0" w:type="auto"/>
          <w:jc w:val="left"/>
          <w:tblInd w:w="130" w:type="dxa"/>
          <w:tblLayout w:type="fixed"/>
          <w:tblCellMar>
            <w:top w:w="0" w:type="dxa"/>
            <w:left w:w="0" w:type="dxa"/>
            <w:bottom w:w="0" w:type="dxa"/>
            <w:right w:w="0" w:type="dxa"/>
          </w:tblCellMar>
          <w:tblLook w:val="01E0"/>
        </w:tblPrEx>
        <w:trPr>
          <w:trHeight w:val="312"/>
          <w:jc w:val="left"/>
        </w:trPr>
        <w:tc>
          <w:tcPr>
            <w:tcW w:w="2769" w:type="dxa"/>
          </w:tcPr>
          <w:p>
            <w:pPr>
              <w:pStyle w:val="TableParagraph"/>
              <w:ind w:left="0"/>
              <w:rPr>
                <w:rFonts w:ascii="Times New Roman"/>
                <w:sz w:val="22"/>
              </w:rPr>
            </w:pPr>
          </w:p>
        </w:tc>
        <w:tc>
          <w:tcPr>
            <w:tcW w:w="5527" w:type="dxa"/>
          </w:tcPr>
          <w:p>
            <w:pPr>
              <w:pStyle w:val="TableParagraph"/>
              <w:ind w:left="0"/>
              <w:rPr>
                <w:rFonts w:ascii="Times New Roman"/>
                <w:sz w:val="22"/>
              </w:rPr>
            </w:pPr>
          </w:p>
        </w:tc>
      </w:tr>
    </w:tbl>
    <w:p>
      <w:pPr>
        <w:pStyle w:val="BodyText"/>
        <w:ind w:left="0"/>
        <w:rPr>
          <w:rFonts w:ascii="Microsoft JhengHei"/>
          <w:b/>
          <w:sz w:val="4"/>
        </w:rPr>
      </w:pPr>
    </w:p>
    <w:p>
      <w:pPr>
        <w:pStyle w:val="BodyText"/>
        <w:spacing w:before="61" w:line="417" w:lineRule="auto"/>
        <w:ind w:right="518" w:firstLine="560"/>
        <w:jc w:val="both"/>
      </w:pPr>
      <w:r>
        <w:rPr>
          <w:spacing w:val="-4"/>
        </w:rPr>
        <w:t>肾脏疾病是全球公共卫生问题，其治疗需求迫切。近年来，肾脏</w:t>
      </w:r>
      <w:r>
        <w:rPr>
          <w:spacing w:val="-4"/>
        </w:rPr>
        <w:t>干细胞治疗作为一种新兴疗法备受关注。然而，该领域的研究需要多</w:t>
      </w:r>
      <w:r>
        <w:rPr>
          <w:spacing w:val="-4"/>
        </w:rPr>
        <w:t>个学科的专家协同工作，因此，跨学科团队的构建与管理显得尤为重</w:t>
      </w:r>
      <w:r>
        <w:rPr>
          <w:spacing w:val="-6"/>
        </w:rPr>
        <w:t>要。</w:t>
      </w:r>
    </w:p>
    <w:p>
      <w:pPr>
        <w:pStyle w:val="BodyText"/>
        <w:spacing w:line="358" w:lineRule="exact"/>
      </w:pPr>
      <w:r>
        <w:rPr>
          <w:spacing w:val="-1"/>
        </w:rPr>
        <w:t>一、跨学科团队的构建</w:t>
      </w:r>
    </w:p>
    <w:p>
      <w:pPr>
        <w:pStyle w:val="BodyText"/>
        <w:spacing w:before="9"/>
        <w:ind w:left="0"/>
        <w:rPr>
          <w:sz w:val="20"/>
        </w:rPr>
      </w:pPr>
    </w:p>
    <w:p>
      <w:pPr>
        <w:pStyle w:val="BodyText"/>
      </w:pPr>
      <w:r>
        <w:rPr>
          <w:spacing w:val="-6"/>
        </w:rPr>
        <w:t>跨学科团队的成功构建依赖于明确的目标设定、团队成员的选择与协</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https://d.book118.com/056223124125010055</w:t>
        </w:r>
      </w:hyperlink>
    </w:p>
    <w:p>
      <w:pPr>
        <w:spacing w:after="0"/>
      </w:pPr>
    </w:p>
    <w:sectPr>
      <w:footerReference w:type="default" r:id="rId18"/>
      <w:pgSz w:w="11910" w:h="16840"/>
      <w:pgMar w:top="1500" w:right="1280" w:bottom="1380" w:left="1680" w:header="0" w:footer="1198"/>
      <w:pgNumType w:start="13"/>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仿宋">
    <w:altName w:val="仿宋"/>
    <w:charset w:val="86"/>
    <w:family w:val="modern"/>
    <w:pitch w:val="fixed"/>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49" type="#_x0000_t202" style="width:29.05pt;height:12pt;margin-top:770.98pt;margin-left:284.4pt;mso-position-horizontal-relative:page;mso-position-vertical-relative:page;position:absolute;z-index:-251658240"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0" type="#_x0000_t202" style="width:29.05pt;height:12pt;margin-top:770.98pt;margin-left:284.4pt;mso-position-horizontal-relative:page;mso-position-vertical-relative:page;position:absolute;z-index:-251657216"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2</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1" type="#_x0000_t202" style="width:29.05pt;height:12pt;margin-top:770.98pt;margin-left:284.4pt;mso-position-horizontal-relative:page;mso-position-vertical-relative:page;position:absolute;z-index:-251656192"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3</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2" type="#_x0000_t202" style="width:29.05pt;height:12pt;margin-top:770.98pt;margin-left:284.4pt;mso-position-horizontal-relative:page;mso-position-vertical-relative:page;position:absolute;z-index:-251655168"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4</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3" type="#_x0000_t202" style="width:29.05pt;height:12pt;margin-top:770.98pt;margin-left:284.4pt;mso-position-horizontal-relative:page;mso-position-vertical-relative:page;position:absolute;z-index:-251654144"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19</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19</w:t>
                </w:r>
                <w:r>
                  <w:rPr>
                    <w:rFonts w:ascii="Times New Roman"/>
                    <w:b/>
                    <w:spacing w:val="-5"/>
                    <w:sz w:val="18"/>
                  </w:rPr>
                  <w:fldChar w:fldCharType="end"/>
                </w:r>
              </w:p>
            </w:txbxContent>
          </v:textbox>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4" type="#_x0000_t202" style="width:29.05pt;height:12pt;margin-top:770.98pt;margin-left:284.4pt;mso-position-horizontal-relative:page;mso-position-vertical-relative:page;position:absolute;z-index:-251653120"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6</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5" type="#_x0000_t202" style="width:29.05pt;height:12pt;margin-top:770.98pt;margin-left:284.4pt;mso-position-horizontal-relative:page;mso-position-vertical-relative:page;position:absolute;z-index:-251652096"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19</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19</w:t>
                </w:r>
                <w:r>
                  <w:rPr>
                    <w:rFonts w:ascii="Times New Roman"/>
                    <w:b/>
                    <w:spacing w:val="-5"/>
                    <w:sz w:val="18"/>
                  </w:rPr>
                  <w:fldChar w:fldCharType="end"/>
                </w:r>
              </w:p>
            </w:txbxContent>
          </v:textbox>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6" type="#_x0000_t202" style="width:29.05pt;height:12pt;margin-top:770.98pt;margin-left:284.4pt;mso-position-horizontal-relative:page;mso-position-vertical-relative:page;position:absolute;z-index:-251651072"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8</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7" type="#_x0000_t202" style="width:29.05pt;height:12pt;margin-top:770.98pt;margin-left:284.4pt;mso-position-horizontal-relative:page;mso-position-vertical-relative:page;position:absolute;z-index:-251650048"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9</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8" type="#_x0000_t202" style="width:29.05pt;height:12pt;margin-top:770.98pt;margin-left:284.4pt;mso-position-horizontal-relative:page;mso-position-vertical-relative:page;position:absolute;z-index:-251649024"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19</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19</w:t>
                </w:r>
                <w:r>
                  <w:rPr>
                    <w:rFonts w:ascii="Times New Roman"/>
                    <w:b/>
                    <w:spacing w:val="-5"/>
                    <w:sz w:val="18"/>
                  </w:rPr>
                  <w:fldChar w:fldCharType="end"/>
                </w:r>
              </w:p>
            </w:txbxContent>
          </v:textbox>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59" type="#_x0000_t202" style="width:29.05pt;height:12pt;margin-top:770.98pt;margin-left:284.4pt;mso-position-horizontal-relative:page;mso-position-vertical-relative:page;position:absolute;z-index:-251648000"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11</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60" type="#_x0000_t202" style="width:29.05pt;height:12pt;margin-top:770.98pt;margin-left:284.4pt;mso-position-horizontal-relative:page;mso-position-vertical-relative:page;position:absolute;z-index:-251646976"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12</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ind w:left="0"/>
      <w:rPr>
        <w:sz w:val="20"/>
      </w:rPr>
    </w:pPr>
    <w:r>
      <w:pict>
        <v:shapetype id="_x0000_t202" coordsize="21600,21600" o:spt="202" path="m,l,21600r21600,l21600,xe">
          <v:stroke joinstyle="miter"/>
          <v:path gradientshapeok="t" o:connecttype="rect"/>
        </v:shapetype>
        <v:shape id="_x0000_s2061" type="#_x0000_t202" style="width:29.05pt;height:12pt;margin-top:770.98pt;margin-left:284.4pt;mso-position-horizontal-relative:page;mso-position-vertical-relative:page;position:absolute;z-index:-251645952"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14</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F13036"/>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1">
    <w:nsid w:val="07BC391F"/>
    <w:multiLevelType w:val="hybridMultilevel"/>
    <w:tmpl w:val="00000000"/>
    <w:lvl w:ilvl="0">
      <w:start w:val="1"/>
      <w:numFmt w:val="decimal"/>
      <w:lvlText w:val="%1."/>
      <w:lvlJc w:val="left"/>
      <w:pPr>
        <w:ind w:left="108" w:hanging="21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13"/>
      </w:pPr>
      <w:rPr>
        <w:rFonts w:hint="default"/>
        <w:lang w:val="en-US" w:eastAsia="zh-CN" w:bidi="ar-SA"/>
      </w:rPr>
    </w:lvl>
    <w:lvl w:ilvl="2">
      <w:start w:val="0"/>
      <w:numFmt w:val="bullet"/>
      <w:lvlText w:val="•"/>
      <w:lvlJc w:val="left"/>
      <w:pPr>
        <w:ind w:left="1183" w:hanging="213"/>
      </w:pPr>
      <w:rPr>
        <w:rFonts w:hint="default"/>
        <w:lang w:val="en-US" w:eastAsia="zh-CN" w:bidi="ar-SA"/>
      </w:rPr>
    </w:lvl>
    <w:lvl w:ilvl="3">
      <w:start w:val="0"/>
      <w:numFmt w:val="bullet"/>
      <w:lvlText w:val="•"/>
      <w:lvlJc w:val="left"/>
      <w:pPr>
        <w:ind w:left="1725" w:hanging="213"/>
      </w:pPr>
      <w:rPr>
        <w:rFonts w:hint="default"/>
        <w:lang w:val="en-US" w:eastAsia="zh-CN" w:bidi="ar-SA"/>
      </w:rPr>
    </w:lvl>
    <w:lvl w:ilvl="4">
      <w:start w:val="0"/>
      <w:numFmt w:val="bullet"/>
      <w:lvlText w:val="•"/>
      <w:lvlJc w:val="left"/>
      <w:pPr>
        <w:ind w:left="2266" w:hanging="213"/>
      </w:pPr>
      <w:rPr>
        <w:rFonts w:hint="default"/>
        <w:lang w:val="en-US" w:eastAsia="zh-CN" w:bidi="ar-SA"/>
      </w:rPr>
    </w:lvl>
    <w:lvl w:ilvl="5">
      <w:start w:val="0"/>
      <w:numFmt w:val="bullet"/>
      <w:lvlText w:val="•"/>
      <w:lvlJc w:val="left"/>
      <w:pPr>
        <w:ind w:left="2808" w:hanging="213"/>
      </w:pPr>
      <w:rPr>
        <w:rFonts w:hint="default"/>
        <w:lang w:val="en-US" w:eastAsia="zh-CN" w:bidi="ar-SA"/>
      </w:rPr>
    </w:lvl>
    <w:lvl w:ilvl="6">
      <w:start w:val="0"/>
      <w:numFmt w:val="bullet"/>
      <w:lvlText w:val="•"/>
      <w:lvlJc w:val="left"/>
      <w:pPr>
        <w:ind w:left="3350" w:hanging="213"/>
      </w:pPr>
      <w:rPr>
        <w:rFonts w:hint="default"/>
        <w:lang w:val="en-US" w:eastAsia="zh-CN" w:bidi="ar-SA"/>
      </w:rPr>
    </w:lvl>
    <w:lvl w:ilvl="7">
      <w:start w:val="0"/>
      <w:numFmt w:val="bullet"/>
      <w:lvlText w:val="•"/>
      <w:lvlJc w:val="left"/>
      <w:pPr>
        <w:ind w:left="3891" w:hanging="213"/>
      </w:pPr>
      <w:rPr>
        <w:rFonts w:hint="default"/>
        <w:lang w:val="en-US" w:eastAsia="zh-CN" w:bidi="ar-SA"/>
      </w:rPr>
    </w:lvl>
    <w:lvl w:ilvl="8">
      <w:start w:val="0"/>
      <w:numFmt w:val="bullet"/>
      <w:lvlText w:val="•"/>
      <w:lvlJc w:val="left"/>
      <w:pPr>
        <w:ind w:left="4433" w:hanging="213"/>
      </w:pPr>
      <w:rPr>
        <w:rFonts w:hint="default"/>
        <w:lang w:val="en-US" w:eastAsia="zh-CN" w:bidi="ar-SA"/>
      </w:rPr>
    </w:lvl>
  </w:abstractNum>
  <w:abstractNum w:abstractNumId="2">
    <w:nsid w:val="10DB6B1A"/>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0" w:hanging="263"/>
      </w:pPr>
      <w:rPr>
        <w:rFonts w:hint="default"/>
        <w:lang w:val="en-US" w:eastAsia="zh-CN" w:bidi="ar-SA"/>
      </w:rPr>
    </w:lvl>
    <w:lvl w:ilvl="2">
      <w:start w:val="0"/>
      <w:numFmt w:val="bullet"/>
      <w:lvlText w:val="•"/>
      <w:lvlJc w:val="left"/>
      <w:pPr>
        <w:ind w:left="1181" w:hanging="263"/>
      </w:pPr>
      <w:rPr>
        <w:rFonts w:hint="default"/>
        <w:lang w:val="en-US" w:eastAsia="zh-CN" w:bidi="ar-SA"/>
      </w:rPr>
    </w:lvl>
    <w:lvl w:ilvl="3">
      <w:start w:val="0"/>
      <w:numFmt w:val="bullet"/>
      <w:lvlText w:val="•"/>
      <w:lvlJc w:val="left"/>
      <w:pPr>
        <w:ind w:left="1722" w:hanging="263"/>
      </w:pPr>
      <w:rPr>
        <w:rFonts w:hint="default"/>
        <w:lang w:val="en-US" w:eastAsia="zh-CN" w:bidi="ar-SA"/>
      </w:rPr>
    </w:lvl>
    <w:lvl w:ilvl="4">
      <w:start w:val="0"/>
      <w:numFmt w:val="bullet"/>
      <w:lvlText w:val="•"/>
      <w:lvlJc w:val="left"/>
      <w:pPr>
        <w:ind w:left="2263" w:hanging="263"/>
      </w:pPr>
      <w:rPr>
        <w:rFonts w:hint="default"/>
        <w:lang w:val="en-US" w:eastAsia="zh-CN" w:bidi="ar-SA"/>
      </w:rPr>
    </w:lvl>
    <w:lvl w:ilvl="5">
      <w:start w:val="0"/>
      <w:numFmt w:val="bullet"/>
      <w:lvlText w:val="•"/>
      <w:lvlJc w:val="left"/>
      <w:pPr>
        <w:ind w:left="2804" w:hanging="263"/>
      </w:pPr>
      <w:rPr>
        <w:rFonts w:hint="default"/>
        <w:lang w:val="en-US" w:eastAsia="zh-CN" w:bidi="ar-SA"/>
      </w:rPr>
    </w:lvl>
    <w:lvl w:ilvl="6">
      <w:start w:val="0"/>
      <w:numFmt w:val="bullet"/>
      <w:lvlText w:val="•"/>
      <w:lvlJc w:val="left"/>
      <w:pPr>
        <w:ind w:left="3345" w:hanging="263"/>
      </w:pPr>
      <w:rPr>
        <w:rFonts w:hint="default"/>
        <w:lang w:val="en-US" w:eastAsia="zh-CN" w:bidi="ar-SA"/>
      </w:rPr>
    </w:lvl>
    <w:lvl w:ilvl="7">
      <w:start w:val="0"/>
      <w:numFmt w:val="bullet"/>
      <w:lvlText w:val="•"/>
      <w:lvlJc w:val="left"/>
      <w:pPr>
        <w:ind w:left="3886" w:hanging="263"/>
      </w:pPr>
      <w:rPr>
        <w:rFonts w:hint="default"/>
        <w:lang w:val="en-US" w:eastAsia="zh-CN" w:bidi="ar-SA"/>
      </w:rPr>
    </w:lvl>
    <w:lvl w:ilvl="8">
      <w:start w:val="0"/>
      <w:numFmt w:val="bullet"/>
      <w:lvlText w:val="•"/>
      <w:lvlJc w:val="left"/>
      <w:pPr>
        <w:ind w:left="4427" w:hanging="263"/>
      </w:pPr>
      <w:rPr>
        <w:rFonts w:hint="default"/>
        <w:lang w:val="en-US" w:eastAsia="zh-CN" w:bidi="ar-SA"/>
      </w:rPr>
    </w:lvl>
  </w:abstractNum>
  <w:abstractNum w:abstractNumId="3">
    <w:nsid w:val="1492060B"/>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4">
    <w:nsid w:val="2485C567"/>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5">
    <w:nsid w:val="2898C5DF"/>
    <w:multiLevelType w:val="hybridMultilevel"/>
    <w:tmpl w:val="00000000"/>
    <w:lvl w:ilvl="0">
      <w:start w:val="1"/>
      <w:numFmt w:val="decimal"/>
      <w:lvlText w:val="%1."/>
      <w:lvlJc w:val="left"/>
      <w:pPr>
        <w:ind w:left="108" w:hanging="214"/>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3" w:hanging="214"/>
      </w:pPr>
      <w:rPr>
        <w:rFonts w:hint="default"/>
        <w:lang w:val="en-US" w:eastAsia="zh-CN" w:bidi="ar-SA"/>
      </w:rPr>
    </w:lvl>
    <w:lvl w:ilvl="2">
      <w:start w:val="0"/>
      <w:numFmt w:val="bullet"/>
      <w:lvlText w:val="•"/>
      <w:lvlJc w:val="left"/>
      <w:pPr>
        <w:ind w:left="1186" w:hanging="214"/>
      </w:pPr>
      <w:rPr>
        <w:rFonts w:hint="default"/>
        <w:lang w:val="en-US" w:eastAsia="zh-CN" w:bidi="ar-SA"/>
      </w:rPr>
    </w:lvl>
    <w:lvl w:ilvl="3">
      <w:start w:val="0"/>
      <w:numFmt w:val="bullet"/>
      <w:lvlText w:val="•"/>
      <w:lvlJc w:val="left"/>
      <w:pPr>
        <w:ind w:left="1729" w:hanging="214"/>
      </w:pPr>
      <w:rPr>
        <w:rFonts w:hint="default"/>
        <w:lang w:val="en-US" w:eastAsia="zh-CN" w:bidi="ar-SA"/>
      </w:rPr>
    </w:lvl>
    <w:lvl w:ilvl="4">
      <w:start w:val="0"/>
      <w:numFmt w:val="bullet"/>
      <w:lvlText w:val="•"/>
      <w:lvlJc w:val="left"/>
      <w:pPr>
        <w:ind w:left="2272" w:hanging="214"/>
      </w:pPr>
      <w:rPr>
        <w:rFonts w:hint="default"/>
        <w:lang w:val="en-US" w:eastAsia="zh-CN" w:bidi="ar-SA"/>
      </w:rPr>
    </w:lvl>
    <w:lvl w:ilvl="5">
      <w:start w:val="0"/>
      <w:numFmt w:val="bullet"/>
      <w:lvlText w:val="•"/>
      <w:lvlJc w:val="left"/>
      <w:pPr>
        <w:ind w:left="2815" w:hanging="214"/>
      </w:pPr>
      <w:rPr>
        <w:rFonts w:hint="default"/>
        <w:lang w:val="en-US" w:eastAsia="zh-CN" w:bidi="ar-SA"/>
      </w:rPr>
    </w:lvl>
    <w:lvl w:ilvl="6">
      <w:start w:val="0"/>
      <w:numFmt w:val="bullet"/>
      <w:lvlText w:val="•"/>
      <w:lvlJc w:val="left"/>
      <w:pPr>
        <w:ind w:left="3358" w:hanging="214"/>
      </w:pPr>
      <w:rPr>
        <w:rFonts w:hint="default"/>
        <w:lang w:val="en-US" w:eastAsia="zh-CN" w:bidi="ar-SA"/>
      </w:rPr>
    </w:lvl>
    <w:lvl w:ilvl="7">
      <w:start w:val="0"/>
      <w:numFmt w:val="bullet"/>
      <w:lvlText w:val="•"/>
      <w:lvlJc w:val="left"/>
      <w:pPr>
        <w:ind w:left="3901" w:hanging="214"/>
      </w:pPr>
      <w:rPr>
        <w:rFonts w:hint="default"/>
        <w:lang w:val="en-US" w:eastAsia="zh-CN" w:bidi="ar-SA"/>
      </w:rPr>
    </w:lvl>
    <w:lvl w:ilvl="8">
      <w:start w:val="0"/>
      <w:numFmt w:val="bullet"/>
      <w:lvlText w:val="•"/>
      <w:lvlJc w:val="left"/>
      <w:pPr>
        <w:ind w:left="4444" w:hanging="214"/>
      </w:pPr>
      <w:rPr>
        <w:rFonts w:hint="default"/>
        <w:lang w:val="en-US" w:eastAsia="zh-CN" w:bidi="ar-SA"/>
      </w:rPr>
    </w:lvl>
  </w:abstractNum>
  <w:abstractNum w:abstractNumId="6">
    <w:nsid w:val="2E223FEA"/>
    <w:multiLevelType w:val="hybridMultilevel"/>
    <w:tmpl w:val="00000000"/>
    <w:lvl w:ilvl="0">
      <w:start w:val="1"/>
      <w:numFmt w:val="decimal"/>
      <w:lvlText w:val="%1."/>
      <w:lvlJc w:val="left"/>
      <w:pPr>
        <w:ind w:left="108" w:hanging="214"/>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3" w:hanging="214"/>
      </w:pPr>
      <w:rPr>
        <w:rFonts w:hint="default"/>
        <w:lang w:val="en-US" w:eastAsia="zh-CN" w:bidi="ar-SA"/>
      </w:rPr>
    </w:lvl>
    <w:lvl w:ilvl="2">
      <w:start w:val="0"/>
      <w:numFmt w:val="bullet"/>
      <w:lvlText w:val="•"/>
      <w:lvlJc w:val="left"/>
      <w:pPr>
        <w:ind w:left="1186" w:hanging="214"/>
      </w:pPr>
      <w:rPr>
        <w:rFonts w:hint="default"/>
        <w:lang w:val="en-US" w:eastAsia="zh-CN" w:bidi="ar-SA"/>
      </w:rPr>
    </w:lvl>
    <w:lvl w:ilvl="3">
      <w:start w:val="0"/>
      <w:numFmt w:val="bullet"/>
      <w:lvlText w:val="•"/>
      <w:lvlJc w:val="left"/>
      <w:pPr>
        <w:ind w:left="1729" w:hanging="214"/>
      </w:pPr>
      <w:rPr>
        <w:rFonts w:hint="default"/>
        <w:lang w:val="en-US" w:eastAsia="zh-CN" w:bidi="ar-SA"/>
      </w:rPr>
    </w:lvl>
    <w:lvl w:ilvl="4">
      <w:start w:val="0"/>
      <w:numFmt w:val="bullet"/>
      <w:lvlText w:val="•"/>
      <w:lvlJc w:val="left"/>
      <w:pPr>
        <w:ind w:left="2272" w:hanging="214"/>
      </w:pPr>
      <w:rPr>
        <w:rFonts w:hint="default"/>
        <w:lang w:val="en-US" w:eastAsia="zh-CN" w:bidi="ar-SA"/>
      </w:rPr>
    </w:lvl>
    <w:lvl w:ilvl="5">
      <w:start w:val="0"/>
      <w:numFmt w:val="bullet"/>
      <w:lvlText w:val="•"/>
      <w:lvlJc w:val="left"/>
      <w:pPr>
        <w:ind w:left="2815" w:hanging="214"/>
      </w:pPr>
      <w:rPr>
        <w:rFonts w:hint="default"/>
        <w:lang w:val="en-US" w:eastAsia="zh-CN" w:bidi="ar-SA"/>
      </w:rPr>
    </w:lvl>
    <w:lvl w:ilvl="6">
      <w:start w:val="0"/>
      <w:numFmt w:val="bullet"/>
      <w:lvlText w:val="•"/>
      <w:lvlJc w:val="left"/>
      <w:pPr>
        <w:ind w:left="3358" w:hanging="214"/>
      </w:pPr>
      <w:rPr>
        <w:rFonts w:hint="default"/>
        <w:lang w:val="en-US" w:eastAsia="zh-CN" w:bidi="ar-SA"/>
      </w:rPr>
    </w:lvl>
    <w:lvl w:ilvl="7">
      <w:start w:val="0"/>
      <w:numFmt w:val="bullet"/>
      <w:lvlText w:val="•"/>
      <w:lvlJc w:val="left"/>
      <w:pPr>
        <w:ind w:left="3901" w:hanging="214"/>
      </w:pPr>
      <w:rPr>
        <w:rFonts w:hint="default"/>
        <w:lang w:val="en-US" w:eastAsia="zh-CN" w:bidi="ar-SA"/>
      </w:rPr>
    </w:lvl>
    <w:lvl w:ilvl="8">
      <w:start w:val="0"/>
      <w:numFmt w:val="bullet"/>
      <w:lvlText w:val="•"/>
      <w:lvlJc w:val="left"/>
      <w:pPr>
        <w:ind w:left="4444" w:hanging="214"/>
      </w:pPr>
      <w:rPr>
        <w:rFonts w:hint="default"/>
        <w:lang w:val="en-US" w:eastAsia="zh-CN" w:bidi="ar-SA"/>
      </w:rPr>
    </w:lvl>
  </w:abstractNum>
  <w:abstractNum w:abstractNumId="7">
    <w:nsid w:val="36DFB241"/>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8">
    <w:nsid w:val="3EFD1E76"/>
    <w:multiLevelType w:val="hybridMultilevel"/>
    <w:tmpl w:val="00000000"/>
    <w:lvl w:ilvl="0">
      <w:start w:val="1"/>
      <w:numFmt w:val="decimal"/>
      <w:lvlText w:val="%1."/>
      <w:lvlJc w:val="left"/>
      <w:pPr>
        <w:ind w:left="108" w:hanging="214"/>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3" w:hanging="214"/>
      </w:pPr>
      <w:rPr>
        <w:rFonts w:hint="default"/>
        <w:lang w:val="en-US" w:eastAsia="zh-CN" w:bidi="ar-SA"/>
      </w:rPr>
    </w:lvl>
    <w:lvl w:ilvl="2">
      <w:start w:val="0"/>
      <w:numFmt w:val="bullet"/>
      <w:lvlText w:val="•"/>
      <w:lvlJc w:val="left"/>
      <w:pPr>
        <w:ind w:left="1186" w:hanging="214"/>
      </w:pPr>
      <w:rPr>
        <w:rFonts w:hint="default"/>
        <w:lang w:val="en-US" w:eastAsia="zh-CN" w:bidi="ar-SA"/>
      </w:rPr>
    </w:lvl>
    <w:lvl w:ilvl="3">
      <w:start w:val="0"/>
      <w:numFmt w:val="bullet"/>
      <w:lvlText w:val="•"/>
      <w:lvlJc w:val="left"/>
      <w:pPr>
        <w:ind w:left="1729" w:hanging="214"/>
      </w:pPr>
      <w:rPr>
        <w:rFonts w:hint="default"/>
        <w:lang w:val="en-US" w:eastAsia="zh-CN" w:bidi="ar-SA"/>
      </w:rPr>
    </w:lvl>
    <w:lvl w:ilvl="4">
      <w:start w:val="0"/>
      <w:numFmt w:val="bullet"/>
      <w:lvlText w:val="•"/>
      <w:lvlJc w:val="left"/>
      <w:pPr>
        <w:ind w:left="2272" w:hanging="214"/>
      </w:pPr>
      <w:rPr>
        <w:rFonts w:hint="default"/>
        <w:lang w:val="en-US" w:eastAsia="zh-CN" w:bidi="ar-SA"/>
      </w:rPr>
    </w:lvl>
    <w:lvl w:ilvl="5">
      <w:start w:val="0"/>
      <w:numFmt w:val="bullet"/>
      <w:lvlText w:val="•"/>
      <w:lvlJc w:val="left"/>
      <w:pPr>
        <w:ind w:left="2815" w:hanging="214"/>
      </w:pPr>
      <w:rPr>
        <w:rFonts w:hint="default"/>
        <w:lang w:val="en-US" w:eastAsia="zh-CN" w:bidi="ar-SA"/>
      </w:rPr>
    </w:lvl>
    <w:lvl w:ilvl="6">
      <w:start w:val="0"/>
      <w:numFmt w:val="bullet"/>
      <w:lvlText w:val="•"/>
      <w:lvlJc w:val="left"/>
      <w:pPr>
        <w:ind w:left="3358" w:hanging="214"/>
      </w:pPr>
      <w:rPr>
        <w:rFonts w:hint="default"/>
        <w:lang w:val="en-US" w:eastAsia="zh-CN" w:bidi="ar-SA"/>
      </w:rPr>
    </w:lvl>
    <w:lvl w:ilvl="7">
      <w:start w:val="0"/>
      <w:numFmt w:val="bullet"/>
      <w:lvlText w:val="•"/>
      <w:lvlJc w:val="left"/>
      <w:pPr>
        <w:ind w:left="3901" w:hanging="214"/>
      </w:pPr>
      <w:rPr>
        <w:rFonts w:hint="default"/>
        <w:lang w:val="en-US" w:eastAsia="zh-CN" w:bidi="ar-SA"/>
      </w:rPr>
    </w:lvl>
    <w:lvl w:ilvl="8">
      <w:start w:val="0"/>
      <w:numFmt w:val="bullet"/>
      <w:lvlText w:val="•"/>
      <w:lvlJc w:val="left"/>
      <w:pPr>
        <w:ind w:left="4444" w:hanging="214"/>
      </w:pPr>
      <w:rPr>
        <w:rFonts w:hint="default"/>
        <w:lang w:val="en-US" w:eastAsia="zh-CN" w:bidi="ar-SA"/>
      </w:rPr>
    </w:lvl>
  </w:abstractNum>
  <w:abstractNum w:abstractNumId="9">
    <w:nsid w:val="411AA262"/>
    <w:multiLevelType w:val="hybridMultilevel"/>
    <w:tmpl w:val="00000000"/>
    <w:lvl w:ilvl="0">
      <w:start w:val="0"/>
      <w:numFmt w:val="bullet"/>
      <w:lvlText w:val="-"/>
      <w:lvlJc w:val="left"/>
      <w:pPr>
        <w:ind w:left="120" w:hanging="280"/>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280"/>
      </w:pPr>
      <w:rPr>
        <w:rFonts w:hint="default"/>
        <w:lang w:val="en-US" w:eastAsia="zh-CN" w:bidi="ar-SA"/>
      </w:rPr>
    </w:lvl>
    <w:lvl w:ilvl="2">
      <w:start w:val="0"/>
      <w:numFmt w:val="bullet"/>
      <w:lvlText w:val="•"/>
      <w:lvlJc w:val="left"/>
      <w:pPr>
        <w:ind w:left="1885" w:hanging="280"/>
      </w:pPr>
      <w:rPr>
        <w:rFonts w:hint="default"/>
        <w:lang w:val="en-US" w:eastAsia="zh-CN" w:bidi="ar-SA"/>
      </w:rPr>
    </w:lvl>
    <w:lvl w:ilvl="3">
      <w:start w:val="0"/>
      <w:numFmt w:val="bullet"/>
      <w:lvlText w:val="•"/>
      <w:lvlJc w:val="left"/>
      <w:pPr>
        <w:ind w:left="2767" w:hanging="280"/>
      </w:pPr>
      <w:rPr>
        <w:rFonts w:hint="default"/>
        <w:lang w:val="en-US" w:eastAsia="zh-CN" w:bidi="ar-SA"/>
      </w:rPr>
    </w:lvl>
    <w:lvl w:ilvl="4">
      <w:start w:val="0"/>
      <w:numFmt w:val="bullet"/>
      <w:lvlText w:val="•"/>
      <w:lvlJc w:val="left"/>
      <w:pPr>
        <w:ind w:left="3650" w:hanging="280"/>
      </w:pPr>
      <w:rPr>
        <w:rFonts w:hint="default"/>
        <w:lang w:val="en-US" w:eastAsia="zh-CN" w:bidi="ar-SA"/>
      </w:rPr>
    </w:lvl>
    <w:lvl w:ilvl="5">
      <w:start w:val="0"/>
      <w:numFmt w:val="bullet"/>
      <w:lvlText w:val="•"/>
      <w:lvlJc w:val="left"/>
      <w:pPr>
        <w:ind w:left="4533" w:hanging="280"/>
      </w:pPr>
      <w:rPr>
        <w:rFonts w:hint="default"/>
        <w:lang w:val="en-US" w:eastAsia="zh-CN" w:bidi="ar-SA"/>
      </w:rPr>
    </w:lvl>
    <w:lvl w:ilvl="6">
      <w:start w:val="0"/>
      <w:numFmt w:val="bullet"/>
      <w:lvlText w:val="•"/>
      <w:lvlJc w:val="left"/>
      <w:pPr>
        <w:ind w:left="5415" w:hanging="280"/>
      </w:pPr>
      <w:rPr>
        <w:rFonts w:hint="default"/>
        <w:lang w:val="en-US" w:eastAsia="zh-CN" w:bidi="ar-SA"/>
      </w:rPr>
    </w:lvl>
    <w:lvl w:ilvl="7">
      <w:start w:val="0"/>
      <w:numFmt w:val="bullet"/>
      <w:lvlText w:val="•"/>
      <w:lvlJc w:val="left"/>
      <w:pPr>
        <w:ind w:left="6298" w:hanging="280"/>
      </w:pPr>
      <w:rPr>
        <w:rFonts w:hint="default"/>
        <w:lang w:val="en-US" w:eastAsia="zh-CN" w:bidi="ar-SA"/>
      </w:rPr>
    </w:lvl>
    <w:lvl w:ilvl="8">
      <w:start w:val="0"/>
      <w:numFmt w:val="bullet"/>
      <w:lvlText w:val="•"/>
      <w:lvlJc w:val="left"/>
      <w:pPr>
        <w:ind w:left="7180" w:hanging="280"/>
      </w:pPr>
      <w:rPr>
        <w:rFonts w:hint="default"/>
        <w:lang w:val="en-US" w:eastAsia="zh-CN" w:bidi="ar-SA"/>
      </w:rPr>
    </w:lvl>
  </w:abstractNum>
  <w:abstractNum w:abstractNumId="10">
    <w:nsid w:val="420D3209"/>
    <w:multiLevelType w:val="hybridMultilevel"/>
    <w:tmpl w:val="00000000"/>
    <w:lvl w:ilvl="0">
      <w:start w:val="1"/>
      <w:numFmt w:val="decimal"/>
      <w:lvlText w:val="%1."/>
      <w:lvlJc w:val="left"/>
      <w:pPr>
        <w:ind w:left="108" w:hanging="21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13"/>
      </w:pPr>
      <w:rPr>
        <w:rFonts w:hint="default"/>
        <w:lang w:val="en-US" w:eastAsia="zh-CN" w:bidi="ar-SA"/>
      </w:rPr>
    </w:lvl>
    <w:lvl w:ilvl="2">
      <w:start w:val="0"/>
      <w:numFmt w:val="bullet"/>
      <w:lvlText w:val="•"/>
      <w:lvlJc w:val="left"/>
      <w:pPr>
        <w:ind w:left="1183" w:hanging="213"/>
      </w:pPr>
      <w:rPr>
        <w:rFonts w:hint="default"/>
        <w:lang w:val="en-US" w:eastAsia="zh-CN" w:bidi="ar-SA"/>
      </w:rPr>
    </w:lvl>
    <w:lvl w:ilvl="3">
      <w:start w:val="0"/>
      <w:numFmt w:val="bullet"/>
      <w:lvlText w:val="•"/>
      <w:lvlJc w:val="left"/>
      <w:pPr>
        <w:ind w:left="1725" w:hanging="213"/>
      </w:pPr>
      <w:rPr>
        <w:rFonts w:hint="default"/>
        <w:lang w:val="en-US" w:eastAsia="zh-CN" w:bidi="ar-SA"/>
      </w:rPr>
    </w:lvl>
    <w:lvl w:ilvl="4">
      <w:start w:val="0"/>
      <w:numFmt w:val="bullet"/>
      <w:lvlText w:val="•"/>
      <w:lvlJc w:val="left"/>
      <w:pPr>
        <w:ind w:left="2266" w:hanging="213"/>
      </w:pPr>
      <w:rPr>
        <w:rFonts w:hint="default"/>
        <w:lang w:val="en-US" w:eastAsia="zh-CN" w:bidi="ar-SA"/>
      </w:rPr>
    </w:lvl>
    <w:lvl w:ilvl="5">
      <w:start w:val="0"/>
      <w:numFmt w:val="bullet"/>
      <w:lvlText w:val="•"/>
      <w:lvlJc w:val="left"/>
      <w:pPr>
        <w:ind w:left="2808" w:hanging="213"/>
      </w:pPr>
      <w:rPr>
        <w:rFonts w:hint="default"/>
        <w:lang w:val="en-US" w:eastAsia="zh-CN" w:bidi="ar-SA"/>
      </w:rPr>
    </w:lvl>
    <w:lvl w:ilvl="6">
      <w:start w:val="0"/>
      <w:numFmt w:val="bullet"/>
      <w:lvlText w:val="•"/>
      <w:lvlJc w:val="left"/>
      <w:pPr>
        <w:ind w:left="3350" w:hanging="213"/>
      </w:pPr>
      <w:rPr>
        <w:rFonts w:hint="default"/>
        <w:lang w:val="en-US" w:eastAsia="zh-CN" w:bidi="ar-SA"/>
      </w:rPr>
    </w:lvl>
    <w:lvl w:ilvl="7">
      <w:start w:val="0"/>
      <w:numFmt w:val="bullet"/>
      <w:lvlText w:val="•"/>
      <w:lvlJc w:val="left"/>
      <w:pPr>
        <w:ind w:left="3891" w:hanging="213"/>
      </w:pPr>
      <w:rPr>
        <w:rFonts w:hint="default"/>
        <w:lang w:val="en-US" w:eastAsia="zh-CN" w:bidi="ar-SA"/>
      </w:rPr>
    </w:lvl>
    <w:lvl w:ilvl="8">
      <w:start w:val="0"/>
      <w:numFmt w:val="bullet"/>
      <w:lvlText w:val="•"/>
      <w:lvlJc w:val="left"/>
      <w:pPr>
        <w:ind w:left="4433" w:hanging="213"/>
      </w:pPr>
      <w:rPr>
        <w:rFonts w:hint="default"/>
        <w:lang w:val="en-US" w:eastAsia="zh-CN" w:bidi="ar-SA"/>
      </w:rPr>
    </w:lvl>
  </w:abstractNum>
  <w:abstractNum w:abstractNumId="11">
    <w:nsid w:val="49100DDA"/>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12">
    <w:nsid w:val="4F7EA020"/>
    <w:multiLevelType w:val="hybridMultilevel"/>
    <w:tmpl w:val="00000000"/>
    <w:lvl w:ilvl="0">
      <w:start w:val="1"/>
      <w:numFmt w:val="decimal"/>
      <w:lvlText w:val="%1."/>
      <w:lvlJc w:val="left"/>
      <w:pPr>
        <w:ind w:left="108" w:hanging="214"/>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3" w:hanging="214"/>
      </w:pPr>
      <w:rPr>
        <w:rFonts w:hint="default"/>
        <w:lang w:val="en-US" w:eastAsia="zh-CN" w:bidi="ar-SA"/>
      </w:rPr>
    </w:lvl>
    <w:lvl w:ilvl="2">
      <w:start w:val="0"/>
      <w:numFmt w:val="bullet"/>
      <w:lvlText w:val="•"/>
      <w:lvlJc w:val="left"/>
      <w:pPr>
        <w:ind w:left="1186" w:hanging="214"/>
      </w:pPr>
      <w:rPr>
        <w:rFonts w:hint="default"/>
        <w:lang w:val="en-US" w:eastAsia="zh-CN" w:bidi="ar-SA"/>
      </w:rPr>
    </w:lvl>
    <w:lvl w:ilvl="3">
      <w:start w:val="0"/>
      <w:numFmt w:val="bullet"/>
      <w:lvlText w:val="•"/>
      <w:lvlJc w:val="left"/>
      <w:pPr>
        <w:ind w:left="1729" w:hanging="214"/>
      </w:pPr>
      <w:rPr>
        <w:rFonts w:hint="default"/>
        <w:lang w:val="en-US" w:eastAsia="zh-CN" w:bidi="ar-SA"/>
      </w:rPr>
    </w:lvl>
    <w:lvl w:ilvl="4">
      <w:start w:val="0"/>
      <w:numFmt w:val="bullet"/>
      <w:lvlText w:val="•"/>
      <w:lvlJc w:val="left"/>
      <w:pPr>
        <w:ind w:left="2272" w:hanging="214"/>
      </w:pPr>
      <w:rPr>
        <w:rFonts w:hint="default"/>
        <w:lang w:val="en-US" w:eastAsia="zh-CN" w:bidi="ar-SA"/>
      </w:rPr>
    </w:lvl>
    <w:lvl w:ilvl="5">
      <w:start w:val="0"/>
      <w:numFmt w:val="bullet"/>
      <w:lvlText w:val="•"/>
      <w:lvlJc w:val="left"/>
      <w:pPr>
        <w:ind w:left="2815" w:hanging="214"/>
      </w:pPr>
      <w:rPr>
        <w:rFonts w:hint="default"/>
        <w:lang w:val="en-US" w:eastAsia="zh-CN" w:bidi="ar-SA"/>
      </w:rPr>
    </w:lvl>
    <w:lvl w:ilvl="6">
      <w:start w:val="0"/>
      <w:numFmt w:val="bullet"/>
      <w:lvlText w:val="•"/>
      <w:lvlJc w:val="left"/>
      <w:pPr>
        <w:ind w:left="3358" w:hanging="214"/>
      </w:pPr>
      <w:rPr>
        <w:rFonts w:hint="default"/>
        <w:lang w:val="en-US" w:eastAsia="zh-CN" w:bidi="ar-SA"/>
      </w:rPr>
    </w:lvl>
    <w:lvl w:ilvl="7">
      <w:start w:val="0"/>
      <w:numFmt w:val="bullet"/>
      <w:lvlText w:val="•"/>
      <w:lvlJc w:val="left"/>
      <w:pPr>
        <w:ind w:left="3901" w:hanging="214"/>
      </w:pPr>
      <w:rPr>
        <w:rFonts w:hint="default"/>
        <w:lang w:val="en-US" w:eastAsia="zh-CN" w:bidi="ar-SA"/>
      </w:rPr>
    </w:lvl>
    <w:lvl w:ilvl="8">
      <w:start w:val="0"/>
      <w:numFmt w:val="bullet"/>
      <w:lvlText w:val="•"/>
      <w:lvlJc w:val="left"/>
      <w:pPr>
        <w:ind w:left="4444" w:hanging="214"/>
      </w:pPr>
      <w:rPr>
        <w:rFonts w:hint="default"/>
        <w:lang w:val="en-US" w:eastAsia="zh-CN" w:bidi="ar-SA"/>
      </w:rPr>
    </w:lvl>
  </w:abstractNum>
  <w:abstractNum w:abstractNumId="13">
    <w:nsid w:val="509068AD"/>
    <w:multiLevelType w:val="hybridMultilevel"/>
    <w:tmpl w:val="00000000"/>
    <w:lvl w:ilvl="0">
      <w:start w:val="1"/>
      <w:numFmt w:val="decimal"/>
      <w:lvlText w:val="%1."/>
      <w:lvlJc w:val="left"/>
      <w:pPr>
        <w:ind w:left="108" w:hanging="267"/>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7"/>
      </w:pPr>
      <w:rPr>
        <w:rFonts w:hint="default"/>
        <w:lang w:val="en-US" w:eastAsia="zh-CN" w:bidi="ar-SA"/>
      </w:rPr>
    </w:lvl>
    <w:lvl w:ilvl="2">
      <w:start w:val="0"/>
      <w:numFmt w:val="bullet"/>
      <w:lvlText w:val="•"/>
      <w:lvlJc w:val="left"/>
      <w:pPr>
        <w:ind w:left="1182" w:hanging="267"/>
      </w:pPr>
      <w:rPr>
        <w:rFonts w:hint="default"/>
        <w:lang w:val="en-US" w:eastAsia="zh-CN" w:bidi="ar-SA"/>
      </w:rPr>
    </w:lvl>
    <w:lvl w:ilvl="3">
      <w:start w:val="0"/>
      <w:numFmt w:val="bullet"/>
      <w:lvlText w:val="•"/>
      <w:lvlJc w:val="left"/>
      <w:pPr>
        <w:ind w:left="1723" w:hanging="267"/>
      </w:pPr>
      <w:rPr>
        <w:rFonts w:hint="default"/>
        <w:lang w:val="en-US" w:eastAsia="zh-CN" w:bidi="ar-SA"/>
      </w:rPr>
    </w:lvl>
    <w:lvl w:ilvl="4">
      <w:start w:val="0"/>
      <w:numFmt w:val="bullet"/>
      <w:lvlText w:val="•"/>
      <w:lvlJc w:val="left"/>
      <w:pPr>
        <w:ind w:left="2264" w:hanging="267"/>
      </w:pPr>
      <w:rPr>
        <w:rFonts w:hint="default"/>
        <w:lang w:val="en-US" w:eastAsia="zh-CN" w:bidi="ar-SA"/>
      </w:rPr>
    </w:lvl>
    <w:lvl w:ilvl="5">
      <w:start w:val="0"/>
      <w:numFmt w:val="bullet"/>
      <w:lvlText w:val="•"/>
      <w:lvlJc w:val="left"/>
      <w:pPr>
        <w:ind w:left="2805" w:hanging="267"/>
      </w:pPr>
      <w:rPr>
        <w:rFonts w:hint="default"/>
        <w:lang w:val="en-US" w:eastAsia="zh-CN" w:bidi="ar-SA"/>
      </w:rPr>
    </w:lvl>
    <w:lvl w:ilvl="6">
      <w:start w:val="0"/>
      <w:numFmt w:val="bullet"/>
      <w:lvlText w:val="•"/>
      <w:lvlJc w:val="left"/>
      <w:pPr>
        <w:ind w:left="3346" w:hanging="267"/>
      </w:pPr>
      <w:rPr>
        <w:rFonts w:hint="default"/>
        <w:lang w:val="en-US" w:eastAsia="zh-CN" w:bidi="ar-SA"/>
      </w:rPr>
    </w:lvl>
    <w:lvl w:ilvl="7">
      <w:start w:val="0"/>
      <w:numFmt w:val="bullet"/>
      <w:lvlText w:val="•"/>
      <w:lvlJc w:val="left"/>
      <w:pPr>
        <w:ind w:left="3887" w:hanging="267"/>
      </w:pPr>
      <w:rPr>
        <w:rFonts w:hint="default"/>
        <w:lang w:val="en-US" w:eastAsia="zh-CN" w:bidi="ar-SA"/>
      </w:rPr>
    </w:lvl>
    <w:lvl w:ilvl="8">
      <w:start w:val="0"/>
      <w:numFmt w:val="bullet"/>
      <w:lvlText w:val="•"/>
      <w:lvlJc w:val="left"/>
      <w:pPr>
        <w:ind w:left="4428" w:hanging="267"/>
      </w:pPr>
      <w:rPr>
        <w:rFonts w:hint="default"/>
        <w:lang w:val="en-US" w:eastAsia="zh-CN" w:bidi="ar-SA"/>
      </w:rPr>
    </w:lvl>
  </w:abstractNum>
  <w:abstractNum w:abstractNumId="14">
    <w:nsid w:val="53D781F4"/>
    <w:multiLevelType w:val="hybridMultilevel"/>
    <w:tmpl w:val="00000000"/>
    <w:lvl w:ilvl="0">
      <w:start w:val="1"/>
      <w:numFmt w:val="decimal"/>
      <w:lvlText w:val="%1."/>
      <w:lvlJc w:val="left"/>
      <w:pPr>
        <w:ind w:left="108" w:hanging="214"/>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3" w:hanging="214"/>
      </w:pPr>
      <w:rPr>
        <w:rFonts w:hint="default"/>
        <w:lang w:val="en-US" w:eastAsia="zh-CN" w:bidi="ar-SA"/>
      </w:rPr>
    </w:lvl>
    <w:lvl w:ilvl="2">
      <w:start w:val="0"/>
      <w:numFmt w:val="bullet"/>
      <w:lvlText w:val="•"/>
      <w:lvlJc w:val="left"/>
      <w:pPr>
        <w:ind w:left="1186" w:hanging="214"/>
      </w:pPr>
      <w:rPr>
        <w:rFonts w:hint="default"/>
        <w:lang w:val="en-US" w:eastAsia="zh-CN" w:bidi="ar-SA"/>
      </w:rPr>
    </w:lvl>
    <w:lvl w:ilvl="3">
      <w:start w:val="0"/>
      <w:numFmt w:val="bullet"/>
      <w:lvlText w:val="•"/>
      <w:lvlJc w:val="left"/>
      <w:pPr>
        <w:ind w:left="1729" w:hanging="214"/>
      </w:pPr>
      <w:rPr>
        <w:rFonts w:hint="default"/>
        <w:lang w:val="en-US" w:eastAsia="zh-CN" w:bidi="ar-SA"/>
      </w:rPr>
    </w:lvl>
    <w:lvl w:ilvl="4">
      <w:start w:val="0"/>
      <w:numFmt w:val="bullet"/>
      <w:lvlText w:val="•"/>
      <w:lvlJc w:val="left"/>
      <w:pPr>
        <w:ind w:left="2272" w:hanging="214"/>
      </w:pPr>
      <w:rPr>
        <w:rFonts w:hint="default"/>
        <w:lang w:val="en-US" w:eastAsia="zh-CN" w:bidi="ar-SA"/>
      </w:rPr>
    </w:lvl>
    <w:lvl w:ilvl="5">
      <w:start w:val="0"/>
      <w:numFmt w:val="bullet"/>
      <w:lvlText w:val="•"/>
      <w:lvlJc w:val="left"/>
      <w:pPr>
        <w:ind w:left="2815" w:hanging="214"/>
      </w:pPr>
      <w:rPr>
        <w:rFonts w:hint="default"/>
        <w:lang w:val="en-US" w:eastAsia="zh-CN" w:bidi="ar-SA"/>
      </w:rPr>
    </w:lvl>
    <w:lvl w:ilvl="6">
      <w:start w:val="0"/>
      <w:numFmt w:val="bullet"/>
      <w:lvlText w:val="•"/>
      <w:lvlJc w:val="left"/>
      <w:pPr>
        <w:ind w:left="3358" w:hanging="214"/>
      </w:pPr>
      <w:rPr>
        <w:rFonts w:hint="default"/>
        <w:lang w:val="en-US" w:eastAsia="zh-CN" w:bidi="ar-SA"/>
      </w:rPr>
    </w:lvl>
    <w:lvl w:ilvl="7">
      <w:start w:val="0"/>
      <w:numFmt w:val="bullet"/>
      <w:lvlText w:val="•"/>
      <w:lvlJc w:val="left"/>
      <w:pPr>
        <w:ind w:left="3901" w:hanging="214"/>
      </w:pPr>
      <w:rPr>
        <w:rFonts w:hint="default"/>
        <w:lang w:val="en-US" w:eastAsia="zh-CN" w:bidi="ar-SA"/>
      </w:rPr>
    </w:lvl>
    <w:lvl w:ilvl="8">
      <w:start w:val="0"/>
      <w:numFmt w:val="bullet"/>
      <w:lvlText w:val="•"/>
      <w:lvlJc w:val="left"/>
      <w:pPr>
        <w:ind w:left="4444" w:hanging="214"/>
      </w:pPr>
      <w:rPr>
        <w:rFonts w:hint="default"/>
        <w:lang w:val="en-US" w:eastAsia="zh-CN" w:bidi="ar-SA"/>
      </w:rPr>
    </w:lvl>
  </w:abstractNum>
  <w:abstractNum w:abstractNumId="15">
    <w:nsid w:val="5E9CE997"/>
    <w:multiLevelType w:val="hybridMultilevel"/>
    <w:tmpl w:val="00000000"/>
    <w:lvl w:ilvl="0">
      <w:start w:val="1"/>
      <w:numFmt w:val="decimal"/>
      <w:lvlText w:val="%1."/>
      <w:lvlJc w:val="left"/>
      <w:pPr>
        <w:ind w:left="331" w:hanging="224"/>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59" w:hanging="224"/>
      </w:pPr>
      <w:rPr>
        <w:rFonts w:hint="default"/>
        <w:lang w:val="en-US" w:eastAsia="zh-CN" w:bidi="ar-SA"/>
      </w:rPr>
    </w:lvl>
    <w:lvl w:ilvl="2">
      <w:start w:val="0"/>
      <w:numFmt w:val="bullet"/>
      <w:lvlText w:val="•"/>
      <w:lvlJc w:val="left"/>
      <w:pPr>
        <w:ind w:left="1378" w:hanging="224"/>
      </w:pPr>
      <w:rPr>
        <w:rFonts w:hint="default"/>
        <w:lang w:val="en-US" w:eastAsia="zh-CN" w:bidi="ar-SA"/>
      </w:rPr>
    </w:lvl>
    <w:lvl w:ilvl="3">
      <w:start w:val="0"/>
      <w:numFmt w:val="bullet"/>
      <w:lvlText w:val="•"/>
      <w:lvlJc w:val="left"/>
      <w:pPr>
        <w:ind w:left="1897" w:hanging="224"/>
      </w:pPr>
      <w:rPr>
        <w:rFonts w:hint="default"/>
        <w:lang w:val="en-US" w:eastAsia="zh-CN" w:bidi="ar-SA"/>
      </w:rPr>
    </w:lvl>
    <w:lvl w:ilvl="4">
      <w:start w:val="0"/>
      <w:numFmt w:val="bullet"/>
      <w:lvlText w:val="•"/>
      <w:lvlJc w:val="left"/>
      <w:pPr>
        <w:ind w:left="2416" w:hanging="224"/>
      </w:pPr>
      <w:rPr>
        <w:rFonts w:hint="default"/>
        <w:lang w:val="en-US" w:eastAsia="zh-CN" w:bidi="ar-SA"/>
      </w:rPr>
    </w:lvl>
    <w:lvl w:ilvl="5">
      <w:start w:val="0"/>
      <w:numFmt w:val="bullet"/>
      <w:lvlText w:val="•"/>
      <w:lvlJc w:val="left"/>
      <w:pPr>
        <w:ind w:left="2935" w:hanging="224"/>
      </w:pPr>
      <w:rPr>
        <w:rFonts w:hint="default"/>
        <w:lang w:val="en-US" w:eastAsia="zh-CN" w:bidi="ar-SA"/>
      </w:rPr>
    </w:lvl>
    <w:lvl w:ilvl="6">
      <w:start w:val="0"/>
      <w:numFmt w:val="bullet"/>
      <w:lvlText w:val="•"/>
      <w:lvlJc w:val="left"/>
      <w:pPr>
        <w:ind w:left="3454" w:hanging="224"/>
      </w:pPr>
      <w:rPr>
        <w:rFonts w:hint="default"/>
        <w:lang w:val="en-US" w:eastAsia="zh-CN" w:bidi="ar-SA"/>
      </w:rPr>
    </w:lvl>
    <w:lvl w:ilvl="7">
      <w:start w:val="0"/>
      <w:numFmt w:val="bullet"/>
      <w:lvlText w:val="•"/>
      <w:lvlJc w:val="left"/>
      <w:pPr>
        <w:ind w:left="3973" w:hanging="224"/>
      </w:pPr>
      <w:rPr>
        <w:rFonts w:hint="default"/>
        <w:lang w:val="en-US" w:eastAsia="zh-CN" w:bidi="ar-SA"/>
      </w:rPr>
    </w:lvl>
    <w:lvl w:ilvl="8">
      <w:start w:val="0"/>
      <w:numFmt w:val="bullet"/>
      <w:lvlText w:val="•"/>
      <w:lvlJc w:val="left"/>
      <w:pPr>
        <w:ind w:left="4492" w:hanging="224"/>
      </w:pPr>
      <w:rPr>
        <w:rFonts w:hint="default"/>
        <w:lang w:val="en-US" w:eastAsia="zh-CN" w:bidi="ar-SA"/>
      </w:rPr>
    </w:lvl>
  </w:abstractNum>
  <w:abstractNum w:abstractNumId="16">
    <w:nsid w:val="7DC5CBA4"/>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num w:numId="1">
    <w:abstractNumId w:val="7"/>
  </w:num>
  <w:num w:numId="2">
    <w:abstractNumId w:val="3"/>
  </w:num>
  <w:num w:numId="3">
    <w:abstractNumId w:val="0"/>
  </w:num>
  <w:num w:numId="4">
    <w:abstractNumId w:val="16"/>
  </w:num>
  <w:num w:numId="5">
    <w:abstractNumId w:val="4"/>
  </w:num>
  <w:num w:numId="6">
    <w:abstractNumId w:val="11"/>
  </w:num>
  <w:num w:numId="7">
    <w:abstractNumId w:val="10"/>
  </w:num>
  <w:num w:numId="8">
    <w:abstractNumId w:val="1"/>
  </w:num>
  <w:num w:numId="9">
    <w:abstractNumId w:val="2"/>
  </w:num>
  <w:num w:numId="10">
    <w:abstractNumId w:val="14"/>
  </w:num>
  <w:num w:numId="11">
    <w:abstractNumId w:val="6"/>
  </w:num>
  <w:num w:numId="12">
    <w:abstractNumId w:val="8"/>
  </w:num>
  <w:num w:numId="13">
    <w:abstractNumId w:val="12"/>
  </w:num>
  <w:num w:numId="14">
    <w:abstractNumId w:val="5"/>
  </w:num>
  <w:num w:numId="15">
    <w:abstractNumId w:val="15"/>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仿宋" w:eastAsia="仿宋" w:hAnsi="仿宋" w:cs="仿宋"/>
      <w:lang w:val="en-US" w:eastAsia="zh-CN" w:bidi="ar-SA"/>
    </w:rPr>
  </w:style>
  <w:style w:type="paragraph" w:styleId="Heading1">
    <w:name w:val="heading 1"/>
    <w:basedOn w:val="Normal"/>
    <w:uiPriority w:val="1"/>
    <w:qFormat/>
    <w:pPr>
      <w:ind w:left="120"/>
      <w:outlineLvl w:val="0"/>
    </w:pPr>
    <w:rPr>
      <w:rFonts w:ascii="Microsoft JhengHei" w:eastAsia="Microsoft JhengHei" w:hAnsi="Microsoft JhengHei" w:cs="Microsoft JhengHei"/>
      <w:b/>
      <w:bCs/>
      <w:sz w:val="32"/>
      <w:szCs w:val="32"/>
      <w:lang w:val="en-US" w:eastAsia="zh-CN" w:bidi="ar-SA"/>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355"/>
      <w:ind w:left="540"/>
    </w:pPr>
    <w:rPr>
      <w:rFonts w:ascii="仿宋" w:eastAsia="仿宋" w:hAnsi="仿宋" w:cs="仿宋"/>
      <w:sz w:val="21"/>
      <w:szCs w:val="21"/>
      <w:lang w:val="en-US" w:eastAsia="zh-CN" w:bidi="ar-SA"/>
    </w:rPr>
  </w:style>
  <w:style w:type="paragraph" w:styleId="BodyText">
    <w:name w:val="Body Text"/>
    <w:basedOn w:val="Normal"/>
    <w:uiPriority w:val="1"/>
    <w:qFormat/>
    <w:pPr>
      <w:ind w:left="120"/>
    </w:pPr>
    <w:rPr>
      <w:rFonts w:ascii="仿宋" w:eastAsia="仿宋" w:hAnsi="仿宋" w:cs="仿宋"/>
      <w:sz w:val="28"/>
      <w:szCs w:val="28"/>
      <w:lang w:val="en-US" w:eastAsia="zh-CN" w:bidi="ar-SA"/>
    </w:rPr>
  </w:style>
  <w:style w:type="paragraph" w:styleId="Title">
    <w:name w:val="Title"/>
    <w:basedOn w:val="Normal"/>
    <w:uiPriority w:val="1"/>
    <w:qFormat/>
    <w:pPr>
      <w:spacing w:line="569" w:lineRule="exact"/>
      <w:ind w:left="1563" w:right="1962"/>
      <w:jc w:val="center"/>
    </w:pPr>
    <w:rPr>
      <w:rFonts w:ascii="Microsoft JhengHei" w:eastAsia="Microsoft JhengHei" w:hAnsi="Microsoft JhengHei" w:cs="Microsoft JhengHei"/>
      <w:b/>
      <w:bCs/>
      <w:sz w:val="36"/>
      <w:szCs w:val="36"/>
      <w:lang w:val="en-US" w:eastAsia="zh-CN" w:bidi="ar-SA"/>
    </w:rPr>
  </w:style>
  <w:style w:type="paragraph" w:styleId="ListParagraph">
    <w:name w:val="List Paragraph"/>
    <w:basedOn w:val="Normal"/>
    <w:uiPriority w:val="1"/>
    <w:qFormat/>
    <w:pPr>
      <w:ind w:left="120" w:right="238"/>
    </w:pPr>
    <w:rPr>
      <w:rFonts w:ascii="仿宋" w:eastAsia="仿宋" w:hAnsi="仿宋" w:cs="仿宋"/>
      <w:lang w:val="en-US" w:eastAsia="zh-CN" w:bidi="ar-SA"/>
    </w:rPr>
  </w:style>
  <w:style w:type="paragraph" w:customStyle="1" w:styleId="TableParagraph">
    <w:name w:val="Table Paragraph"/>
    <w:basedOn w:val="Normal"/>
    <w:uiPriority w:val="1"/>
    <w:qFormat/>
    <w:pPr>
      <w:ind w:left="108"/>
    </w:pPr>
    <w:rPr>
      <w:rFonts w:ascii="仿宋" w:eastAsia="仿宋" w:hAnsi="仿宋" w:cs="仿宋"/>
      <w:lang w:val="en-US" w:eastAsia="zh-CN" w:bidi="ar-SA"/>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 w:type="table" w:customStyle="1" w:styleId="TableNormal5">
    <w:name w:val="Table Normal_5"/>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hyperlink" Target="https://d.book118.com/056223124125010055" TargetMode="External" /><Relationship Id="rId18" Type="http://schemas.openxmlformats.org/officeDocument/2006/relationships/footer" Target="footer13.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2024-03-05T03:59:50Z</dcterms:created>
  <dcterms:modified xsi:type="dcterms:W3CDTF">2024-03-05T03:59:50Z</dcterms:modified>
</cp:coreProperties>
</file>