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肥皂及合成洗涤剂项目规划设计方案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43" w:history="1">
        <w:r>
          <w:rPr>
            <w:rFonts w:ascii="仿宋" w:eastAsia="仿宋" w:hAnsi="仿宋" w:cs="仿宋" w:hint="eastAsia"/>
            <w:lang w:eastAsia="zh-CN"/>
          </w:rPr>
          <w:t>前言</w:t>
        </w:r>
        <w:r>
          <w:tab/>
        </w:r>
        <w:r>
          <w:fldChar w:fldCharType="begin"/>
        </w:r>
        <w:r>
          <w:instrText xml:space="preserve"> PAGEREF _Toc30843 \h </w:instrText>
        </w:r>
        <w:r>
          <w:fldChar w:fldCharType="separate"/>
        </w:r>
        <w:r>
          <w:t>3</w:t>
        </w:r>
        <w:r>
          <w:fldChar w:fldCharType="end"/>
        </w:r>
      </w:hyperlink>
    </w:p>
    <w:p>
      <w:pPr>
        <w:pStyle w:val="TOC1"/>
        <w:tabs>
          <w:tab w:val="right" w:leader="dot" w:pos="8306"/>
        </w:tabs>
      </w:pPr>
      <w:hyperlink w:anchor="_Toc27498" w:history="1">
        <w:r>
          <w:rPr>
            <w:rFonts w:ascii="仿宋" w:eastAsia="仿宋" w:hAnsi="仿宋" w:cs="仿宋" w:hint="eastAsia"/>
            <w:lang w:eastAsia="zh-CN"/>
          </w:rPr>
          <w:t>一、肥皂及合成洗涤剂项目建设单位说明</w:t>
        </w:r>
        <w:r>
          <w:tab/>
        </w:r>
        <w:r>
          <w:fldChar w:fldCharType="begin"/>
        </w:r>
        <w:r>
          <w:instrText xml:space="preserve"> PAGEREF _Toc27498 \h </w:instrText>
        </w:r>
        <w:r>
          <w:fldChar w:fldCharType="separate"/>
        </w:r>
        <w:r>
          <w:t>3</w:t>
        </w:r>
        <w:r>
          <w:fldChar w:fldCharType="end"/>
        </w:r>
      </w:hyperlink>
    </w:p>
    <w:p>
      <w:pPr>
        <w:pStyle w:val="TOC2"/>
        <w:tabs>
          <w:tab w:val="right" w:leader="dot" w:pos="8306"/>
        </w:tabs>
      </w:pPr>
      <w:hyperlink w:anchor="_Toc11183" w:history="1">
        <w:r>
          <w:rPr>
            <w:rFonts w:ascii="仿宋" w:eastAsia="仿宋" w:hAnsi="仿宋" w:cs="仿宋" w:hint="eastAsia"/>
            <w:lang w:eastAsia="zh-CN"/>
          </w:rPr>
          <w:t>(一)、肥皂及合成洗涤剂项目承办单位基本情况</w:t>
        </w:r>
        <w:r>
          <w:tab/>
        </w:r>
        <w:r>
          <w:fldChar w:fldCharType="begin"/>
        </w:r>
        <w:r>
          <w:instrText xml:space="preserve"> PAGEREF _Toc11183 \h </w:instrText>
        </w:r>
        <w:r>
          <w:fldChar w:fldCharType="separate"/>
        </w:r>
        <w:r>
          <w:t>3</w:t>
        </w:r>
        <w:r>
          <w:fldChar w:fldCharType="end"/>
        </w:r>
      </w:hyperlink>
    </w:p>
    <w:p>
      <w:pPr>
        <w:pStyle w:val="TOC2"/>
        <w:tabs>
          <w:tab w:val="right" w:leader="dot" w:pos="8306"/>
        </w:tabs>
      </w:pPr>
      <w:hyperlink w:anchor="_Toc5144" w:history="1">
        <w:r>
          <w:rPr>
            <w:rFonts w:ascii="仿宋" w:eastAsia="仿宋" w:hAnsi="仿宋" w:cs="仿宋" w:hint="eastAsia"/>
            <w:lang w:eastAsia="zh-CN"/>
          </w:rPr>
          <w:t>(二)、公司经济效益分析</w:t>
        </w:r>
        <w:r>
          <w:tab/>
        </w:r>
        <w:r>
          <w:fldChar w:fldCharType="begin"/>
        </w:r>
        <w:r>
          <w:instrText xml:space="preserve"> PAGEREF _Toc5144 \h </w:instrText>
        </w:r>
        <w:r>
          <w:fldChar w:fldCharType="separate"/>
        </w:r>
        <w:r>
          <w:t>4</w:t>
        </w:r>
        <w:r>
          <w:fldChar w:fldCharType="end"/>
        </w:r>
      </w:hyperlink>
    </w:p>
    <w:p>
      <w:pPr>
        <w:pStyle w:val="TOC1"/>
        <w:tabs>
          <w:tab w:val="right" w:leader="dot" w:pos="8306"/>
        </w:tabs>
      </w:pPr>
      <w:hyperlink w:anchor="_Toc16866" w:history="1">
        <w:r>
          <w:rPr>
            <w:rFonts w:ascii="仿宋" w:eastAsia="仿宋" w:hAnsi="仿宋" w:cs="仿宋" w:hint="eastAsia"/>
            <w:lang w:eastAsia="zh-CN"/>
          </w:rPr>
          <w:t>二、工艺说明</w:t>
        </w:r>
        <w:r>
          <w:tab/>
        </w:r>
        <w:r>
          <w:fldChar w:fldCharType="begin"/>
        </w:r>
        <w:r>
          <w:instrText xml:space="preserve"> PAGEREF _Toc16866 \h </w:instrText>
        </w:r>
        <w:r>
          <w:fldChar w:fldCharType="separate"/>
        </w:r>
        <w:r>
          <w:t>5</w:t>
        </w:r>
        <w:r>
          <w:fldChar w:fldCharType="end"/>
        </w:r>
      </w:hyperlink>
    </w:p>
    <w:p>
      <w:pPr>
        <w:pStyle w:val="TOC2"/>
        <w:tabs>
          <w:tab w:val="right" w:leader="dot" w:pos="8306"/>
        </w:tabs>
      </w:pPr>
      <w:hyperlink w:anchor="_Toc7013" w:history="1">
        <w:r>
          <w:rPr>
            <w:rFonts w:ascii="仿宋" w:eastAsia="仿宋" w:hAnsi="仿宋" w:cs="仿宋" w:hint="eastAsia"/>
            <w:lang w:eastAsia="zh-CN"/>
          </w:rPr>
          <w:t>(一)、技术管理特点</w:t>
        </w:r>
        <w:r>
          <w:tab/>
        </w:r>
        <w:r>
          <w:fldChar w:fldCharType="begin"/>
        </w:r>
        <w:r>
          <w:instrText xml:space="preserve"> PAGEREF _Toc7013 \h </w:instrText>
        </w:r>
        <w:r>
          <w:fldChar w:fldCharType="separate"/>
        </w:r>
        <w:r>
          <w:t>5</w:t>
        </w:r>
        <w:r>
          <w:fldChar w:fldCharType="end"/>
        </w:r>
      </w:hyperlink>
    </w:p>
    <w:p>
      <w:pPr>
        <w:pStyle w:val="TOC2"/>
        <w:tabs>
          <w:tab w:val="right" w:leader="dot" w:pos="8306"/>
        </w:tabs>
      </w:pPr>
      <w:hyperlink w:anchor="_Toc24171" w:history="1">
        <w:r>
          <w:rPr>
            <w:rFonts w:ascii="仿宋" w:eastAsia="仿宋" w:hAnsi="仿宋" w:cs="仿宋" w:hint="eastAsia"/>
            <w:lang w:eastAsia="zh-CN"/>
          </w:rPr>
          <w:t>(二)、肥皂及合成洗涤剂项目工艺技术设计方案</w:t>
        </w:r>
        <w:r>
          <w:tab/>
        </w:r>
        <w:r>
          <w:fldChar w:fldCharType="begin"/>
        </w:r>
        <w:r>
          <w:instrText xml:space="preserve"> PAGEREF _Toc24171 \h </w:instrText>
        </w:r>
        <w:r>
          <w:fldChar w:fldCharType="separate"/>
        </w:r>
        <w:r>
          <w:t>6</w:t>
        </w:r>
        <w:r>
          <w:fldChar w:fldCharType="end"/>
        </w:r>
      </w:hyperlink>
    </w:p>
    <w:p>
      <w:pPr>
        <w:pStyle w:val="TOC2"/>
        <w:tabs>
          <w:tab w:val="right" w:leader="dot" w:pos="8306"/>
        </w:tabs>
      </w:pPr>
      <w:hyperlink w:anchor="_Toc32283" w:history="1">
        <w:r>
          <w:rPr>
            <w:rFonts w:ascii="仿宋" w:eastAsia="仿宋" w:hAnsi="仿宋" w:cs="仿宋" w:hint="eastAsia"/>
            <w:lang w:eastAsia="zh-CN"/>
          </w:rPr>
          <w:t>(三)、设备选型方案</w:t>
        </w:r>
        <w:r>
          <w:tab/>
        </w:r>
        <w:r>
          <w:fldChar w:fldCharType="begin"/>
        </w:r>
        <w:r>
          <w:instrText xml:space="preserve"> PAGEREF _Toc32283 \h </w:instrText>
        </w:r>
        <w:r>
          <w:fldChar w:fldCharType="separate"/>
        </w:r>
        <w:r>
          <w:t>7</w:t>
        </w:r>
        <w:r>
          <w:fldChar w:fldCharType="end"/>
        </w:r>
      </w:hyperlink>
    </w:p>
    <w:p>
      <w:pPr>
        <w:pStyle w:val="TOC1"/>
        <w:tabs>
          <w:tab w:val="right" w:leader="dot" w:pos="8306"/>
        </w:tabs>
      </w:pPr>
      <w:hyperlink w:anchor="_Toc7794" w:history="1">
        <w:r>
          <w:rPr>
            <w:rFonts w:ascii="仿宋" w:eastAsia="仿宋" w:hAnsi="仿宋" w:cs="仿宋" w:hint="eastAsia"/>
            <w:lang w:eastAsia="zh-CN"/>
          </w:rPr>
          <w:t>三、肥皂及合成洗涤剂项目绩效评估</w:t>
        </w:r>
        <w:r>
          <w:tab/>
        </w:r>
        <w:r>
          <w:fldChar w:fldCharType="begin"/>
        </w:r>
        <w:r>
          <w:instrText xml:space="preserve"> PAGEREF _Toc7794 \h </w:instrText>
        </w:r>
        <w:r>
          <w:fldChar w:fldCharType="separate"/>
        </w:r>
        <w:r>
          <w:t>9</w:t>
        </w:r>
        <w:r>
          <w:fldChar w:fldCharType="end"/>
        </w:r>
      </w:hyperlink>
    </w:p>
    <w:p>
      <w:pPr>
        <w:pStyle w:val="TOC2"/>
        <w:tabs>
          <w:tab w:val="right" w:leader="dot" w:pos="8306"/>
        </w:tabs>
      </w:pPr>
      <w:hyperlink w:anchor="_Toc21030" w:history="1">
        <w:r>
          <w:rPr>
            <w:rFonts w:ascii="仿宋" w:eastAsia="仿宋" w:hAnsi="仿宋" w:cs="仿宋" w:hint="eastAsia"/>
            <w:lang w:eastAsia="zh-CN"/>
          </w:rPr>
          <w:t>(一)、绩效评估指标</w:t>
        </w:r>
        <w:r>
          <w:tab/>
        </w:r>
        <w:r>
          <w:fldChar w:fldCharType="begin"/>
        </w:r>
        <w:r>
          <w:instrText xml:space="preserve"> PAGEREF _Toc21030 \h </w:instrText>
        </w:r>
        <w:r>
          <w:fldChar w:fldCharType="separate"/>
        </w:r>
        <w:r>
          <w:t>9</w:t>
        </w:r>
        <w:r>
          <w:fldChar w:fldCharType="end"/>
        </w:r>
      </w:hyperlink>
    </w:p>
    <w:p>
      <w:pPr>
        <w:pStyle w:val="TOC2"/>
        <w:tabs>
          <w:tab w:val="right" w:leader="dot" w:pos="8306"/>
        </w:tabs>
      </w:pPr>
      <w:hyperlink w:anchor="_Toc19" w:history="1">
        <w:r>
          <w:rPr>
            <w:rFonts w:ascii="仿宋" w:eastAsia="仿宋" w:hAnsi="仿宋" w:cs="仿宋" w:hint="eastAsia"/>
            <w:lang w:eastAsia="zh-CN"/>
          </w:rPr>
          <w:t>(二)、绩效评估方法</w:t>
        </w:r>
        <w:r>
          <w:tab/>
        </w:r>
        <w:r>
          <w:fldChar w:fldCharType="begin"/>
        </w:r>
        <w:r>
          <w:instrText xml:space="preserve"> PAGEREF _Toc19 \h </w:instrText>
        </w:r>
        <w:r>
          <w:fldChar w:fldCharType="separate"/>
        </w:r>
        <w:r>
          <w:t>10</w:t>
        </w:r>
        <w:r>
          <w:fldChar w:fldCharType="end"/>
        </w:r>
      </w:hyperlink>
    </w:p>
    <w:p>
      <w:pPr>
        <w:pStyle w:val="TOC2"/>
        <w:tabs>
          <w:tab w:val="right" w:leader="dot" w:pos="8306"/>
        </w:tabs>
      </w:pPr>
      <w:hyperlink w:anchor="_Toc17828" w:history="1">
        <w:r>
          <w:rPr>
            <w:rFonts w:ascii="仿宋" w:eastAsia="仿宋" w:hAnsi="仿宋" w:cs="仿宋" w:hint="eastAsia"/>
            <w:lang w:eastAsia="zh-CN"/>
          </w:rPr>
          <w:t>(三)、绩效评估周期</w:t>
        </w:r>
        <w:r>
          <w:tab/>
        </w:r>
        <w:r>
          <w:fldChar w:fldCharType="begin"/>
        </w:r>
        <w:r>
          <w:instrText xml:space="preserve"> PAGEREF _Toc17828 \h </w:instrText>
        </w:r>
        <w:r>
          <w:fldChar w:fldCharType="separate"/>
        </w:r>
        <w:r>
          <w:t>11</w:t>
        </w:r>
        <w:r>
          <w:fldChar w:fldCharType="end"/>
        </w:r>
      </w:hyperlink>
    </w:p>
    <w:p>
      <w:pPr>
        <w:pStyle w:val="TOC1"/>
        <w:tabs>
          <w:tab w:val="right" w:leader="dot" w:pos="8306"/>
        </w:tabs>
      </w:pPr>
      <w:hyperlink w:anchor="_Toc18328" w:history="1">
        <w:r>
          <w:rPr>
            <w:rFonts w:ascii="仿宋" w:eastAsia="仿宋" w:hAnsi="仿宋" w:cs="仿宋" w:hint="eastAsia"/>
            <w:lang w:eastAsia="zh-CN"/>
          </w:rPr>
          <w:t>四、肥皂及合成洗涤剂项目危机管理</w:t>
        </w:r>
        <w:r>
          <w:tab/>
        </w:r>
        <w:r>
          <w:fldChar w:fldCharType="begin"/>
        </w:r>
        <w:r>
          <w:instrText xml:space="preserve"> PAGEREF _Toc18328 \h </w:instrText>
        </w:r>
        <w:r>
          <w:fldChar w:fldCharType="separate"/>
        </w:r>
        <w:r>
          <w:t>12</w:t>
        </w:r>
        <w:r>
          <w:fldChar w:fldCharType="end"/>
        </w:r>
      </w:hyperlink>
    </w:p>
    <w:p>
      <w:pPr>
        <w:pStyle w:val="TOC2"/>
        <w:tabs>
          <w:tab w:val="right" w:leader="dot" w:pos="8306"/>
        </w:tabs>
      </w:pPr>
      <w:hyperlink w:anchor="_Toc18358" w:history="1">
        <w:r>
          <w:rPr>
            <w:rFonts w:ascii="仿宋" w:eastAsia="仿宋" w:hAnsi="仿宋" w:cs="仿宋" w:hint="eastAsia"/>
            <w:lang w:eastAsia="zh-CN"/>
          </w:rPr>
          <w:t>(一)、危机预警与识别</w:t>
        </w:r>
        <w:r>
          <w:tab/>
        </w:r>
        <w:r>
          <w:fldChar w:fldCharType="begin"/>
        </w:r>
        <w:r>
          <w:instrText xml:space="preserve"> PAGEREF _Toc18358 \h </w:instrText>
        </w:r>
        <w:r>
          <w:fldChar w:fldCharType="separate"/>
        </w:r>
        <w:r>
          <w:t>12</w:t>
        </w:r>
        <w:r>
          <w:fldChar w:fldCharType="end"/>
        </w:r>
      </w:hyperlink>
    </w:p>
    <w:p>
      <w:pPr>
        <w:pStyle w:val="TOC2"/>
        <w:tabs>
          <w:tab w:val="right" w:leader="dot" w:pos="8306"/>
        </w:tabs>
      </w:pPr>
      <w:hyperlink w:anchor="_Toc31642" w:history="1">
        <w:r>
          <w:rPr>
            <w:rFonts w:ascii="仿宋" w:eastAsia="仿宋" w:hAnsi="仿宋" w:cs="仿宋" w:hint="eastAsia"/>
            <w:lang w:eastAsia="zh-CN"/>
          </w:rPr>
          <w:t>(二)、危机应对与恢复</w:t>
        </w:r>
        <w:r>
          <w:tab/>
        </w:r>
        <w:r>
          <w:fldChar w:fldCharType="begin"/>
        </w:r>
        <w:r>
          <w:instrText xml:space="preserve"> PAGEREF _Toc31642 \h </w:instrText>
        </w:r>
        <w:r>
          <w:fldChar w:fldCharType="separate"/>
        </w:r>
        <w:r>
          <w:t>13</w:t>
        </w:r>
        <w:r>
          <w:fldChar w:fldCharType="end"/>
        </w:r>
      </w:hyperlink>
    </w:p>
    <w:p>
      <w:pPr>
        <w:pStyle w:val="TOC1"/>
        <w:tabs>
          <w:tab w:val="right" w:leader="dot" w:pos="8306"/>
        </w:tabs>
      </w:pPr>
      <w:hyperlink w:anchor="_Toc12454" w:history="1">
        <w:r>
          <w:rPr>
            <w:rFonts w:ascii="仿宋" w:eastAsia="仿宋" w:hAnsi="仿宋" w:cs="仿宋" w:hint="eastAsia"/>
            <w:lang w:eastAsia="zh-CN"/>
          </w:rPr>
          <w:t>五、肥皂及合成洗涤剂项目选址可行性分析</w:t>
        </w:r>
        <w:r>
          <w:tab/>
        </w:r>
        <w:r>
          <w:fldChar w:fldCharType="begin"/>
        </w:r>
        <w:r>
          <w:instrText xml:space="preserve"> PAGEREF _Toc12454 \h </w:instrText>
        </w:r>
        <w:r>
          <w:fldChar w:fldCharType="separate"/>
        </w:r>
        <w:r>
          <w:t>15</w:t>
        </w:r>
        <w:r>
          <w:fldChar w:fldCharType="end"/>
        </w:r>
      </w:hyperlink>
    </w:p>
    <w:p>
      <w:pPr>
        <w:pStyle w:val="TOC2"/>
        <w:tabs>
          <w:tab w:val="right" w:leader="dot" w:pos="8306"/>
        </w:tabs>
      </w:pPr>
      <w:hyperlink w:anchor="_Toc5892" w:history="1">
        <w:r>
          <w:rPr>
            <w:rFonts w:ascii="仿宋" w:eastAsia="仿宋" w:hAnsi="仿宋" w:cs="仿宋" w:hint="eastAsia"/>
            <w:lang w:eastAsia="zh-CN"/>
          </w:rPr>
          <w:t>(一)、肥皂及合成洗涤剂项目选址</w:t>
        </w:r>
        <w:r>
          <w:tab/>
        </w:r>
        <w:r>
          <w:fldChar w:fldCharType="begin"/>
        </w:r>
        <w:r>
          <w:instrText xml:space="preserve"> PAGEREF _Toc5892 \h </w:instrText>
        </w:r>
        <w:r>
          <w:fldChar w:fldCharType="separate"/>
        </w:r>
        <w:r>
          <w:t>15</w:t>
        </w:r>
        <w:r>
          <w:fldChar w:fldCharType="end"/>
        </w:r>
      </w:hyperlink>
    </w:p>
    <w:p>
      <w:pPr>
        <w:pStyle w:val="TOC2"/>
        <w:tabs>
          <w:tab w:val="right" w:leader="dot" w:pos="8306"/>
        </w:tabs>
      </w:pPr>
      <w:hyperlink w:anchor="_Toc11352" w:history="1">
        <w:r>
          <w:rPr>
            <w:rFonts w:ascii="仿宋" w:eastAsia="仿宋" w:hAnsi="仿宋" w:cs="仿宋" w:hint="eastAsia"/>
            <w:lang w:eastAsia="zh-CN"/>
          </w:rPr>
          <w:t>(二)、用地控制指标</w:t>
        </w:r>
        <w:r>
          <w:tab/>
        </w:r>
        <w:r>
          <w:fldChar w:fldCharType="begin"/>
        </w:r>
        <w:r>
          <w:instrText xml:space="preserve"> PAGEREF _Toc11352 \h </w:instrText>
        </w:r>
        <w:r>
          <w:fldChar w:fldCharType="separate"/>
        </w:r>
        <w:r>
          <w:t>15</w:t>
        </w:r>
        <w:r>
          <w:fldChar w:fldCharType="end"/>
        </w:r>
      </w:hyperlink>
    </w:p>
    <w:p>
      <w:pPr>
        <w:pStyle w:val="TOC2"/>
        <w:tabs>
          <w:tab w:val="right" w:leader="dot" w:pos="8306"/>
        </w:tabs>
      </w:pPr>
      <w:hyperlink w:anchor="_Toc18505" w:history="1">
        <w:r>
          <w:rPr>
            <w:rFonts w:ascii="仿宋" w:eastAsia="仿宋" w:hAnsi="仿宋" w:cs="仿宋" w:hint="eastAsia"/>
            <w:lang w:eastAsia="zh-CN"/>
          </w:rPr>
          <w:t>(三)、节约用地措施</w:t>
        </w:r>
        <w:r>
          <w:tab/>
        </w:r>
        <w:r>
          <w:fldChar w:fldCharType="begin"/>
        </w:r>
        <w:r>
          <w:instrText xml:space="preserve"> PAGEREF _Toc18505 \h </w:instrText>
        </w:r>
        <w:r>
          <w:fldChar w:fldCharType="separate"/>
        </w:r>
        <w:r>
          <w:t>17</w:t>
        </w:r>
        <w:r>
          <w:fldChar w:fldCharType="end"/>
        </w:r>
      </w:hyperlink>
    </w:p>
    <w:p>
      <w:pPr>
        <w:pStyle w:val="TOC2"/>
        <w:tabs>
          <w:tab w:val="right" w:leader="dot" w:pos="8306"/>
        </w:tabs>
      </w:pPr>
      <w:hyperlink w:anchor="_Toc285" w:history="1">
        <w:r>
          <w:rPr>
            <w:rFonts w:ascii="仿宋" w:eastAsia="仿宋" w:hAnsi="仿宋" w:cs="仿宋" w:hint="eastAsia"/>
            <w:lang w:eastAsia="zh-CN"/>
          </w:rPr>
          <w:t>(四)、总图布置方案</w:t>
        </w:r>
        <w:r>
          <w:tab/>
        </w:r>
        <w:r>
          <w:fldChar w:fldCharType="begin"/>
        </w:r>
        <w:r>
          <w:instrText xml:space="preserve"> PAGEREF _Toc285 \h </w:instrText>
        </w:r>
        <w:r>
          <w:fldChar w:fldCharType="separate"/>
        </w:r>
        <w:r>
          <w:t>18</w:t>
        </w:r>
        <w:r>
          <w:fldChar w:fldCharType="end"/>
        </w:r>
      </w:hyperlink>
    </w:p>
    <w:p>
      <w:pPr>
        <w:pStyle w:val="TOC2"/>
        <w:tabs>
          <w:tab w:val="right" w:leader="dot" w:pos="8306"/>
        </w:tabs>
      </w:pPr>
      <w:hyperlink w:anchor="_Toc3929" w:history="1">
        <w:r>
          <w:rPr>
            <w:rFonts w:ascii="仿宋" w:eastAsia="仿宋" w:hAnsi="仿宋" w:cs="仿宋" w:hint="eastAsia"/>
            <w:lang w:eastAsia="zh-CN"/>
          </w:rPr>
          <w:t>(五)、选址综合评价</w:t>
        </w:r>
        <w:r>
          <w:tab/>
        </w:r>
        <w:r>
          <w:fldChar w:fldCharType="begin"/>
        </w:r>
        <w:r>
          <w:instrText xml:space="preserve"> PAGEREF _Toc3929 \h </w:instrText>
        </w:r>
        <w:r>
          <w:fldChar w:fldCharType="separate"/>
        </w:r>
        <w:r>
          <w:t>19</w:t>
        </w:r>
        <w:r>
          <w:fldChar w:fldCharType="end"/>
        </w:r>
      </w:hyperlink>
    </w:p>
    <w:p>
      <w:pPr>
        <w:pStyle w:val="TOC1"/>
        <w:tabs>
          <w:tab w:val="right" w:leader="dot" w:pos="8306"/>
        </w:tabs>
      </w:pPr>
      <w:hyperlink w:anchor="_Toc24172" w:history="1">
        <w:r>
          <w:rPr>
            <w:rFonts w:ascii="仿宋" w:eastAsia="仿宋" w:hAnsi="仿宋" w:cs="仿宋" w:hint="eastAsia"/>
            <w:lang w:eastAsia="zh-CN"/>
          </w:rPr>
          <w:t>六、肥皂及合成洗涤剂项目土建工程</w:t>
        </w:r>
        <w:r>
          <w:tab/>
        </w:r>
        <w:r>
          <w:fldChar w:fldCharType="begin"/>
        </w:r>
        <w:r>
          <w:instrText xml:space="preserve"> PAGEREF _Toc24172 \h </w:instrText>
        </w:r>
        <w:r>
          <w:fldChar w:fldCharType="separate"/>
        </w:r>
        <w:r>
          <w:t>20</w:t>
        </w:r>
        <w:r>
          <w:fldChar w:fldCharType="end"/>
        </w:r>
      </w:hyperlink>
    </w:p>
    <w:p>
      <w:pPr>
        <w:pStyle w:val="TOC2"/>
        <w:tabs>
          <w:tab w:val="right" w:leader="dot" w:pos="8306"/>
        </w:tabs>
      </w:pPr>
      <w:hyperlink w:anchor="_Toc22543" w:history="1">
        <w:r>
          <w:rPr>
            <w:rFonts w:ascii="仿宋" w:eastAsia="仿宋" w:hAnsi="仿宋" w:cs="仿宋" w:hint="eastAsia"/>
            <w:lang w:eastAsia="zh-CN"/>
          </w:rPr>
          <w:t>(一)、建筑工程设计原则</w:t>
        </w:r>
        <w:r>
          <w:tab/>
        </w:r>
        <w:r>
          <w:fldChar w:fldCharType="begin"/>
        </w:r>
        <w:r>
          <w:instrText xml:space="preserve"> PAGEREF _Toc22543 \h </w:instrText>
        </w:r>
        <w:r>
          <w:fldChar w:fldCharType="separate"/>
        </w:r>
        <w:r>
          <w:t>20</w:t>
        </w:r>
        <w:r>
          <w:fldChar w:fldCharType="end"/>
        </w:r>
      </w:hyperlink>
    </w:p>
    <w:p>
      <w:pPr>
        <w:pStyle w:val="TOC2"/>
        <w:tabs>
          <w:tab w:val="right" w:leader="dot" w:pos="8306"/>
        </w:tabs>
      </w:pPr>
      <w:hyperlink w:anchor="_Toc31239" w:history="1">
        <w:r>
          <w:rPr>
            <w:rFonts w:ascii="仿宋" w:eastAsia="仿宋" w:hAnsi="仿宋" w:cs="仿宋" w:hint="eastAsia"/>
            <w:lang w:eastAsia="zh-CN"/>
          </w:rPr>
          <w:t>(二)、土建工程设计年限及安全等级</w:t>
        </w:r>
        <w:r>
          <w:tab/>
        </w:r>
        <w:r>
          <w:fldChar w:fldCharType="begin"/>
        </w:r>
        <w:r>
          <w:instrText xml:space="preserve"> PAGEREF _Toc31239 \h </w:instrText>
        </w:r>
        <w:r>
          <w:fldChar w:fldCharType="separate"/>
        </w:r>
        <w:r>
          <w:t>21</w:t>
        </w:r>
        <w:r>
          <w:fldChar w:fldCharType="end"/>
        </w:r>
      </w:hyperlink>
    </w:p>
    <w:p>
      <w:pPr>
        <w:pStyle w:val="TOC2"/>
        <w:tabs>
          <w:tab w:val="right" w:leader="dot" w:pos="8306"/>
        </w:tabs>
      </w:pPr>
      <w:hyperlink w:anchor="_Toc23849" w:history="1">
        <w:r>
          <w:rPr>
            <w:rFonts w:ascii="仿宋" w:eastAsia="仿宋" w:hAnsi="仿宋" w:cs="仿宋" w:hint="eastAsia"/>
            <w:lang w:eastAsia="zh-CN"/>
          </w:rPr>
          <w:t>(三)、建筑工程设计总体要求</w:t>
        </w:r>
        <w:r>
          <w:tab/>
        </w:r>
        <w:r>
          <w:fldChar w:fldCharType="begin"/>
        </w:r>
        <w:r>
          <w:instrText xml:space="preserve"> PAGEREF _Toc23849 \h </w:instrText>
        </w:r>
        <w:r>
          <w:fldChar w:fldCharType="separate"/>
        </w:r>
        <w:r>
          <w:t>23</w:t>
        </w:r>
        <w:r>
          <w:fldChar w:fldCharType="end"/>
        </w:r>
      </w:hyperlink>
    </w:p>
    <w:p>
      <w:pPr>
        <w:pStyle w:val="TOC2"/>
        <w:tabs>
          <w:tab w:val="right" w:leader="dot" w:pos="8306"/>
        </w:tabs>
      </w:pPr>
      <w:hyperlink w:anchor="_Toc14227" w:history="1">
        <w:r>
          <w:rPr>
            <w:rFonts w:ascii="仿宋" w:eastAsia="仿宋" w:hAnsi="仿宋" w:cs="仿宋" w:hint="eastAsia"/>
            <w:lang w:eastAsia="zh-CN"/>
          </w:rPr>
          <w:t>(四)、土建工程建设指标</w:t>
        </w:r>
        <w:r>
          <w:tab/>
        </w:r>
        <w:r>
          <w:fldChar w:fldCharType="begin"/>
        </w:r>
        <w:r>
          <w:instrText xml:space="preserve"> PAGEREF _Toc14227 \h </w:instrText>
        </w:r>
        <w:r>
          <w:fldChar w:fldCharType="separate"/>
        </w:r>
        <w:r>
          <w:t>23</w:t>
        </w:r>
        <w:r>
          <w:fldChar w:fldCharType="end"/>
        </w:r>
      </w:hyperlink>
    </w:p>
    <w:p>
      <w:pPr>
        <w:pStyle w:val="TOC1"/>
        <w:tabs>
          <w:tab w:val="right" w:leader="dot" w:pos="8306"/>
        </w:tabs>
      </w:pPr>
      <w:hyperlink w:anchor="_Toc16408" w:history="1">
        <w:r>
          <w:rPr>
            <w:rFonts w:ascii="仿宋" w:eastAsia="仿宋" w:hAnsi="仿宋" w:cs="仿宋" w:hint="eastAsia"/>
            <w:lang w:eastAsia="zh-CN"/>
          </w:rPr>
          <w:t>七、肥皂及合成洗涤剂项目财务管理</w:t>
        </w:r>
        <w:r>
          <w:tab/>
        </w:r>
        <w:r>
          <w:fldChar w:fldCharType="begin"/>
        </w:r>
        <w:r>
          <w:instrText xml:space="preserve"> PAGEREF _Toc16408 \h </w:instrText>
        </w:r>
        <w:r>
          <w:fldChar w:fldCharType="separate"/>
        </w:r>
        <w:r>
          <w:t>24</w:t>
        </w:r>
        <w:r>
          <w:fldChar w:fldCharType="end"/>
        </w:r>
      </w:hyperlink>
    </w:p>
    <w:p>
      <w:pPr>
        <w:pStyle w:val="TOC2"/>
        <w:tabs>
          <w:tab w:val="right" w:leader="dot" w:pos="8306"/>
        </w:tabs>
      </w:pPr>
      <w:hyperlink w:anchor="_Toc13744" w:history="1">
        <w:r>
          <w:rPr>
            <w:rFonts w:ascii="仿宋" w:eastAsia="仿宋" w:hAnsi="仿宋" w:cs="仿宋" w:hint="eastAsia"/>
            <w:lang w:eastAsia="zh-CN"/>
          </w:rPr>
          <w:t>(一)、资金需求大</w:t>
        </w:r>
        <w:r>
          <w:tab/>
        </w:r>
        <w:r>
          <w:fldChar w:fldCharType="begin"/>
        </w:r>
        <w:r>
          <w:instrText xml:space="preserve"> PAGEREF _Toc13744 \h </w:instrText>
        </w:r>
        <w:r>
          <w:fldChar w:fldCharType="separate"/>
        </w:r>
        <w:r>
          <w:t>24</w:t>
        </w:r>
        <w:r>
          <w:fldChar w:fldCharType="end"/>
        </w:r>
      </w:hyperlink>
    </w:p>
    <w:p>
      <w:pPr>
        <w:pStyle w:val="TOC2"/>
        <w:tabs>
          <w:tab w:val="right" w:leader="dot" w:pos="8306"/>
        </w:tabs>
      </w:pPr>
      <w:hyperlink w:anchor="_Toc25632" w:history="1">
        <w:r>
          <w:rPr>
            <w:rFonts w:ascii="仿宋" w:eastAsia="仿宋" w:hAnsi="仿宋" w:cs="仿宋" w:hint="eastAsia"/>
            <w:lang w:eastAsia="zh-CN"/>
          </w:rPr>
          <w:t>(二)、研发周期长</w:t>
        </w:r>
        <w:r>
          <w:tab/>
        </w:r>
        <w:r>
          <w:fldChar w:fldCharType="begin"/>
        </w:r>
        <w:r>
          <w:instrText xml:space="preserve"> PAGEREF _Toc25632 \h </w:instrText>
        </w:r>
        <w:r>
          <w:fldChar w:fldCharType="separate"/>
        </w:r>
        <w:r>
          <w:t>25</w:t>
        </w:r>
        <w:r>
          <w:fldChar w:fldCharType="end"/>
        </w:r>
      </w:hyperlink>
    </w:p>
    <w:p>
      <w:pPr>
        <w:pStyle w:val="TOC2"/>
        <w:tabs>
          <w:tab w:val="right" w:leader="dot" w:pos="8306"/>
        </w:tabs>
      </w:pPr>
      <w:hyperlink w:anchor="_Toc13588" w:history="1">
        <w:r>
          <w:rPr>
            <w:rFonts w:ascii="仿宋" w:eastAsia="仿宋" w:hAnsi="仿宋" w:cs="仿宋" w:hint="eastAsia"/>
            <w:lang w:eastAsia="zh-CN"/>
          </w:rPr>
          <w:t>(三)、市场风险大</w:t>
        </w:r>
        <w:r>
          <w:tab/>
        </w:r>
        <w:r>
          <w:fldChar w:fldCharType="begin"/>
        </w:r>
        <w:r>
          <w:instrText xml:space="preserve"> PAGEREF _Toc13588 \h </w:instrText>
        </w:r>
        <w:r>
          <w:fldChar w:fldCharType="separate"/>
        </w:r>
        <w:r>
          <w:t>26</w:t>
        </w:r>
        <w:r>
          <w:fldChar w:fldCharType="end"/>
        </w:r>
      </w:hyperlink>
    </w:p>
    <w:p>
      <w:pPr>
        <w:pStyle w:val="TOC2"/>
        <w:tabs>
          <w:tab w:val="right" w:leader="dot" w:pos="8306"/>
        </w:tabs>
      </w:pPr>
      <w:hyperlink w:anchor="_Toc20384" w:history="1">
        <w:r>
          <w:rPr>
            <w:rFonts w:ascii="仿宋" w:eastAsia="仿宋" w:hAnsi="仿宋" w:cs="仿宋" w:hint="eastAsia"/>
            <w:lang w:eastAsia="zh-CN"/>
          </w:rPr>
          <w:t>(四)、利润率高</w:t>
        </w:r>
        <w:r>
          <w:tab/>
        </w:r>
        <w:r>
          <w:fldChar w:fldCharType="begin"/>
        </w:r>
        <w:r>
          <w:instrText xml:space="preserve"> PAGEREF _Toc20384 \h </w:instrText>
        </w:r>
        <w:r>
          <w:fldChar w:fldCharType="separate"/>
        </w:r>
        <w:r>
          <w:t>29</w:t>
        </w:r>
        <w:r>
          <w:fldChar w:fldCharType="end"/>
        </w:r>
      </w:hyperlink>
    </w:p>
    <w:p>
      <w:pPr>
        <w:pStyle w:val="TOC1"/>
        <w:tabs>
          <w:tab w:val="right" w:leader="dot" w:pos="8306"/>
        </w:tabs>
      </w:pPr>
      <w:hyperlink w:anchor="_Toc12595" w:history="1">
        <w:r>
          <w:rPr>
            <w:rFonts w:ascii="仿宋" w:eastAsia="仿宋" w:hAnsi="仿宋" w:cs="仿宋" w:hint="eastAsia"/>
            <w:lang w:eastAsia="zh-CN"/>
          </w:rPr>
          <w:t>八、肥皂及合成洗涤剂项目人力资源培养与发展</w:t>
        </w:r>
        <w:r>
          <w:tab/>
        </w:r>
        <w:r>
          <w:fldChar w:fldCharType="begin"/>
        </w:r>
        <w:r>
          <w:instrText xml:space="preserve"> PAGEREF _Toc12595 \h </w:instrText>
        </w:r>
        <w:r>
          <w:fldChar w:fldCharType="separate"/>
        </w:r>
        <w:r>
          <w:t>31</w:t>
        </w:r>
        <w:r>
          <w:fldChar w:fldCharType="end"/>
        </w:r>
      </w:hyperlink>
    </w:p>
    <w:p>
      <w:pPr>
        <w:pStyle w:val="TOC2"/>
        <w:tabs>
          <w:tab w:val="right" w:leader="dot" w:pos="8306"/>
        </w:tabs>
      </w:pPr>
      <w:hyperlink w:anchor="_Toc11391" w:history="1">
        <w:r>
          <w:rPr>
            <w:rFonts w:ascii="仿宋" w:eastAsia="仿宋" w:hAnsi="仿宋" w:cs="仿宋" w:hint="eastAsia"/>
            <w:lang w:eastAsia="zh-CN"/>
          </w:rPr>
          <w:t>(一)、人才需求与规划</w:t>
        </w:r>
        <w:r>
          <w:tab/>
        </w:r>
        <w:r>
          <w:fldChar w:fldCharType="begin"/>
        </w:r>
        <w:r>
          <w:instrText xml:space="preserve"> PAGEREF _Toc11391 \h </w:instrText>
        </w:r>
        <w:r>
          <w:fldChar w:fldCharType="separate"/>
        </w:r>
        <w:r>
          <w:t>31</w:t>
        </w:r>
        <w:r>
          <w:fldChar w:fldCharType="end"/>
        </w:r>
      </w:hyperlink>
    </w:p>
    <w:p>
      <w:pPr>
        <w:pStyle w:val="TOC2"/>
        <w:tabs>
          <w:tab w:val="right" w:leader="dot" w:pos="8306"/>
        </w:tabs>
      </w:pPr>
      <w:hyperlink w:anchor="_Toc32638" w:history="1">
        <w:r>
          <w:rPr>
            <w:rFonts w:ascii="仿宋" w:eastAsia="仿宋" w:hAnsi="仿宋" w:cs="仿宋" w:hint="eastAsia"/>
            <w:lang w:eastAsia="zh-CN"/>
          </w:rPr>
          <w:t>(二)、培训与发展计划</w:t>
        </w:r>
        <w:r>
          <w:tab/>
        </w:r>
        <w:r>
          <w:fldChar w:fldCharType="begin"/>
        </w:r>
        <w:r>
          <w:instrText xml:space="preserve"> PAGEREF _Toc32638 \h </w:instrText>
        </w:r>
        <w:r>
          <w:fldChar w:fldCharType="separate"/>
        </w:r>
        <w:r>
          <w:t>31</w:t>
        </w:r>
        <w:r>
          <w:fldChar w:fldCharType="end"/>
        </w:r>
      </w:hyperlink>
    </w:p>
    <w:p>
      <w:pPr>
        <w:pStyle w:val="TOC1"/>
        <w:tabs>
          <w:tab w:val="right" w:leader="dot" w:pos="8306"/>
        </w:tabs>
      </w:pPr>
      <w:hyperlink w:anchor="_Toc2314" w:history="1">
        <w:r>
          <w:rPr>
            <w:rFonts w:ascii="仿宋" w:eastAsia="仿宋" w:hAnsi="仿宋" w:cs="仿宋" w:hint="eastAsia"/>
            <w:lang w:eastAsia="zh-CN"/>
          </w:rPr>
          <w:t>九、肥皂及合成洗涤剂项目人力资源管理</w:t>
        </w:r>
        <w:r>
          <w:tab/>
        </w:r>
        <w:r>
          <w:fldChar w:fldCharType="begin"/>
        </w:r>
        <w:r>
          <w:instrText xml:space="preserve"> PAGEREF _Toc2314 \h </w:instrText>
        </w:r>
        <w:r>
          <w:fldChar w:fldCharType="separate"/>
        </w:r>
        <w:r>
          <w:t>32</w:t>
        </w:r>
        <w:r>
          <w:fldChar w:fldCharType="end"/>
        </w:r>
      </w:hyperlink>
    </w:p>
    <w:p>
      <w:pPr>
        <w:pStyle w:val="TOC2"/>
        <w:tabs>
          <w:tab w:val="right" w:leader="dot" w:pos="8306"/>
        </w:tabs>
      </w:pPr>
      <w:hyperlink w:anchor="_Toc12606" w:history="1">
        <w:r>
          <w:rPr>
            <w:rFonts w:ascii="仿宋" w:eastAsia="仿宋" w:hAnsi="仿宋" w:cs="仿宋" w:hint="eastAsia"/>
            <w:lang w:eastAsia="zh-CN"/>
          </w:rPr>
          <w:t>(一)、建立健全的预算管理制度</w:t>
        </w:r>
        <w:r>
          <w:tab/>
        </w:r>
        <w:r>
          <w:fldChar w:fldCharType="begin"/>
        </w:r>
        <w:r>
          <w:instrText xml:space="preserve"> PAGEREF _Toc12606 \h </w:instrText>
        </w:r>
        <w:r>
          <w:fldChar w:fldCharType="separate"/>
        </w:r>
        <w:r>
          <w:t>32</w:t>
        </w:r>
        <w:r>
          <w:fldChar w:fldCharType="end"/>
        </w:r>
      </w:hyperlink>
    </w:p>
    <w:p>
      <w:pPr>
        <w:pStyle w:val="TOC2"/>
        <w:tabs>
          <w:tab w:val="right" w:leader="dot" w:pos="8306"/>
        </w:tabs>
      </w:pPr>
      <w:hyperlink w:anchor="_Toc17612" w:history="1">
        <w:r>
          <w:rPr>
            <w:rFonts w:ascii="仿宋" w:eastAsia="仿宋" w:hAnsi="仿宋" w:cs="仿宋" w:hint="eastAsia"/>
            <w:lang w:eastAsia="zh-CN"/>
          </w:rPr>
          <w:t>(二)、加强资金流动监控</w:t>
        </w:r>
        <w:r>
          <w:tab/>
        </w:r>
        <w:r>
          <w:fldChar w:fldCharType="begin"/>
        </w:r>
        <w:r>
          <w:instrText xml:space="preserve"> PAGEREF _Toc17612 \h </w:instrText>
        </w:r>
        <w:r>
          <w:fldChar w:fldCharType="separate"/>
        </w:r>
        <w:r>
          <w:t>34</w:t>
        </w:r>
        <w:r>
          <w:fldChar w:fldCharType="end"/>
        </w:r>
      </w:hyperlink>
    </w:p>
    <w:p>
      <w:pPr>
        <w:pStyle w:val="TOC2"/>
        <w:tabs>
          <w:tab w:val="right" w:leader="dot" w:pos="8306"/>
        </w:tabs>
      </w:pPr>
      <w:hyperlink w:anchor="_Toc5519" w:history="1">
        <w:r>
          <w:rPr>
            <w:rFonts w:ascii="仿宋" w:eastAsia="仿宋" w:hAnsi="仿宋" w:cs="仿宋" w:hint="eastAsia"/>
            <w:lang w:eastAsia="zh-CN"/>
          </w:rPr>
          <w:t>(三)、制定完善的风险控制机制</w:t>
        </w:r>
        <w:r>
          <w:tab/>
        </w:r>
        <w:r>
          <w:fldChar w:fldCharType="begin"/>
        </w:r>
        <w:r>
          <w:instrText xml:space="preserve"> PAGEREF _Toc5519 \h </w:instrText>
        </w:r>
        <w:r>
          <w:fldChar w:fldCharType="separate"/>
        </w:r>
        <w:r>
          <w:t>35</w:t>
        </w:r>
        <w:r>
          <w:fldChar w:fldCharType="end"/>
        </w:r>
      </w:hyperlink>
    </w:p>
    <w:p>
      <w:pPr>
        <w:pStyle w:val="TOC2"/>
        <w:tabs>
          <w:tab w:val="right" w:leader="dot" w:pos="8306"/>
        </w:tabs>
      </w:pPr>
      <w:hyperlink w:anchor="_Toc12588" w:history="1">
        <w:r>
          <w:rPr>
            <w:rFonts w:ascii="仿宋" w:eastAsia="仿宋" w:hAnsi="仿宋" w:cs="仿宋" w:hint="eastAsia"/>
            <w:lang w:eastAsia="zh-CN"/>
          </w:rPr>
          <w:t>(四)、优化成本管理</w:t>
        </w:r>
        <w:r>
          <w:tab/>
        </w:r>
        <w:r>
          <w:fldChar w:fldCharType="begin"/>
        </w:r>
        <w:r>
          <w:instrText xml:space="preserve"> PAGEREF _Toc12588 \h </w:instrText>
        </w:r>
        <w:r>
          <w:fldChar w:fldCharType="separate"/>
        </w:r>
        <w:r>
          <w:t>36</w:t>
        </w:r>
        <w:r>
          <w:fldChar w:fldCharType="end"/>
        </w:r>
      </w:hyperlink>
    </w:p>
    <w:p>
      <w:pPr>
        <w:pStyle w:val="TOC1"/>
        <w:tabs>
          <w:tab w:val="right" w:leader="dot" w:pos="8306"/>
        </w:tabs>
      </w:pPr>
      <w:hyperlink w:anchor="_Toc25621" w:history="1">
        <w:r>
          <w:rPr>
            <w:rFonts w:ascii="仿宋" w:eastAsia="仿宋" w:hAnsi="仿宋" w:cs="仿宋" w:hint="eastAsia"/>
            <w:lang w:eastAsia="zh-CN"/>
          </w:rPr>
          <w:t>十、生产安全保护</w:t>
        </w:r>
        <w:r>
          <w:tab/>
        </w:r>
        <w:r>
          <w:fldChar w:fldCharType="begin"/>
        </w:r>
        <w:r>
          <w:instrText xml:space="preserve"> PAGEREF _Toc25621 \h </w:instrText>
        </w:r>
        <w:r>
          <w:fldChar w:fldCharType="separate"/>
        </w:r>
        <w:r>
          <w:t>38</w:t>
        </w:r>
        <w:r>
          <w:fldChar w:fldCharType="end"/>
        </w:r>
      </w:hyperlink>
    </w:p>
    <w:p>
      <w:pPr>
        <w:pStyle w:val="TOC2"/>
        <w:tabs>
          <w:tab w:val="right" w:leader="dot" w:pos="8306"/>
        </w:tabs>
      </w:pPr>
      <w:hyperlink w:anchor="_Toc27592" w:history="1">
        <w:r>
          <w:rPr>
            <w:rFonts w:ascii="仿宋" w:eastAsia="仿宋" w:hAnsi="仿宋" w:cs="仿宋" w:hint="eastAsia"/>
            <w:lang w:eastAsia="zh-CN"/>
          </w:rPr>
          <w:t>(一)、消防安全</w:t>
        </w:r>
        <w:r>
          <w:tab/>
        </w:r>
        <w:r>
          <w:fldChar w:fldCharType="begin"/>
        </w:r>
        <w:r>
          <w:instrText xml:space="preserve"> PAGEREF _Toc27592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65" w:history="1">
        <w:r>
          <w:rPr>
            <w:rFonts w:ascii="仿宋" w:eastAsia="仿宋" w:hAnsi="仿宋" w:cs="仿宋" w:hint="eastAsia"/>
            <w:lang w:eastAsia="zh-CN"/>
          </w:rPr>
          <w:t>(二)、防火防爆总图布置措施</w:t>
        </w:r>
        <w:r>
          <w:tab/>
        </w:r>
        <w:r>
          <w:fldChar w:fldCharType="begin"/>
        </w:r>
        <w:r>
          <w:instrText xml:space="preserve"> PAGEREF _Toc7765 \h </w:instrText>
        </w:r>
        <w:r>
          <w:fldChar w:fldCharType="separate"/>
        </w:r>
        <w:r>
          <w:t>40</w:t>
        </w:r>
        <w:r>
          <w:fldChar w:fldCharType="end"/>
        </w:r>
      </w:hyperlink>
    </w:p>
    <w:p>
      <w:pPr>
        <w:pStyle w:val="TOC2"/>
        <w:tabs>
          <w:tab w:val="right" w:leader="dot" w:pos="8306"/>
        </w:tabs>
      </w:pPr>
      <w:hyperlink w:anchor="_Toc26862" w:history="1">
        <w:r>
          <w:rPr>
            <w:rFonts w:ascii="仿宋" w:eastAsia="仿宋" w:hAnsi="仿宋" w:cs="仿宋" w:hint="eastAsia"/>
            <w:lang w:eastAsia="zh-CN"/>
          </w:rPr>
          <w:t>(三)、自然灾害防范措施</w:t>
        </w:r>
        <w:r>
          <w:tab/>
        </w:r>
        <w:r>
          <w:fldChar w:fldCharType="begin"/>
        </w:r>
        <w:r>
          <w:instrText xml:space="preserve"> PAGEREF _Toc26862 \h </w:instrText>
        </w:r>
        <w:r>
          <w:fldChar w:fldCharType="separate"/>
        </w:r>
        <w:r>
          <w:t>40</w:t>
        </w:r>
        <w:r>
          <w:fldChar w:fldCharType="end"/>
        </w:r>
      </w:hyperlink>
    </w:p>
    <w:p>
      <w:pPr>
        <w:pStyle w:val="TOC2"/>
        <w:tabs>
          <w:tab w:val="right" w:leader="dot" w:pos="8306"/>
        </w:tabs>
      </w:pPr>
      <w:hyperlink w:anchor="_Toc25818" w:history="1">
        <w:r>
          <w:rPr>
            <w:rFonts w:ascii="仿宋" w:eastAsia="仿宋" w:hAnsi="仿宋" w:cs="仿宋" w:hint="eastAsia"/>
            <w:lang w:eastAsia="zh-CN"/>
          </w:rPr>
          <w:t>(四)、安全色及安全标志使用要求</w:t>
        </w:r>
        <w:r>
          <w:tab/>
        </w:r>
        <w:r>
          <w:fldChar w:fldCharType="begin"/>
        </w:r>
        <w:r>
          <w:instrText xml:space="preserve"> PAGEREF _Toc25818 \h </w:instrText>
        </w:r>
        <w:r>
          <w:fldChar w:fldCharType="separate"/>
        </w:r>
        <w:r>
          <w:t>41</w:t>
        </w:r>
        <w:r>
          <w:fldChar w:fldCharType="end"/>
        </w:r>
      </w:hyperlink>
    </w:p>
    <w:p>
      <w:pPr>
        <w:pStyle w:val="TOC2"/>
        <w:tabs>
          <w:tab w:val="right" w:leader="dot" w:pos="8306"/>
        </w:tabs>
      </w:pPr>
      <w:hyperlink w:anchor="_Toc5794" w:history="1">
        <w:r>
          <w:rPr>
            <w:rFonts w:ascii="仿宋" w:eastAsia="仿宋" w:hAnsi="仿宋" w:cs="仿宋" w:hint="eastAsia"/>
            <w:lang w:eastAsia="zh-CN"/>
          </w:rPr>
          <w:t>(五)、防尘防毒措施</w:t>
        </w:r>
        <w:r>
          <w:tab/>
        </w:r>
        <w:r>
          <w:fldChar w:fldCharType="begin"/>
        </w:r>
        <w:r>
          <w:instrText xml:space="preserve"> PAGEREF _Toc5794 \h </w:instrText>
        </w:r>
        <w:r>
          <w:fldChar w:fldCharType="separate"/>
        </w:r>
        <w:r>
          <w:t>42</w:t>
        </w:r>
        <w:r>
          <w:fldChar w:fldCharType="end"/>
        </w:r>
      </w:hyperlink>
    </w:p>
    <w:p>
      <w:pPr>
        <w:pStyle w:val="TOC2"/>
        <w:tabs>
          <w:tab w:val="right" w:leader="dot" w:pos="8306"/>
        </w:tabs>
      </w:pPr>
      <w:hyperlink w:anchor="_Toc9875" w:history="1">
        <w:r>
          <w:rPr>
            <w:rFonts w:ascii="仿宋" w:eastAsia="仿宋" w:hAnsi="仿宋" w:cs="仿宋" w:hint="eastAsia"/>
            <w:lang w:eastAsia="zh-CN"/>
          </w:rPr>
          <w:t>(六)、防静电、触电防护及防雷措施</w:t>
        </w:r>
        <w:r>
          <w:tab/>
        </w:r>
        <w:r>
          <w:fldChar w:fldCharType="begin"/>
        </w:r>
        <w:r>
          <w:instrText xml:space="preserve"> PAGEREF _Toc9875 \h </w:instrText>
        </w:r>
        <w:r>
          <w:fldChar w:fldCharType="separate"/>
        </w:r>
        <w:r>
          <w:t>43</w:t>
        </w:r>
        <w:r>
          <w:fldChar w:fldCharType="end"/>
        </w:r>
      </w:hyperlink>
    </w:p>
    <w:p>
      <w:pPr>
        <w:pStyle w:val="TOC2"/>
        <w:tabs>
          <w:tab w:val="right" w:leader="dot" w:pos="8306"/>
        </w:tabs>
      </w:pPr>
      <w:hyperlink w:anchor="_Toc1299" w:history="1">
        <w:r>
          <w:rPr>
            <w:rFonts w:ascii="仿宋" w:eastAsia="仿宋" w:hAnsi="仿宋" w:cs="仿宋" w:hint="eastAsia"/>
            <w:lang w:eastAsia="zh-CN"/>
          </w:rPr>
          <w:t>(七)、机械设备安全保障措施</w:t>
        </w:r>
        <w:r>
          <w:tab/>
        </w:r>
        <w:r>
          <w:fldChar w:fldCharType="begin"/>
        </w:r>
        <w:r>
          <w:instrText xml:space="preserve"> PAGEREF _Toc1299 \h </w:instrText>
        </w:r>
        <w:r>
          <w:fldChar w:fldCharType="separate"/>
        </w:r>
        <w:r>
          <w:t>45</w:t>
        </w:r>
        <w:r>
          <w:fldChar w:fldCharType="end"/>
        </w:r>
      </w:hyperlink>
    </w:p>
    <w:p>
      <w:pPr>
        <w:pStyle w:val="TOC1"/>
        <w:tabs>
          <w:tab w:val="right" w:leader="dot" w:pos="8306"/>
        </w:tabs>
      </w:pPr>
      <w:hyperlink w:anchor="_Toc1035" w:history="1">
        <w:r>
          <w:rPr>
            <w:rFonts w:ascii="仿宋" w:eastAsia="仿宋" w:hAnsi="仿宋" w:cs="仿宋" w:hint="eastAsia"/>
            <w:lang w:eastAsia="zh-CN"/>
          </w:rPr>
          <w:t>十一、肥皂及合成洗涤剂项目创新与研发</w:t>
        </w:r>
        <w:r>
          <w:tab/>
        </w:r>
        <w:r>
          <w:fldChar w:fldCharType="begin"/>
        </w:r>
        <w:r>
          <w:instrText xml:space="preserve"> PAGEREF _Toc1035 \h </w:instrText>
        </w:r>
        <w:r>
          <w:fldChar w:fldCharType="separate"/>
        </w:r>
        <w:r>
          <w:t>46</w:t>
        </w:r>
        <w:r>
          <w:fldChar w:fldCharType="end"/>
        </w:r>
      </w:hyperlink>
    </w:p>
    <w:p>
      <w:pPr>
        <w:pStyle w:val="TOC2"/>
        <w:tabs>
          <w:tab w:val="right" w:leader="dot" w:pos="8306"/>
        </w:tabs>
      </w:pPr>
      <w:hyperlink w:anchor="_Toc10090" w:history="1">
        <w:r>
          <w:rPr>
            <w:rFonts w:ascii="仿宋" w:eastAsia="仿宋" w:hAnsi="仿宋" w:cs="仿宋" w:hint="eastAsia"/>
            <w:lang w:eastAsia="zh-CN"/>
          </w:rPr>
          <w:t>(一)、创新策略与方向</w:t>
        </w:r>
        <w:r>
          <w:tab/>
        </w:r>
        <w:r>
          <w:fldChar w:fldCharType="begin"/>
        </w:r>
        <w:r>
          <w:instrText xml:space="preserve"> PAGEREF _Toc10090 \h </w:instrText>
        </w:r>
        <w:r>
          <w:fldChar w:fldCharType="separate"/>
        </w:r>
        <w:r>
          <w:t>46</w:t>
        </w:r>
        <w:r>
          <w:fldChar w:fldCharType="end"/>
        </w:r>
      </w:hyperlink>
    </w:p>
    <w:p>
      <w:pPr>
        <w:pStyle w:val="TOC2"/>
        <w:tabs>
          <w:tab w:val="right" w:leader="dot" w:pos="8306"/>
        </w:tabs>
      </w:pPr>
      <w:hyperlink w:anchor="_Toc19814" w:history="1">
        <w:r>
          <w:rPr>
            <w:rFonts w:ascii="仿宋" w:eastAsia="仿宋" w:hAnsi="仿宋" w:cs="仿宋" w:hint="eastAsia"/>
            <w:lang w:eastAsia="zh-CN"/>
          </w:rPr>
          <w:t>(二)、研发规划与投入</w:t>
        </w:r>
        <w:r>
          <w:tab/>
        </w:r>
        <w:r>
          <w:fldChar w:fldCharType="begin"/>
        </w:r>
        <w:r>
          <w:instrText xml:space="preserve"> PAGEREF _Toc19814 \h </w:instrText>
        </w:r>
        <w:r>
          <w:fldChar w:fldCharType="separate"/>
        </w:r>
        <w:r>
          <w:t>48</w:t>
        </w:r>
        <w:r>
          <w:fldChar w:fldCharType="end"/>
        </w:r>
      </w:hyperlink>
    </w:p>
    <w:p>
      <w:pPr>
        <w:pStyle w:val="TOC1"/>
        <w:tabs>
          <w:tab w:val="right" w:leader="dot" w:pos="8306"/>
        </w:tabs>
      </w:pPr>
      <w:hyperlink w:anchor="_Toc6230" w:history="1">
        <w:r>
          <w:rPr>
            <w:rFonts w:ascii="仿宋" w:eastAsia="仿宋" w:hAnsi="仿宋" w:cs="仿宋" w:hint="eastAsia"/>
            <w:lang w:eastAsia="zh-CN"/>
          </w:rPr>
          <w:t>十二、肥皂及合成洗涤剂项目计划安排</w:t>
        </w:r>
        <w:r>
          <w:tab/>
        </w:r>
        <w:r>
          <w:fldChar w:fldCharType="begin"/>
        </w:r>
        <w:r>
          <w:instrText xml:space="preserve"> PAGEREF _Toc6230 \h </w:instrText>
        </w:r>
        <w:r>
          <w:fldChar w:fldCharType="separate"/>
        </w:r>
        <w:r>
          <w:t>50</w:t>
        </w:r>
        <w:r>
          <w:fldChar w:fldCharType="end"/>
        </w:r>
      </w:hyperlink>
    </w:p>
    <w:p>
      <w:pPr>
        <w:pStyle w:val="TOC2"/>
        <w:tabs>
          <w:tab w:val="right" w:leader="dot" w:pos="8306"/>
        </w:tabs>
      </w:pPr>
      <w:hyperlink w:anchor="_Toc31052" w:history="1">
        <w:r>
          <w:rPr>
            <w:rFonts w:ascii="仿宋" w:eastAsia="仿宋" w:hAnsi="仿宋" w:cs="仿宋" w:hint="eastAsia"/>
            <w:lang w:eastAsia="zh-CN"/>
          </w:rPr>
          <w:t>(一)、建设周期</w:t>
        </w:r>
        <w:r>
          <w:tab/>
        </w:r>
        <w:r>
          <w:fldChar w:fldCharType="begin"/>
        </w:r>
        <w:r>
          <w:instrText xml:space="preserve"> PAGEREF _Toc31052 \h </w:instrText>
        </w:r>
        <w:r>
          <w:fldChar w:fldCharType="separate"/>
        </w:r>
        <w:r>
          <w:t>50</w:t>
        </w:r>
        <w:r>
          <w:fldChar w:fldCharType="end"/>
        </w:r>
      </w:hyperlink>
    </w:p>
    <w:p>
      <w:pPr>
        <w:pStyle w:val="TOC2"/>
        <w:tabs>
          <w:tab w:val="right" w:leader="dot" w:pos="8306"/>
        </w:tabs>
      </w:pPr>
      <w:hyperlink w:anchor="_Toc26568" w:history="1">
        <w:r>
          <w:rPr>
            <w:rFonts w:ascii="仿宋" w:eastAsia="仿宋" w:hAnsi="仿宋" w:cs="仿宋" w:hint="eastAsia"/>
            <w:lang w:eastAsia="zh-CN"/>
          </w:rPr>
          <w:t>(二)、建设进度</w:t>
        </w:r>
        <w:r>
          <w:tab/>
        </w:r>
        <w:r>
          <w:fldChar w:fldCharType="begin"/>
        </w:r>
        <w:r>
          <w:instrText xml:space="preserve"> PAGEREF _Toc26568 \h </w:instrText>
        </w:r>
        <w:r>
          <w:fldChar w:fldCharType="separate"/>
        </w:r>
        <w:r>
          <w:t>51</w:t>
        </w:r>
        <w:r>
          <w:fldChar w:fldCharType="end"/>
        </w:r>
      </w:hyperlink>
    </w:p>
    <w:p>
      <w:pPr>
        <w:pStyle w:val="TOC2"/>
        <w:tabs>
          <w:tab w:val="right" w:leader="dot" w:pos="8306"/>
        </w:tabs>
      </w:pPr>
      <w:hyperlink w:anchor="_Toc9256" w:history="1">
        <w:r>
          <w:rPr>
            <w:rFonts w:ascii="仿宋" w:eastAsia="仿宋" w:hAnsi="仿宋" w:cs="仿宋" w:hint="eastAsia"/>
            <w:lang w:eastAsia="zh-CN"/>
          </w:rPr>
          <w:t>(三)、进度安排注意事项</w:t>
        </w:r>
        <w:r>
          <w:tab/>
        </w:r>
        <w:r>
          <w:fldChar w:fldCharType="begin"/>
        </w:r>
        <w:r>
          <w:instrText xml:space="preserve"> PAGEREF _Toc9256 \h </w:instrText>
        </w:r>
        <w:r>
          <w:fldChar w:fldCharType="separate"/>
        </w:r>
        <w:r>
          <w:t>52</w:t>
        </w:r>
        <w:r>
          <w:fldChar w:fldCharType="end"/>
        </w:r>
      </w:hyperlink>
    </w:p>
    <w:p>
      <w:pPr>
        <w:pStyle w:val="TOC2"/>
        <w:tabs>
          <w:tab w:val="right" w:leader="dot" w:pos="8306"/>
        </w:tabs>
      </w:pPr>
      <w:hyperlink w:anchor="_Toc25529" w:history="1">
        <w:r>
          <w:rPr>
            <w:rFonts w:ascii="仿宋" w:eastAsia="仿宋" w:hAnsi="仿宋" w:cs="仿宋" w:hint="eastAsia"/>
            <w:lang w:eastAsia="zh-CN"/>
          </w:rPr>
          <w:t>(四)、人力资源配置</w:t>
        </w:r>
        <w:r>
          <w:tab/>
        </w:r>
        <w:r>
          <w:fldChar w:fldCharType="begin"/>
        </w:r>
        <w:r>
          <w:instrText xml:space="preserve"> PAGEREF _Toc25529 \h </w:instrText>
        </w:r>
        <w:r>
          <w:fldChar w:fldCharType="separate"/>
        </w:r>
        <w:r>
          <w:t>53</w:t>
        </w:r>
        <w:r>
          <w:fldChar w:fldCharType="end"/>
        </w:r>
      </w:hyperlink>
    </w:p>
    <w:p>
      <w:pPr>
        <w:pStyle w:val="TOC1"/>
        <w:tabs>
          <w:tab w:val="right" w:leader="dot" w:pos="8306"/>
        </w:tabs>
      </w:pPr>
      <w:hyperlink w:anchor="_Toc25191" w:history="1">
        <w:r>
          <w:rPr>
            <w:rFonts w:ascii="仿宋" w:eastAsia="仿宋" w:hAnsi="仿宋" w:cs="仿宋" w:hint="eastAsia"/>
            <w:lang w:eastAsia="zh-CN"/>
          </w:rPr>
          <w:t>十三、肥皂及合成洗涤剂项目实施时间节点</w:t>
        </w:r>
        <w:r>
          <w:tab/>
        </w:r>
        <w:r>
          <w:fldChar w:fldCharType="begin"/>
        </w:r>
        <w:r>
          <w:instrText xml:space="preserve"> PAGEREF _Toc25191 \h </w:instrText>
        </w:r>
        <w:r>
          <w:fldChar w:fldCharType="separate"/>
        </w:r>
        <w:r>
          <w:t>54</w:t>
        </w:r>
        <w:r>
          <w:fldChar w:fldCharType="end"/>
        </w:r>
      </w:hyperlink>
    </w:p>
    <w:p>
      <w:pPr>
        <w:pStyle w:val="TOC2"/>
        <w:tabs>
          <w:tab w:val="right" w:leader="dot" w:pos="8306"/>
        </w:tabs>
      </w:pPr>
      <w:hyperlink w:anchor="_Toc7150" w:history="1">
        <w:r>
          <w:rPr>
            <w:rFonts w:ascii="仿宋" w:eastAsia="仿宋" w:hAnsi="仿宋" w:cs="仿宋" w:hint="eastAsia"/>
            <w:lang w:eastAsia="zh-CN"/>
          </w:rPr>
          <w:t>(一)、肥皂及合成洗涤剂项目启动阶段时间节点</w:t>
        </w:r>
        <w:r>
          <w:tab/>
        </w:r>
        <w:r>
          <w:fldChar w:fldCharType="begin"/>
        </w:r>
        <w:r>
          <w:instrText xml:space="preserve"> PAGEREF _Toc7150 \h </w:instrText>
        </w:r>
        <w:r>
          <w:fldChar w:fldCharType="separate"/>
        </w:r>
        <w:r>
          <w:t>54</w:t>
        </w:r>
        <w:r>
          <w:fldChar w:fldCharType="end"/>
        </w:r>
      </w:hyperlink>
    </w:p>
    <w:p>
      <w:pPr>
        <w:pStyle w:val="TOC2"/>
        <w:tabs>
          <w:tab w:val="right" w:leader="dot" w:pos="8306"/>
        </w:tabs>
      </w:pPr>
      <w:hyperlink w:anchor="_Toc17813" w:history="1">
        <w:r>
          <w:rPr>
            <w:rFonts w:ascii="仿宋" w:eastAsia="仿宋" w:hAnsi="仿宋" w:cs="仿宋" w:hint="eastAsia"/>
            <w:lang w:eastAsia="zh-CN"/>
          </w:rPr>
          <w:t>(二)、肥皂及合成洗涤剂项目执行阶段时间节点</w:t>
        </w:r>
        <w:r>
          <w:tab/>
        </w:r>
        <w:r>
          <w:fldChar w:fldCharType="begin"/>
        </w:r>
        <w:r>
          <w:instrText xml:space="preserve"> PAGEREF _Toc17813 \h </w:instrText>
        </w:r>
        <w:r>
          <w:fldChar w:fldCharType="separate"/>
        </w:r>
        <w:r>
          <w:t>55</w:t>
        </w:r>
        <w:r>
          <w:fldChar w:fldCharType="end"/>
        </w:r>
      </w:hyperlink>
    </w:p>
    <w:p>
      <w:pPr>
        <w:pStyle w:val="TOC2"/>
        <w:tabs>
          <w:tab w:val="right" w:leader="dot" w:pos="8306"/>
        </w:tabs>
      </w:pPr>
      <w:hyperlink w:anchor="_Toc8474" w:history="1">
        <w:r>
          <w:rPr>
            <w:rFonts w:ascii="仿宋" w:eastAsia="仿宋" w:hAnsi="仿宋" w:cs="仿宋" w:hint="eastAsia"/>
            <w:lang w:eastAsia="zh-CN"/>
          </w:rPr>
          <w:t>(三)、肥皂及合成洗涤剂项目完成阶段时间节点</w:t>
        </w:r>
        <w:r>
          <w:tab/>
        </w:r>
        <w:r>
          <w:fldChar w:fldCharType="begin"/>
        </w:r>
        <w:r>
          <w:instrText xml:space="preserve"> PAGEREF _Toc8474 \h </w:instrText>
        </w:r>
        <w:r>
          <w:fldChar w:fldCharType="separate"/>
        </w:r>
        <w:r>
          <w:t>56</w:t>
        </w:r>
        <w:r>
          <w:fldChar w:fldCharType="end"/>
        </w:r>
      </w:hyperlink>
    </w:p>
    <w:p>
      <w:pPr>
        <w:pStyle w:val="TOC1"/>
        <w:tabs>
          <w:tab w:val="right" w:leader="dot" w:pos="8306"/>
        </w:tabs>
      </w:pPr>
      <w:hyperlink w:anchor="_Toc13201" w:history="1">
        <w:r>
          <w:rPr>
            <w:rFonts w:ascii="仿宋" w:eastAsia="仿宋" w:hAnsi="仿宋" w:cs="仿宋" w:hint="eastAsia"/>
            <w:lang w:eastAsia="zh-CN"/>
          </w:rPr>
          <w:t>十四、肥皂及合成洗涤剂项目工程方案分析</w:t>
        </w:r>
        <w:r>
          <w:tab/>
        </w:r>
        <w:r>
          <w:fldChar w:fldCharType="begin"/>
        </w:r>
        <w:r>
          <w:instrText xml:space="preserve"> PAGEREF _Toc13201 \h </w:instrText>
        </w:r>
        <w:r>
          <w:fldChar w:fldCharType="separate"/>
        </w:r>
        <w:r>
          <w:t>57</w:t>
        </w:r>
        <w:r>
          <w:fldChar w:fldCharType="end"/>
        </w:r>
      </w:hyperlink>
    </w:p>
    <w:p>
      <w:pPr>
        <w:pStyle w:val="TOC2"/>
        <w:tabs>
          <w:tab w:val="right" w:leader="dot" w:pos="8306"/>
        </w:tabs>
      </w:pPr>
      <w:hyperlink w:anchor="_Toc16843" w:history="1">
        <w:r>
          <w:rPr>
            <w:rFonts w:ascii="仿宋" w:eastAsia="仿宋" w:hAnsi="仿宋" w:cs="仿宋" w:hint="eastAsia"/>
            <w:lang w:eastAsia="zh-CN"/>
          </w:rPr>
          <w:t>(一)、建筑工程设计原则</w:t>
        </w:r>
        <w:r>
          <w:tab/>
        </w:r>
        <w:r>
          <w:fldChar w:fldCharType="begin"/>
        </w:r>
        <w:r>
          <w:instrText xml:space="preserve"> PAGEREF _Toc16843 \h </w:instrText>
        </w:r>
        <w:r>
          <w:fldChar w:fldCharType="separate"/>
        </w:r>
        <w:r>
          <w:t>57</w:t>
        </w:r>
        <w:r>
          <w:fldChar w:fldCharType="end"/>
        </w:r>
      </w:hyperlink>
    </w:p>
    <w:p>
      <w:pPr>
        <w:pStyle w:val="TOC2"/>
        <w:tabs>
          <w:tab w:val="right" w:leader="dot" w:pos="8306"/>
        </w:tabs>
      </w:pPr>
      <w:hyperlink w:anchor="_Toc26668" w:history="1">
        <w:r>
          <w:rPr>
            <w:rFonts w:ascii="仿宋" w:eastAsia="仿宋" w:hAnsi="仿宋" w:cs="仿宋" w:hint="eastAsia"/>
            <w:lang w:eastAsia="zh-CN"/>
          </w:rPr>
          <w:t>(二)、土建工程建设指标</w:t>
        </w:r>
        <w:r>
          <w:tab/>
        </w:r>
        <w:r>
          <w:fldChar w:fldCharType="begin"/>
        </w:r>
        <w:r>
          <w:instrText xml:space="preserve"> PAGEREF _Toc26668 \h </w:instrText>
        </w:r>
        <w:r>
          <w:fldChar w:fldCharType="separate"/>
        </w:r>
        <w:r>
          <w:t>61</w:t>
        </w:r>
        <w:r>
          <w:fldChar w:fldCharType="end"/>
        </w:r>
      </w:hyperlink>
    </w:p>
    <w:p>
      <w:pPr>
        <w:pStyle w:val="TOC1"/>
        <w:tabs>
          <w:tab w:val="right" w:leader="dot" w:pos="8306"/>
        </w:tabs>
      </w:pPr>
      <w:hyperlink w:anchor="_Toc23559" w:history="1">
        <w:r>
          <w:rPr>
            <w:rFonts w:ascii="仿宋" w:eastAsia="仿宋" w:hAnsi="仿宋" w:cs="仿宋" w:hint="eastAsia"/>
            <w:lang w:eastAsia="zh-CN"/>
          </w:rPr>
          <w:t>十五、营销与推广策略</w:t>
        </w:r>
        <w:r>
          <w:tab/>
        </w:r>
        <w:r>
          <w:fldChar w:fldCharType="begin"/>
        </w:r>
        <w:r>
          <w:instrText xml:space="preserve"> PAGEREF _Toc23559 \h </w:instrText>
        </w:r>
        <w:r>
          <w:fldChar w:fldCharType="separate"/>
        </w:r>
        <w:r>
          <w:t>62</w:t>
        </w:r>
        <w:r>
          <w:fldChar w:fldCharType="end"/>
        </w:r>
      </w:hyperlink>
    </w:p>
    <w:p>
      <w:pPr>
        <w:pStyle w:val="TOC2"/>
        <w:tabs>
          <w:tab w:val="right" w:leader="dot" w:pos="8306"/>
        </w:tabs>
      </w:pPr>
      <w:hyperlink w:anchor="_Toc31983" w:history="1">
        <w:r>
          <w:rPr>
            <w:rFonts w:ascii="仿宋" w:eastAsia="仿宋" w:hAnsi="仿宋" w:cs="仿宋" w:hint="eastAsia"/>
            <w:lang w:eastAsia="zh-CN"/>
          </w:rPr>
          <w:t>(一)、产品/服务定位与特点</w:t>
        </w:r>
        <w:r>
          <w:tab/>
        </w:r>
        <w:r>
          <w:fldChar w:fldCharType="begin"/>
        </w:r>
        <w:r>
          <w:instrText xml:space="preserve"> PAGEREF _Toc31983 \h </w:instrText>
        </w:r>
        <w:r>
          <w:fldChar w:fldCharType="separate"/>
        </w:r>
        <w:r>
          <w:t>62</w:t>
        </w:r>
        <w:r>
          <w:fldChar w:fldCharType="end"/>
        </w:r>
      </w:hyperlink>
    </w:p>
    <w:p>
      <w:pPr>
        <w:pStyle w:val="TOC2"/>
        <w:tabs>
          <w:tab w:val="right" w:leader="dot" w:pos="8306"/>
        </w:tabs>
      </w:pPr>
      <w:hyperlink w:anchor="_Toc20610" w:history="1">
        <w:r>
          <w:rPr>
            <w:rFonts w:ascii="仿宋" w:eastAsia="仿宋" w:hAnsi="仿宋" w:cs="仿宋" w:hint="eastAsia"/>
            <w:lang w:eastAsia="zh-CN"/>
          </w:rPr>
          <w:t>(二)、市场定位与竞争分析</w:t>
        </w:r>
        <w:r>
          <w:tab/>
        </w:r>
        <w:r>
          <w:fldChar w:fldCharType="begin"/>
        </w:r>
        <w:r>
          <w:instrText xml:space="preserve"> PAGEREF _Toc20610 \h </w:instrText>
        </w:r>
        <w:r>
          <w:fldChar w:fldCharType="separate"/>
        </w:r>
        <w:r>
          <w:t>64</w:t>
        </w:r>
        <w:r>
          <w:fldChar w:fldCharType="end"/>
        </w:r>
      </w:hyperlink>
    </w:p>
    <w:p>
      <w:pPr>
        <w:pStyle w:val="TOC2"/>
        <w:tabs>
          <w:tab w:val="right" w:leader="dot" w:pos="8306"/>
        </w:tabs>
      </w:pPr>
      <w:hyperlink w:anchor="_Toc28632" w:history="1">
        <w:r>
          <w:rPr>
            <w:rFonts w:ascii="仿宋" w:eastAsia="仿宋" w:hAnsi="仿宋" w:cs="仿宋" w:hint="eastAsia"/>
            <w:lang w:eastAsia="zh-CN"/>
          </w:rPr>
          <w:t>(三)、营销渠道与策略</w:t>
        </w:r>
        <w:r>
          <w:tab/>
        </w:r>
        <w:r>
          <w:fldChar w:fldCharType="begin"/>
        </w:r>
        <w:r>
          <w:instrText xml:space="preserve"> PAGEREF _Toc28632 \h </w:instrText>
        </w:r>
        <w:r>
          <w:fldChar w:fldCharType="separate"/>
        </w:r>
        <w:r>
          <w:t>65</w:t>
        </w:r>
        <w:r>
          <w:fldChar w:fldCharType="end"/>
        </w:r>
      </w:hyperlink>
    </w:p>
    <w:p>
      <w:pPr>
        <w:pStyle w:val="TOC2"/>
        <w:tabs>
          <w:tab w:val="right" w:leader="dot" w:pos="8306"/>
        </w:tabs>
      </w:pPr>
      <w:hyperlink w:anchor="_Toc19667" w:history="1">
        <w:r>
          <w:rPr>
            <w:rFonts w:ascii="仿宋" w:eastAsia="仿宋" w:hAnsi="仿宋" w:cs="仿宋" w:hint="eastAsia"/>
            <w:lang w:eastAsia="zh-CN"/>
          </w:rPr>
          <w:t>(四)、推广与宣传活动</w:t>
        </w:r>
        <w:r>
          <w:tab/>
        </w:r>
        <w:r>
          <w:fldChar w:fldCharType="begin"/>
        </w:r>
        <w:r>
          <w:instrText xml:space="preserve"> PAGEREF _Toc19667 \h </w:instrText>
        </w:r>
        <w:r>
          <w:fldChar w:fldCharType="separate"/>
        </w:r>
        <w:r>
          <w:t>66</w:t>
        </w:r>
        <w:r>
          <w:fldChar w:fldCharType="end"/>
        </w:r>
      </w:hyperlink>
    </w:p>
    <w:p>
      <w:pPr>
        <w:pStyle w:val="TOC1"/>
        <w:tabs>
          <w:tab w:val="right" w:leader="dot" w:pos="8306"/>
        </w:tabs>
      </w:pPr>
      <w:hyperlink w:anchor="_Toc10584" w:history="1">
        <w:r>
          <w:rPr>
            <w:rFonts w:ascii="仿宋" w:eastAsia="仿宋" w:hAnsi="仿宋" w:cs="仿宋" w:hint="eastAsia"/>
            <w:lang w:eastAsia="zh-CN"/>
          </w:rPr>
          <w:t>十六、肥皂及合成洗涤剂项目实施保障措施</w:t>
        </w:r>
        <w:r>
          <w:tab/>
        </w:r>
        <w:r>
          <w:fldChar w:fldCharType="begin"/>
        </w:r>
        <w:r>
          <w:instrText xml:space="preserve"> PAGEREF _Toc10584 \h </w:instrText>
        </w:r>
        <w:r>
          <w:fldChar w:fldCharType="separate"/>
        </w:r>
        <w:r>
          <w:t>72</w:t>
        </w:r>
        <w:r>
          <w:fldChar w:fldCharType="end"/>
        </w:r>
      </w:hyperlink>
    </w:p>
    <w:p>
      <w:pPr>
        <w:pStyle w:val="TOC2"/>
        <w:tabs>
          <w:tab w:val="right" w:leader="dot" w:pos="8306"/>
        </w:tabs>
      </w:pPr>
      <w:hyperlink w:anchor="_Toc3098" w:history="1">
        <w:r>
          <w:rPr>
            <w:rFonts w:ascii="仿宋" w:eastAsia="仿宋" w:hAnsi="仿宋" w:cs="仿宋" w:hint="eastAsia"/>
            <w:lang w:eastAsia="zh-CN"/>
          </w:rPr>
          <w:t>(一)、肥皂及合成洗涤剂项目实施保障机制</w:t>
        </w:r>
        <w:r>
          <w:tab/>
        </w:r>
        <w:r>
          <w:fldChar w:fldCharType="begin"/>
        </w:r>
        <w:r>
          <w:instrText xml:space="preserve"> PAGEREF _Toc3098 \h </w:instrText>
        </w:r>
        <w:r>
          <w:fldChar w:fldCharType="separate"/>
        </w:r>
        <w:r>
          <w:t>72</w:t>
        </w:r>
        <w:r>
          <w:fldChar w:fldCharType="end"/>
        </w:r>
      </w:hyperlink>
    </w:p>
    <w:p>
      <w:pPr>
        <w:pStyle w:val="TOC2"/>
        <w:tabs>
          <w:tab w:val="right" w:leader="dot" w:pos="8306"/>
        </w:tabs>
      </w:pPr>
      <w:hyperlink w:anchor="_Toc17104" w:history="1">
        <w:r>
          <w:rPr>
            <w:rFonts w:ascii="仿宋" w:eastAsia="仿宋" w:hAnsi="仿宋" w:cs="仿宋" w:hint="eastAsia"/>
            <w:lang w:eastAsia="zh-CN"/>
          </w:rPr>
          <w:t>(二)、肥皂及合成洗涤剂项目法律合规要求</w:t>
        </w:r>
        <w:r>
          <w:tab/>
        </w:r>
        <w:r>
          <w:fldChar w:fldCharType="begin"/>
        </w:r>
        <w:r>
          <w:instrText xml:space="preserve"> PAGEREF _Toc17104 \h </w:instrText>
        </w:r>
        <w:r>
          <w:fldChar w:fldCharType="separate"/>
        </w:r>
        <w:r>
          <w:t>75</w:t>
        </w:r>
        <w:r>
          <w:fldChar w:fldCharType="end"/>
        </w:r>
      </w:hyperlink>
    </w:p>
    <w:p>
      <w:pPr>
        <w:pStyle w:val="TOC2"/>
        <w:tabs>
          <w:tab w:val="right" w:leader="dot" w:pos="8306"/>
        </w:tabs>
      </w:pPr>
      <w:hyperlink w:anchor="_Toc27113" w:history="1">
        <w:r>
          <w:rPr>
            <w:rFonts w:ascii="仿宋" w:eastAsia="仿宋" w:hAnsi="仿宋" w:cs="仿宋" w:hint="eastAsia"/>
            <w:lang w:eastAsia="zh-CN"/>
          </w:rPr>
          <w:t>(三)、肥皂及合成洗涤剂项目合同管理与法律事务</w:t>
        </w:r>
        <w:r>
          <w:tab/>
        </w:r>
        <w:r>
          <w:fldChar w:fldCharType="begin"/>
        </w:r>
        <w:r>
          <w:instrText xml:space="preserve"> PAGEREF _Toc27113 \h </w:instrText>
        </w:r>
        <w:r>
          <w:fldChar w:fldCharType="separate"/>
        </w:r>
        <w:r>
          <w:t>80</w:t>
        </w:r>
        <w:r>
          <w:fldChar w:fldCharType="end"/>
        </w:r>
      </w:hyperlink>
    </w:p>
    <w:p>
      <w:pPr>
        <w:pStyle w:val="TOC2"/>
        <w:tabs>
          <w:tab w:val="right" w:leader="dot" w:pos="8306"/>
        </w:tabs>
      </w:pPr>
      <w:hyperlink w:anchor="_Toc6749" w:history="1">
        <w:r>
          <w:rPr>
            <w:rFonts w:ascii="仿宋" w:eastAsia="仿宋" w:hAnsi="仿宋" w:cs="仿宋" w:hint="eastAsia"/>
            <w:lang w:eastAsia="zh-CN"/>
          </w:rPr>
          <w:t>(四)、肥皂及合成洗涤剂项目知识产权保护策略</w:t>
        </w:r>
        <w:r>
          <w:tab/>
        </w:r>
        <w:r>
          <w:fldChar w:fldCharType="begin"/>
        </w:r>
        <w:r>
          <w:instrText xml:space="preserve"> PAGEREF _Toc6749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498"/>
      <w:r>
        <w:rPr>
          <w:rFonts w:ascii="仿宋" w:eastAsia="仿宋" w:hAnsi="仿宋" w:cs="仿宋" w:hint="eastAsia"/>
          <w:sz w:val="28"/>
          <w:lang w:eastAsia="zh-CN"/>
        </w:rPr>
        <w:t>一、肥皂及合成洗涤剂项目建设单位说明</w:t>
      </w:r>
      <w:bookmarkEnd w:id="2"/>
    </w:p>
    <w:p>
      <w:pPr>
        <w:pStyle w:val="Heading2"/>
        <w:rPr>
          <w:rFonts w:ascii="仿宋" w:eastAsia="仿宋" w:hAnsi="仿宋" w:cs="仿宋" w:hint="eastAsia"/>
          <w:lang w:eastAsia="zh-CN"/>
        </w:rPr>
      </w:pPr>
      <w:bookmarkStart w:id="3" w:name="_Toc11183"/>
      <w:r>
        <w:rPr>
          <w:rFonts w:ascii="仿宋" w:eastAsia="仿宋" w:hAnsi="仿宋" w:cs="仿宋" w:hint="eastAsia"/>
          <w:lang w:eastAsia="zh-CN"/>
        </w:rPr>
        <w:t>(一)、肥皂及合成洗涤剂项目承办单位基本情况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14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肥皂及合成洗涤剂项目承办单位的XXXX，我们着眼于实现可持续的经济效益。通过技术创新和解决方案的提供，公司预计在肥皂及合成洗涤剂项目执行期间将获得可观的收入增长。这一收入来源主要包括肥皂及合成洗涤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同时，我们注重成本控制和效率提升，以确保肥皂及合成洗涤剂项目的可持续盈利。透过精细的管理和资源优化，公司期望实现肥皂及合成洗涤剂项目利润最大化。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肥皂及合成洗涤剂项目实施进行全面的投资评估，包括肥皂及合成洗涤剂项目启动阶段的资金投入和后续运营成本。通过对肥皂及合成洗涤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肥皂及合成洗涤剂项目实施过程中具备足够的资金流动性，公司将进行详尽的现金流分析。这包括资金需求的合理预测、肥皂及合成洗涤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86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701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的技术管理特点体现在其创新导向。通过引入最先进的技术趋势和解决方案，肥皂及合成洗涤剂项目致力于提升科技含量、提高质量和效率水平。这意味着我们将采用最新的工具和方法，确保肥皂及合成洗涤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肥皂及合成洗涤剂项目技术管理的显著特征。通过整合不同领域的技术资源，我们实现了跨学科的协同工作。这有助于优化技术架构，提高整体效能。此外，整合性策略还促进了不同技术团队之间的紧密沟通和高效合作，确保肥皂及合成洗涤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肥皂及合成洗涤剂项目所采用的技术。通过不断优化技术方案，肥皂及合成洗涤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肥皂及合成洗涤剂项目团队将在肥皂及合成洗涤剂项目初期识别可能的技术风险，并采取相应的预防和应对措施。通过建立健全的风险评估机制，肥皂及合成洗涤剂项目能够在实施过程中及时发现并解决潜在的技术问题，保障肥皂及合成洗涤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肥皂及合成洗涤剂项目中，技术将成为肥皂及合成洗涤剂项目成功的有力支持。这一深度剖析揭示了技术管理在肥皂及合成洗涤剂项目实施中的关键作用，为肥皂及合成洗涤剂项目的技术基础奠定了坚实的基础。</w:t>
      </w:r>
    </w:p>
    <w:p>
      <w:pPr>
        <w:pStyle w:val="Heading2"/>
        <w:ind w:firstLine="560" w:firstLineChars="200"/>
        <w:rPr>
          <w:rFonts w:ascii="仿宋" w:eastAsia="仿宋" w:hAnsi="仿宋" w:cs="仿宋" w:hint="eastAsia"/>
          <w:sz w:val="28"/>
          <w:lang w:eastAsia="zh-CN"/>
        </w:rPr>
      </w:pPr>
      <w:bookmarkStart w:id="7" w:name="_Toc24171"/>
      <w:r>
        <w:rPr>
          <w:rFonts w:ascii="仿宋" w:eastAsia="仿宋" w:hAnsi="仿宋" w:cs="仿宋" w:hint="eastAsia"/>
          <w:sz w:val="28"/>
          <w:lang w:eastAsia="zh-CN"/>
        </w:rPr>
        <w:t>(二)、肥皂及合成洗涤剂项目工艺技术设计方案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肥皂及合成洗涤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肥皂及合成洗涤剂项目将严格按照相关行业规范要求进行组织。通过有效控制产品质量，肥皂及合成洗涤剂项目将致力于为顾客提供优质的肥皂及合成洗涤剂项目产品和良好的服务。这体现了肥皂及合成洗涤剂项目对于生产活动合规性和质量标准的高度重视，为肥皂及合成洗涤剂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肥皂及合成洗涤剂项目注重生态效益和清洁生产原则。肥皂及合成洗涤剂项目建设将紧密结合地方特色经济发展，与社会经济发展规划和区域环境保护规划方案相协调一致。通过与当地区域自然生态系统的结合，肥皂及合成洗涤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肥皂及合成洗涤剂项目产品具有多样化的客户需求和个性化的特点。因此，肥皂及合成洗涤剂项目产品规格品种多样，且单批生产数量较小。为满足这一特点，肥皂及合成洗涤剂项目承办单位将建设先进的柔性制造生产线。通过广泛应用柔性制造技术，肥皂及合成洗涤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肥皂及合成洗涤剂项目采用的技术具有较高的技术含量和自动化水平，处于国内先进水平。这一技术选用不仅体现了对生产效率、质量和环境友好性的高标准要求，同时为肥皂及合成洗涤剂项目的可持续发展奠定了坚实的基础。</w:t>
      </w:r>
    </w:p>
    <w:p>
      <w:pPr>
        <w:pStyle w:val="Heading2"/>
        <w:ind w:firstLine="560" w:firstLineChars="200"/>
        <w:rPr>
          <w:rFonts w:ascii="仿宋" w:eastAsia="仿宋" w:hAnsi="仿宋" w:cs="仿宋" w:hint="eastAsia"/>
          <w:sz w:val="28"/>
          <w:lang w:eastAsia="zh-CN"/>
        </w:rPr>
      </w:pPr>
      <w:bookmarkStart w:id="8" w:name="_Toc3228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为确保肥皂及合成洗涤剂项目的高效生产和技术实施，我们制定了一套精心设计的设备选型方案，以满足肥皂及合成洗涤剂项目生产、质量和环保的要求。该方案的主要特点如下：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肥皂及合成洗涤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针对肥皂及合成洗涤剂项目产品的多样性和小批量生产的特点，我们将建设柔性制造生产线。通过在设备选型中考虑柔性制造技术，可以灵活应对不同产品规格和生产需求，实现生产线的高度灵活性和适应性。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7794"/>
      <w:r>
        <w:rPr>
          <w:rFonts w:ascii="仿宋" w:eastAsia="仿宋" w:hAnsi="仿宋" w:cs="仿宋" w:hint="eastAsia"/>
          <w:sz w:val="28"/>
          <w:lang w:eastAsia="zh-CN"/>
        </w:rPr>
        <w:t>三、肥皂及合成洗涤剂项目绩效评估</w:t>
      </w:r>
      <w:bookmarkEnd w:id="9"/>
    </w:p>
    <w:p>
      <w:pPr>
        <w:pStyle w:val="Heading2"/>
        <w:rPr>
          <w:rFonts w:ascii="仿宋" w:eastAsia="仿宋" w:hAnsi="仿宋" w:cs="仿宋" w:hint="eastAsia"/>
          <w:lang w:eastAsia="zh-CN"/>
        </w:rPr>
      </w:pPr>
      <w:bookmarkStart w:id="10" w:name="_Toc21030"/>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肥皂及合成洗涤剂项目中，我们设计了一套全面的绩效评估指标，以确保肥皂及合成洗涤剂项目的可控和成功交付。这些指标跨足肥皂及合成洗涤剂项目目标、成本、进度和质量等多个维度，为我们提供了全面洞察肥皂及合成洗涤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目标达成率是我们关注的首要指标。我们设定了明确的目标，并通过定期监测和评估，迅速发现并应对潜在的目标偏差。这为肥皂及合成洗涤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成本绩效是另一个核心关注点。通过实际成本与预算成本的对比分析，我们深入了解成本差异的原因，及时调整资源分配，保持肥皂及合成洗涤剂项目在经济效益方面的合理水平。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肥皂及合成洗涤剂项目进度作为关键的绩效指标之一，得到了精心的关注。我们制定了详细的肥皂及合成洗涤剂项目进度计划，并设立了进度符合度指标，确保实际进度与计划进度保持一致。这使我们能够快速发现和解决潜在的进度问题，保持肥皂及合成洗涤剂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肥皂及合成洗涤剂项目绩效的不可或缺的一环。我们引入了一系列的质量标准和客户满意度指标，以确保肥皂及合成洗涤剂项目交付的成果在质量上达到或超越预期水平。通过持续监测这些指标，我们努力提升肥皂及合成洗涤剂项目整体质量水平，为肥皂及合成洗涤剂项目的成功交付提供有力保障。通过这些科学且全面的绩效评估，我们能够更好地引导肥皂及合成洗涤剂项目的持续改进，确保肥皂及合成洗涤剂项目目标的顺利达成。</w:t>
      </w:r>
    </w:p>
    <w:p>
      <w:pPr>
        <w:pStyle w:val="Heading2"/>
        <w:ind w:firstLine="560" w:firstLineChars="200"/>
        <w:rPr>
          <w:rFonts w:ascii="仿宋" w:eastAsia="仿宋" w:hAnsi="仿宋" w:cs="仿宋" w:hint="eastAsia"/>
          <w:sz w:val="28"/>
          <w:lang w:eastAsia="zh-CN"/>
        </w:rPr>
      </w:pPr>
      <w:bookmarkStart w:id="11" w:name="_Toc19"/>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绩效评估是肥皂及合成洗涤剂项目中的关键环节，为确保肥皂及合成洗涤剂项目达到预期目标，我们采用了多层次、多维度的绩效评估方法。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肥皂及合成洗涤剂项目的战略目标对齐，确保每个决策和行动都与肥皂及合成洗涤剂项目整体目标保持一致。团队会定期召开战略对齐会议，审视当前工作与肥皂及合成洗涤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肥皂及合成洗涤剂项目进度、质量、成本和风险等方面。这些指标通过数据收集和分析，为肥皂及合成洗涤剂项目管理团队提供了客观的评估依据。例如，我们通过肥皂及合成洗涤剂项目管理软件追踪进度，使用成本绩效分析（CPI）评估成本控制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不仅仅停留在肥皂及合成洗涤剂项目内部，还考虑了肥皂及合成洗涤剂项目对外部环境的影响。我们定期进行干系人满意度调查，以了解各利益相关方对肥皂及合成洗涤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这种多层次、多角度的绩效评估方法，使得我们能够全面了解肥皂及合成洗涤剂项目的运行状态，及时做出调整，确保肥皂及合成洗涤剂项目在不断变化的环境中保持稳健前行。</w:t>
      </w:r>
    </w:p>
    <w:p>
      <w:pPr>
        <w:pStyle w:val="Heading2"/>
        <w:ind w:firstLine="560" w:firstLineChars="200"/>
        <w:rPr>
          <w:rFonts w:ascii="仿宋" w:eastAsia="仿宋" w:hAnsi="仿宋" w:cs="仿宋" w:hint="eastAsia"/>
          <w:sz w:val="28"/>
          <w:lang w:eastAsia="zh-CN"/>
        </w:rPr>
      </w:pPr>
      <w:bookmarkStart w:id="12" w:name="_Toc17828"/>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为了确保肥皂及合成洗涤剂项目的有效管理和不断优化，我们采用了精心设计的绩效评估周期。这个周期旨在实现灵活、实时和全面的评估，以适应肥皂及合成洗涤剂项目执行中的各种挑战。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肥皂及合成洗涤剂项目的不同需求，分为短期、中期和长期。短期评估关注每个迭代或工作周期，以及时发现和解决当前任务中的问题。中期评估涵盖几个迭代，深入了解整体肥皂及合成洗涤剂项目的趋势和性能。长期评估则着眼于整个肥皂及合成洗涤剂项目阶段，确保肥皂及合成洗涤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肥皂及合成洗涤剂项目管理工具和协作平台，团队成员能够随时更新和分享肥皂及合成洗涤剂项目数据。这种实时性的反馈机制使我们能够及时察觉潜在问题，快速调整，保持肥皂及合成洗涤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肥皂及合成洗涤剂项目的决策制定密不可分。每个周期的肥皂及合成洗涤剂项目回顾会议成为集体总结经验、识别问题深层次原因并找到创新解决方案的平台。这种定期的反思与调整机制使肥皂及合成洗涤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8328"/>
      <w:r>
        <w:rPr>
          <w:rFonts w:ascii="仿宋" w:eastAsia="仿宋" w:hAnsi="仿宋" w:cs="仿宋" w:hint="eastAsia"/>
          <w:sz w:val="28"/>
          <w:lang w:eastAsia="zh-CN"/>
        </w:rPr>
        <w:t>四、肥皂及合成洗涤剂项目危机管理</w:t>
      </w:r>
      <w:bookmarkEnd w:id="13"/>
    </w:p>
    <w:p>
      <w:pPr>
        <w:pStyle w:val="Heading2"/>
        <w:rPr>
          <w:rFonts w:ascii="仿宋" w:eastAsia="仿宋" w:hAnsi="仿宋" w:cs="仿宋" w:hint="eastAsia"/>
          <w:lang w:eastAsia="zh-CN"/>
        </w:rPr>
      </w:pPr>
      <w:bookmarkStart w:id="14" w:name="_Toc18358"/>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肥皂及合成洗涤剂项目危机管理中，危机预警与识别是确保肥皂及合成洗涤剂项目稳健运行的核心步骤。通过建立全面的监测机制，肥皂及合成洗涤剂项目团队旨在及时发现和理解潜在的风险和危机因素，以便采取及时的预防和应对措施，确保肥皂及合成洗涤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肥皂及合成洗涤剂项目团队全面分析了整个肥皂及合成洗涤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肥皂及合成洗涤剂项目团队着重于明确定义肥皂及合成洗涤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肥皂及合成洗涤剂项目进展的持续监控，团队能够及时发现潜在问题并作出迅速反应。肥皂及合成洗涤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在这一阶段，团队的专业素养和反应速度将发挥至关重要的作用，以确保潜在危机能够在初期得到有效的处理，最大程度地减轻负面影响。通过危机预警与识别，肥皂及合成洗涤剂项目得以更有序、可控地推进。</w:t>
      </w:r>
    </w:p>
    <w:p>
      <w:pPr>
        <w:pStyle w:val="Heading2"/>
        <w:ind w:firstLine="560" w:firstLineChars="200"/>
        <w:rPr>
          <w:rFonts w:ascii="仿宋" w:eastAsia="仿宋" w:hAnsi="仿宋" w:cs="仿宋" w:hint="eastAsia"/>
          <w:sz w:val="28"/>
          <w:lang w:eastAsia="zh-CN"/>
        </w:rPr>
      </w:pPr>
      <w:bookmarkStart w:id="15" w:name="_Toc31642"/>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在危机发生时，肥皂及合成洗涤剂项目团队立即行动，成立了应急小组。该小组的任务是迅速制定并实施紧急应对措施，以最小化潜在损失。以下是采取的主要措施：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暂停肥皂及合成洗涤剂项目进度：为遏制危机蔓延，肥皂及合成洗涤剂项目暂时停止进行，以便全面评估当前状况。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资源重新分配：重新评估肥皂及合成洗涤剂项目资源的分配，确保最大限度地减小损失。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实时沟通：与关键利益相关者建立实时沟通机制，向他们传递肥皂及合成洗涤剂项目危机的实际状况，保障肥皂及合成洗涤剂项目核心利益。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在紧急应对的同时，肥皂及合成洗涤剂项目团队强调了团队协作和有效沟通的重要性。以下是团队协作的关键举措：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信息共享机制：建立了信息共享平台，确保团队成员能够及时获取肥皂及合成洗涤剂项目危机的实时信息。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领导者沟通：肥皂及合成洗涤剂项目领导者通过定期会议和即时沟通工具，指导团队应对危机，保持团队稳定运行。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随着危机得到初步控制，肥皂及合成洗涤剂项目团队转向制定恢复计划，以确保肥皂及合成洗涤剂项目能够从中迅速恢复。主要恢复计划包括：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修复受损的进度计划：重新评估肥皂及合成洗涤剂项目进度，制定修复计划，确保肥皂及合成洗涤剂项目尽快回归正常进程。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重新调整资源分配：优化资源分配，确保肥皂及合成洗涤剂项目在有限资源下高效运转。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风险管理机制加强：对肥皂及合成洗涤剂项目风险进行全面评估，制定更强化的风险管理策略，以预防未来可能的危机。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2454"/>
      <w:r>
        <w:rPr>
          <w:rFonts w:ascii="仿宋" w:eastAsia="仿宋" w:hAnsi="仿宋" w:cs="仿宋" w:hint="eastAsia"/>
          <w:sz w:val="28"/>
          <w:lang w:eastAsia="zh-CN"/>
        </w:rPr>
        <w:t>五、肥皂及合成洗涤剂项目选址可行性分析</w:t>
      </w:r>
      <w:bookmarkEnd w:id="16"/>
    </w:p>
    <w:p>
      <w:pPr>
        <w:pStyle w:val="Heading2"/>
        <w:rPr>
          <w:rFonts w:ascii="仿宋" w:eastAsia="仿宋" w:hAnsi="仿宋" w:cs="仿宋" w:hint="eastAsia"/>
          <w:lang w:eastAsia="zh-CN"/>
        </w:rPr>
      </w:pPr>
      <w:bookmarkStart w:id="17" w:name="_Toc5892"/>
      <w:r>
        <w:rPr>
          <w:rFonts w:ascii="仿宋" w:eastAsia="仿宋" w:hAnsi="仿宋" w:cs="仿宋" w:hint="eastAsia"/>
          <w:lang w:eastAsia="zh-CN"/>
        </w:rPr>
        <w:t>(一)、肥皂及合成洗涤剂项目选址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该肥皂及合成洗涤剂项目选址位于XX省XX市XX区XXX街道</w:t>
      </w:r>
    </w:p>
    <w:p>
      <w:pPr>
        <w:pStyle w:val="Heading2"/>
        <w:ind w:firstLine="560" w:firstLineChars="200"/>
        <w:rPr>
          <w:rFonts w:ascii="仿宋" w:eastAsia="仿宋" w:hAnsi="仿宋" w:cs="仿宋" w:hint="eastAsia"/>
          <w:sz w:val="28"/>
          <w:lang w:eastAsia="zh-CN"/>
        </w:rPr>
      </w:pPr>
      <w:bookmarkStart w:id="18" w:name="_Toc11352"/>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肥皂及合成洗涤剂项目的征地面积将根据肥皂及合成洗涤剂项目的实际规模和需求进行精确规划。具体面积XXX平方米，旨在确保肥皂及合成洗涤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净用地面积是在征地面积基础上去除不可利用面积后的实际可开发用地。具体面积XXX平方米，考虑到环保、交通、安全等多方面因素，以确保肥皂及合成洗涤剂项目在整体利用效率上达到最优。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肥皂及合成洗涤剂项目计划建设的建筑总规模具体面积XXX平方米。这一规模的确定综合考虑了肥皂及合成洗涤剂项目的性质、规模，以及城市规划的相关要求，确保建筑布局与周边环境协调一致。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绿地率： 绿地率是肥皂及合成洗涤剂项目用地中被规划为绿地的比例。具体面积XXX平方米，旨在通过合理规划绿地，改善肥皂及合成洗涤剂项目周边环境，提升居民生活质量，并符合城市整体绿化规划。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容积率是用地上可以建设的建筑总体积与用地面积之比。具体面积XXX，通过合理的容积率规划，确保肥皂及合成洗涤剂项目建筑规模与周边环境和谐共生。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肥皂及合成洗涤剂项目选址与当地城市规划相一致，具体面积XXX平方米。通过与城市规划部门深入沟通，确保肥皂及合成洗涤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肥皂及合成洗涤剂项目选址符合当地产业政策，具体面积XXX平方米。这包括肥皂及合成洗涤剂项目对当地经济的促进作用，以及对相关产业的带动效应，确保肥皂及合成洗涤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用地总体要求必须符合环保和可持续发展的原则，具体面积XXX平方米。通过采用绿色建筑设计、节能减排等措施，确保肥皂及合成洗涤剂项目在建设和运营过程中对环境的影响最小化，达到可持续发展的要求。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确保肥皂及合成洗涤剂项目选址具备必要的公共设施配套，具体面积XXX平方米。这包括交通便利性、教育、医疗等基础设施，以提高居民生活品质，使得肥皂及合成洗涤剂项目选址更具吸引力。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考虑用地总体要求对当地社会稳定性的影响，具体面积XXX平方米。通过深入了解当地社区反馈，确保肥皂及合成洗涤剂项目的选址和建设过程对当地社会和谐稳定产生积极作用。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https://d.book118.com/057002120135006052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肥皂及合成洗涤剂项目规划设计方案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C962CD"/>
    <w:rsid w:val="28C962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7002120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2024-03-03T02:30:00Z</dcterms:created>
  <dcterms:modified xsi:type="dcterms:W3CDTF">2024-03-03T02:30:55Z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E02D241303054BED9F719E5286A2D3E6_11</vt:lpwstr>
  </property>
  <property fmtid="{D5CDD505-2E9C-101B-9397-08002B2CF9AE}" pid="3" name="KSOProductBuildVer">
    <vt:lpwstr>2052-12.1.0.16388</vt:lpwstr>
  </property>
</Properties>
</file>