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4271" w14:paraId="7C1C7CE1" w14:textId="77777777">
      <w:pPr>
        <w:spacing w:before="936" w:beforeLines="300" w:after="624" w:afterLines="200" w:line="360" w:lineRule="auto"/>
        <w:jc w:val="center"/>
        <w:rPr>
          <w:rFonts w:ascii="华文中宋" w:eastAsia="华文中宋" w:hAnsi="华文中宋"/>
          <w:sz w:val="44"/>
          <w:szCs w:val="44"/>
        </w:rPr>
        <w:sectPr>
          <w:footerReference w:type="default" r:id="rId6"/>
          <w:pgSz w:w="11906" w:h="16838"/>
          <w:pgMar w:top="1701" w:right="1701" w:bottom="1701" w:left="1701" w:header="851" w:footer="992" w:gutter="0"/>
          <w:pgNumType w:start="1"/>
          <w:cols w:space="425"/>
          <w:docGrid w:type="lines" w:linePitch="312"/>
        </w:sectPr>
      </w:pPr>
    </w:p>
    <w:p w:rsidR="00134271" w14:paraId="6BEFB3C1" w14:textId="77777777">
      <w:pPr>
        <w:pStyle w:val="Heading1"/>
        <w:spacing w:before="936" w:after="624"/>
      </w:pPr>
      <w:bookmarkStart w:id="0" w:name="_Toc3502"/>
      <w:bookmarkStart w:id="1" w:name="_Toc36066046"/>
      <w:bookmarkStart w:id="2" w:name="_Toc22567"/>
      <w:r>
        <w:t>摘要</w:t>
      </w:r>
      <w:bookmarkEnd w:id="0"/>
      <w:bookmarkEnd w:id="1"/>
      <w:bookmarkEnd w:id="2"/>
    </w:p>
    <w:p w:rsidR="00134271" w14:paraId="65CFE23B" w14:textId="77777777">
      <w:pPr>
        <w:spacing w:line="360" w:lineRule="auto"/>
        <w:ind w:firstLine="480" w:firstLineChars="200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长期以来的国内外研究表明，教育投入和经济发展具有密不可分的关系，而高等教育和职业教育又是学生踏入社会前的两个主流受教育途径，势必对经济运行产生更大的影响。本文以职业教育和高等教育投入如何影响以人均</w:t>
      </w:r>
      <w:r>
        <w:rPr>
          <w:rFonts w:ascii="Times New Roman" w:hAnsi="Times New Roman" w:hint="eastAsia"/>
          <w:b/>
          <w:sz w:val="24"/>
        </w:rPr>
        <w:t>GDP</w:t>
      </w:r>
      <w:r>
        <w:rPr>
          <w:rFonts w:asciiTheme="minorEastAsia" w:hAnsiTheme="minorEastAsia" w:hint="eastAsia"/>
          <w:b/>
          <w:sz w:val="24"/>
        </w:rPr>
        <w:t>衡量的经济增长作为研究对象，利用大陆</w:t>
      </w:r>
      <w:r>
        <w:rPr>
          <w:rFonts w:ascii="Times New Roman" w:hAnsi="Times New Roman" w:hint="eastAsia"/>
          <w:b/>
          <w:sz w:val="24"/>
        </w:rPr>
        <w:t>31</w:t>
      </w:r>
      <w:r>
        <w:rPr>
          <w:rFonts w:asciiTheme="minorEastAsia" w:hAnsiTheme="minorEastAsia" w:hint="eastAsia"/>
          <w:b/>
          <w:sz w:val="24"/>
        </w:rPr>
        <w:t>个省份</w:t>
      </w:r>
      <w:r>
        <w:rPr>
          <w:rFonts w:ascii="Times New Roman" w:hAnsi="Times New Roman" w:hint="eastAsia"/>
          <w:b/>
          <w:sz w:val="24"/>
        </w:rPr>
        <w:t>2008</w:t>
      </w:r>
      <w:r>
        <w:rPr>
          <w:rFonts w:asciiTheme="minorEastAsia" w:hAnsiTheme="minorEastAsia" w:hint="eastAsia"/>
          <w:b/>
          <w:sz w:val="24"/>
        </w:rPr>
        <w:t>-</w:t>
      </w:r>
      <w:r>
        <w:rPr>
          <w:rFonts w:ascii="Times New Roman" w:hAnsi="Times New Roman" w:hint="eastAsia"/>
          <w:b/>
          <w:sz w:val="24"/>
        </w:rPr>
        <w:t>2017</w:t>
      </w:r>
      <w:r>
        <w:rPr>
          <w:rFonts w:asciiTheme="minorEastAsia" w:hAnsiTheme="minorEastAsia" w:hint="eastAsia"/>
          <w:b/>
          <w:sz w:val="24"/>
        </w:rPr>
        <w:t>年的省级面板数据进行估计后得出如下结论：普通高等教育经费投入对经济增长的影响大，效果好，是促进人力资本、人才资本积累和科学技术进步、进一步发展生产力最有力的途径之一；中职中专教育经费投入的效果其次，其培养方式产生众多中级技术人员，为我国经济发展培</w:t>
      </w:r>
      <w:r>
        <w:rPr>
          <w:rFonts w:asciiTheme="minorEastAsia" w:hAnsiTheme="minorEastAsia" w:hint="eastAsia"/>
          <w:b/>
          <w:sz w:val="24"/>
        </w:rPr>
        <w:t>养了中坚力量；高职高</w:t>
      </w:r>
      <w:r>
        <w:rPr>
          <w:rFonts w:asciiTheme="minorEastAsia" w:hAnsiTheme="minorEastAsia" w:hint="eastAsia"/>
          <w:b/>
          <w:sz w:val="24"/>
        </w:rPr>
        <w:t>专教育</w:t>
      </w:r>
      <w:r>
        <w:rPr>
          <w:rFonts w:asciiTheme="minorEastAsia" w:hAnsiTheme="minorEastAsia" w:hint="eastAsia"/>
          <w:b/>
          <w:sz w:val="24"/>
        </w:rPr>
        <w:t>经费投入相对而言效果较次，可能是由于我国高职高专院校教育水平不足，即所设专业的教学与实际需要不相匹配。为此，提出以下政策建议：第一，继续扩大教育财政支出，提高人才资本积累质量和速度；第二</w:t>
      </w:r>
      <w:r>
        <w:rPr>
          <w:rFonts w:asciiTheme="minorEastAsia" w:hAnsiTheme="minorEastAsia" w:hint="eastAsia"/>
          <w:b/>
          <w:sz w:val="24"/>
        </w:rPr>
        <w:t>，</w:t>
      </w:r>
      <w:r>
        <w:rPr>
          <w:rFonts w:asciiTheme="minorEastAsia" w:hAnsiTheme="minorEastAsia" w:hint="eastAsia"/>
          <w:b/>
          <w:sz w:val="24"/>
        </w:rPr>
        <w:t>提高高等教育的质量和效益，加大西部地区高教投入；第三，提高职业教育社会地位和教育水平，推进东中部职业教育改革。</w:t>
      </w:r>
    </w:p>
    <w:p w:rsidR="00134271" w14:paraId="7326D9A8" w14:textId="77777777">
      <w:pPr>
        <w:spacing w:line="360" w:lineRule="auto"/>
        <w:ind w:firstLine="480" w:firstLineChars="200"/>
        <w:rPr>
          <w:b/>
          <w:sz w:val="24"/>
        </w:rPr>
        <w:sectPr>
          <w:footerReference w:type="default" r:id="rId7"/>
          <w:pgSz w:w="11906" w:h="16838"/>
          <w:pgMar w:top="1701" w:right="1701" w:bottom="1701" w:left="1701" w:header="851" w:footer="992" w:gutter="0"/>
          <w:pgNumType w:start="1"/>
          <w:cols w:space="425"/>
          <w:docGrid w:type="lines" w:linePitch="312"/>
        </w:sectPr>
      </w:pPr>
      <w:r>
        <w:rPr>
          <w:rFonts w:hint="eastAsia"/>
          <w:b/>
          <w:sz w:val="24"/>
        </w:rPr>
        <w:t>关键词：教育财政资金；高等教育；职业教育；经济增长</w:t>
      </w:r>
    </w:p>
    <w:p w:rsidR="00134271" w14:paraId="3478F546" w14:textId="77777777">
      <w:pPr>
        <w:spacing w:line="360" w:lineRule="auto"/>
        <w:ind w:firstLine="480" w:firstLineChars="200"/>
        <w:rPr>
          <w:b/>
          <w:sz w:val="24"/>
        </w:rPr>
      </w:pPr>
    </w:p>
    <w:p w:rsidR="00134271" w14:paraId="1F663FFF" w14:textId="77777777">
      <w:pPr>
        <w:spacing w:before="936" w:beforeLines="300" w:after="624" w:afterLines="200"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br/>
      </w:r>
      <w:r>
        <w:rPr>
          <w:rFonts w:ascii="Times New Roman" w:hAnsi="Times New Roman" w:cs="Times New Roman"/>
          <w:b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https://d.book118.com/057060045161006040</w:t>
        </w:r>
      </w:hyperlink>
    </w:p>
    <w:p w:rsidR="00134271">
      <w:pPr>
        <w:spacing w:before="936" w:beforeLines="300" w:after="624" w:afterLines="200"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sectPr>
      <w:footerReference w:type="default" r:id="rId9"/>
      <w:type w:val="continuous"/>
      <w:pgSz w:w="11906" w:h="16838"/>
      <w:pgMar w:top="1701" w:right="1701" w:bottom="1701" w:left="1701" w:header="851" w:footer="992" w:gutter="0"/>
      <w:pgNumType w:start="2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271" w14:paraId="596EE0B4" w14:textId="77777777">
    <w:pPr>
      <w:tabs>
        <w:tab w:val="right" w:pos="8306"/>
      </w:tabs>
      <w:snapToGrid w:val="0"/>
      <w:rPr>
        <w:rFonts w:ascii="Calibri" w:eastAsia="宋体" w:hAnsi="Calibri" w:cs="Times New Roman"/>
        <w:sz w:val="18"/>
        <w:szCs w:val="18"/>
      </w:rPr>
    </w:pPr>
    <w:r>
      <w:rPr>
        <w:rFonts w:ascii="Calibri" w:eastAsia="宋体" w:hAnsi="Calibri" w:cs="Times New Roman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2648585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34271" w14:textId="77777777"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eastAsia="宋体" w:hAnsi="Calibri" w:cs="Times New Roman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6" o:spid="_x0000_s2049" type="#_x0000_t202" style="width:2in;height:2in;margin-top:0;margin-left:208.55pt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134271" w14:paraId="380D0FAA" w14:textId="77777777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eastAsia="宋体" w:hAnsi="Calibri" w:cs="Times New Roman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Calibri" w:eastAsia="宋体" w:hAnsi="Calibri" w:cs="Times New Roman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7" name="文本框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34271" w14:textId="77777777"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eastAsia="宋体" w:hAnsi="Calibri" w:cs="Times New Roman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 w:rsidR="00134271" w14:paraId="7D8DC615" w14:textId="77777777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eastAsia="宋体" w:hAnsi="Calibri" w:cs="Times New Roman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Calibri" w:eastAsia="宋体" w:hAnsi="Calibri" w:cs="Times New Roman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8" name="文本框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34271" w14:textId="77777777"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eastAsia="宋体" w:hAnsi="Calibri" w:cs="Times New Roman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134271" w14:paraId="4CCD7DBB" w14:textId="77777777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eastAsia="宋体" w:hAnsi="Calibri" w:cs="Times New Roman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271" w14:paraId="19ED7AD3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34271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 w:rsidR="00134271" w14:paraId="52446881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271" w14:paraId="4711674B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34271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 w:rsidR="00134271" w14:paraId="6C1EEC17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ascii="Times New Roman" w:hAnsi="Times New Roman"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10C60FB"/>
    <w:multiLevelType w:val="singleLevel"/>
    <w:tmpl w:val="610C60FB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71FA7585"/>
    <w:rsid w:val="00011DA4"/>
    <w:rsid w:val="000628DC"/>
    <w:rsid w:val="000F16CB"/>
    <w:rsid w:val="00134271"/>
    <w:rsid w:val="001F10EC"/>
    <w:rsid w:val="002417CD"/>
    <w:rsid w:val="00285B89"/>
    <w:rsid w:val="002948C5"/>
    <w:rsid w:val="00294E9F"/>
    <w:rsid w:val="002B31B4"/>
    <w:rsid w:val="002F3A88"/>
    <w:rsid w:val="00366648"/>
    <w:rsid w:val="003C273F"/>
    <w:rsid w:val="004201CB"/>
    <w:rsid w:val="00434088"/>
    <w:rsid w:val="0048538E"/>
    <w:rsid w:val="004B79D0"/>
    <w:rsid w:val="004C2AA2"/>
    <w:rsid w:val="004D4658"/>
    <w:rsid w:val="004F3240"/>
    <w:rsid w:val="0052776F"/>
    <w:rsid w:val="00553A52"/>
    <w:rsid w:val="0060062D"/>
    <w:rsid w:val="00674D60"/>
    <w:rsid w:val="006D0362"/>
    <w:rsid w:val="007162D2"/>
    <w:rsid w:val="007C3853"/>
    <w:rsid w:val="0083758A"/>
    <w:rsid w:val="008A1C56"/>
    <w:rsid w:val="008B129A"/>
    <w:rsid w:val="008E6073"/>
    <w:rsid w:val="009267A9"/>
    <w:rsid w:val="009E2157"/>
    <w:rsid w:val="00A0279A"/>
    <w:rsid w:val="00A74E35"/>
    <w:rsid w:val="00A91D85"/>
    <w:rsid w:val="00AF578F"/>
    <w:rsid w:val="00B540CD"/>
    <w:rsid w:val="00B54953"/>
    <w:rsid w:val="00B94312"/>
    <w:rsid w:val="00CA359A"/>
    <w:rsid w:val="00CE7DF9"/>
    <w:rsid w:val="00D84546"/>
    <w:rsid w:val="00DF5303"/>
    <w:rsid w:val="00E70391"/>
    <w:rsid w:val="00E907AF"/>
    <w:rsid w:val="00EC6F0B"/>
    <w:rsid w:val="00EF2FBC"/>
    <w:rsid w:val="00F42B50"/>
    <w:rsid w:val="00F8236C"/>
    <w:rsid w:val="00FA49DB"/>
    <w:rsid w:val="00FC4F60"/>
    <w:rsid w:val="034459E8"/>
    <w:rsid w:val="0900470C"/>
    <w:rsid w:val="09734611"/>
    <w:rsid w:val="09BC33FA"/>
    <w:rsid w:val="0ED86187"/>
    <w:rsid w:val="0F0441F1"/>
    <w:rsid w:val="0F951703"/>
    <w:rsid w:val="0F9B6487"/>
    <w:rsid w:val="0FF00880"/>
    <w:rsid w:val="113B1E04"/>
    <w:rsid w:val="120E0326"/>
    <w:rsid w:val="12DB1FCD"/>
    <w:rsid w:val="14E70DB8"/>
    <w:rsid w:val="168823BC"/>
    <w:rsid w:val="17180885"/>
    <w:rsid w:val="17532DC2"/>
    <w:rsid w:val="19165F68"/>
    <w:rsid w:val="19262978"/>
    <w:rsid w:val="193D2413"/>
    <w:rsid w:val="19D8388B"/>
    <w:rsid w:val="19F57CD9"/>
    <w:rsid w:val="1C1F68AE"/>
    <w:rsid w:val="1C9D3456"/>
    <w:rsid w:val="1CF727C8"/>
    <w:rsid w:val="1D2741CF"/>
    <w:rsid w:val="205E02CD"/>
    <w:rsid w:val="20B80126"/>
    <w:rsid w:val="22FE5E0B"/>
    <w:rsid w:val="2573741E"/>
    <w:rsid w:val="25AE4508"/>
    <w:rsid w:val="28F33124"/>
    <w:rsid w:val="29274B33"/>
    <w:rsid w:val="29D8471C"/>
    <w:rsid w:val="2B7F72BE"/>
    <w:rsid w:val="2CA23013"/>
    <w:rsid w:val="2F42546E"/>
    <w:rsid w:val="310D1B36"/>
    <w:rsid w:val="320D3548"/>
    <w:rsid w:val="33375B68"/>
    <w:rsid w:val="34807871"/>
    <w:rsid w:val="36A10C79"/>
    <w:rsid w:val="37220294"/>
    <w:rsid w:val="38DA4507"/>
    <w:rsid w:val="3A920CDB"/>
    <w:rsid w:val="3ACE2B3B"/>
    <w:rsid w:val="3AE500D1"/>
    <w:rsid w:val="3D5A1799"/>
    <w:rsid w:val="3E871FC1"/>
    <w:rsid w:val="3ECA2E4A"/>
    <w:rsid w:val="3ED420A3"/>
    <w:rsid w:val="409F2BC0"/>
    <w:rsid w:val="419B69E0"/>
    <w:rsid w:val="42E8791D"/>
    <w:rsid w:val="441D6A7C"/>
    <w:rsid w:val="453148D8"/>
    <w:rsid w:val="482E7A14"/>
    <w:rsid w:val="4873220B"/>
    <w:rsid w:val="490F411C"/>
    <w:rsid w:val="497E6382"/>
    <w:rsid w:val="497E7DE6"/>
    <w:rsid w:val="4A2934E6"/>
    <w:rsid w:val="4B9B46CE"/>
    <w:rsid w:val="4C597A6E"/>
    <w:rsid w:val="4C904BCD"/>
    <w:rsid w:val="4CBB664F"/>
    <w:rsid w:val="4CC322C4"/>
    <w:rsid w:val="4CCB5AD5"/>
    <w:rsid w:val="4EBB0A12"/>
    <w:rsid w:val="4EE4459E"/>
    <w:rsid w:val="4F197A4B"/>
    <w:rsid w:val="4F7600B0"/>
    <w:rsid w:val="4F9E0160"/>
    <w:rsid w:val="505E76EB"/>
    <w:rsid w:val="50844449"/>
    <w:rsid w:val="508B19F5"/>
    <w:rsid w:val="51287FA1"/>
    <w:rsid w:val="515434E1"/>
    <w:rsid w:val="542D7271"/>
    <w:rsid w:val="54AC752A"/>
    <w:rsid w:val="55202C90"/>
    <w:rsid w:val="5555400E"/>
    <w:rsid w:val="559D0D80"/>
    <w:rsid w:val="56691C1D"/>
    <w:rsid w:val="58325695"/>
    <w:rsid w:val="58374BCA"/>
    <w:rsid w:val="58544E43"/>
    <w:rsid w:val="58557E12"/>
    <w:rsid w:val="5C670EE7"/>
    <w:rsid w:val="5DA76A0D"/>
    <w:rsid w:val="5DFC0A31"/>
    <w:rsid w:val="5E6B79DF"/>
    <w:rsid w:val="5E7E6185"/>
    <w:rsid w:val="604056AE"/>
    <w:rsid w:val="608A3300"/>
    <w:rsid w:val="628C4840"/>
    <w:rsid w:val="65556E25"/>
    <w:rsid w:val="67025A64"/>
    <w:rsid w:val="6824055F"/>
    <w:rsid w:val="68BF0CCD"/>
    <w:rsid w:val="6BBD2AEE"/>
    <w:rsid w:val="6F56570D"/>
    <w:rsid w:val="6FCA7450"/>
    <w:rsid w:val="711113E2"/>
    <w:rsid w:val="71FA7585"/>
    <w:rsid w:val="74C8592C"/>
    <w:rsid w:val="763879C5"/>
    <w:rsid w:val="7666775C"/>
    <w:rsid w:val="7CB7315D"/>
    <w:rsid w:val="7D7A478C"/>
    <w:rsid w:val="7EDA7352"/>
    <w:rsid w:val="7EFC28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61BF95A"/>
  <w15:docId w15:val="{DFAF7D3E-7719-4B15-8C1C-CEB31BA97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00" w:beforeLines="300" w:after="200" w:afterLines="200" w:line="360" w:lineRule="auto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nhideWhenUsed/>
    <w:qFormat/>
    <w:pPr>
      <w:keepNext/>
      <w:keepLines/>
      <w:spacing w:before="100" w:beforeLines="100" w:after="100" w:afterLines="100" w:line="360" w:lineRule="auto"/>
      <w:outlineLvl w:val="1"/>
    </w:pPr>
    <w:rPr>
      <w:rFonts w:eastAsia="黑体" w:asciiTheme="majorHAnsi" w:hAnsiTheme="majorHAnsi" w:cstheme="majorBidi"/>
      <w:bCs/>
      <w:sz w:val="30"/>
      <w:szCs w:val="32"/>
    </w:rPr>
  </w:style>
  <w:style w:type="paragraph" w:styleId="Heading3">
    <w:name w:val="heading 3"/>
    <w:basedOn w:val="Normal"/>
    <w:next w:val="Normal"/>
    <w:link w:val="3"/>
    <w:unhideWhenUsed/>
    <w:qFormat/>
    <w:pPr>
      <w:keepNext/>
      <w:keepLines/>
      <w:spacing w:before="100" w:beforeLines="100" w:after="100" w:afterLines="100" w:line="360" w:lineRule="auto"/>
      <w:outlineLvl w:val="2"/>
    </w:pPr>
    <w:rPr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uiPriority w:val="39"/>
    <w:qFormat/>
    <w:pPr>
      <w:ind w:left="840" w:leftChars="400"/>
    </w:pPr>
  </w:style>
  <w:style w:type="paragraph" w:styleId="BalloonText">
    <w:name w:val="Balloon Text"/>
    <w:basedOn w:val="Normal"/>
    <w:link w:val="a1"/>
    <w:qFormat/>
    <w:rPr>
      <w:sz w:val="18"/>
      <w:szCs w:val="18"/>
    </w:rPr>
  </w:style>
  <w:style w:type="paragraph" w:styleId="Footer">
    <w:name w:val="footer"/>
    <w:basedOn w:val="Normal"/>
    <w:link w:val="a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2">
    <w:name w:val="toc 2"/>
    <w:basedOn w:val="Normal"/>
    <w:next w:val="Normal"/>
    <w:uiPriority w:val="39"/>
    <w:qFormat/>
    <w:pPr>
      <w:ind w:left="420" w:leftChars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customStyle="1" w:styleId="a">
    <w:name w:val="页眉 字符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1">
    <w:name w:val="批注框文本 字符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ListParagraph">
    <w:name w:val="List Paragraph"/>
    <w:basedOn w:val="Normal"/>
    <w:uiPriority w:val="99"/>
    <w:unhideWhenUsed/>
    <w:qFormat/>
    <w:pPr>
      <w:ind w:firstLine="420" w:firstLineChars="200"/>
    </w:pPr>
  </w:style>
  <w:style w:type="character" w:customStyle="1" w:styleId="1">
    <w:name w:val="标题 1 字符"/>
    <w:basedOn w:val="DefaultParagraphFont"/>
    <w:link w:val="Heading1"/>
    <w:qFormat/>
    <w:rPr>
      <w:rFonts w:eastAsia="华文中宋" w:asciiTheme="minorHAnsi" w:hAnsiTheme="minorHAnsi" w:cstheme="minorBidi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qFormat/>
    <w:rPr>
      <w:rFonts w:eastAsia="黑体" w:asciiTheme="majorHAnsi" w:hAnsiTheme="majorHAnsi" w:cstheme="majorBidi"/>
      <w:bCs/>
      <w:kern w:val="2"/>
      <w:sz w:val="30"/>
      <w:szCs w:val="32"/>
    </w:rPr>
  </w:style>
  <w:style w:type="character" w:customStyle="1" w:styleId="3">
    <w:name w:val="标题 3 字符"/>
    <w:basedOn w:val="DefaultParagraphFont"/>
    <w:link w:val="Heading3"/>
    <w:qFormat/>
    <w:rPr>
      <w:rFonts w:asciiTheme="minorHAnsi" w:eastAsiaTheme="minorEastAsia" w:hAnsiTheme="minorHAnsi" w:cstheme="minorBidi"/>
      <w:bCs/>
      <w:kern w:val="2"/>
      <w:sz w:val="24"/>
      <w:szCs w:val="32"/>
    </w:r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widowControl/>
      <w:spacing w:before="480" w:beforeLines="0" w:after="0" w:afterLines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table" w:customStyle="1" w:styleId="31">
    <w:name w:val="无格式表格 31"/>
    <w:basedOn w:val="TableNormal"/>
    <w:qFormat/>
    <w:rPr>
      <w:rFonts w:ascii="Calibri" w:hAnsi="Calibri"/>
    </w:rPr>
    <w:tblPr/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yperlink" Target="https://d.book118.com/057060045161006040" TargetMode="Externa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E9946E-56C0-441D-B70C-8E05C4928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2</Pages>
  <Words>2602</Words>
  <Characters>14832</Characters>
  <Application>Microsoft Office Word</Application>
  <DocSecurity>0</DocSecurity>
  <Lines>123</Lines>
  <Paragraphs>34</Paragraphs>
  <ScaleCrop>false</ScaleCrop>
  <Company/>
  <LinksUpToDate>false</LinksUpToDate>
  <CharactersWithSpaces>17400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飞飞鱼</dc:creator>
  <cp:lastModifiedBy>sd</cp:lastModifiedBy>
  <cp:revision>49</cp:revision>
  <dcterms:created xsi:type="dcterms:W3CDTF">2020-02-24T11:41:00Z</dcterms:created>
  <dcterms:modified xsi:type="dcterms:W3CDTF">2020-04-06T12:40:00Z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MTWinEqns">
    <vt:bool>true</vt:bool>
  </property>
</Properties>
</file>