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800" w:lineRule="exact"/>
        <w:ind w:firstLine="450" w:firstLineChars="150"/>
        <w:jc w:val="both"/>
        <w:rPr>
          <w:rFonts w:ascii="宋体" w:hAnsi="宋体" w:cs="宋体" w:hint="eastAsia"/>
          <w:b/>
          <w:bCs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题   目：</w:t>
      </w:r>
      <w:r>
        <w:rPr>
          <w:rFonts w:ascii="宋体" w:hAnsi="宋体" w:cs="宋体" w:hint="eastAsia"/>
          <w:bCs/>
          <w:sz w:val="30"/>
          <w:szCs w:val="30"/>
          <w:u w:val="single"/>
          <w:lang w:eastAsia="zh-CN"/>
        </w:rPr>
        <w:t>污泥与准东煤混烧灰结渣倾向指数的计算分析</w:t>
      </w:r>
    </w:p>
    <w:p>
      <w:pPr>
        <w:pStyle w:val="BodyTextFirstIndent2"/>
        <w:rPr>
          <w:rFonts w:ascii="Times New Roman" w:eastAsia="黑体" w:hAnsi="Times New Roman" w:hint="eastAsia"/>
          <w:sz w:val="36"/>
          <w:szCs w:val="36"/>
        </w:rPr>
      </w:pPr>
    </w:p>
    <w:p>
      <w:pPr>
        <w:pStyle w:val="BodyTextFirstIndent2"/>
        <w:rPr>
          <w:rFonts w:ascii="Times New Roman" w:eastAsia="黑体" w:hAnsi="Times New Roman" w:hint="eastAsia"/>
          <w:sz w:val="36"/>
          <w:szCs w:val="36"/>
        </w:rPr>
      </w:pPr>
    </w:p>
    <w:p>
      <w:pPr>
        <w:pStyle w:val="BodyTextFirstIndent2"/>
        <w:rPr>
          <w:rFonts w:ascii="Times New Roman" w:eastAsia="黑体" w:hAnsi="Times New Roman" w:hint="eastAsia"/>
          <w:sz w:val="36"/>
          <w:szCs w:val="36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cols w:num="1" w:space="425"/>
          <w:docGrid w:type="lines" w:linePitch="312" w:charSpace="0"/>
        </w:sectPr>
      </w:pPr>
      <w:bookmarkStart w:id="0" w:name="_GoBack"/>
      <w:bookmarkEnd w:id="0"/>
    </w:p>
    <w:p>
      <w:pPr>
        <w:pStyle w:val="Heading1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10" w:line="240" w:lineRule="auto"/>
        <w:jc w:val="center"/>
        <w:textAlignment w:val="auto"/>
        <w:rPr>
          <w:rFonts w:ascii="Times New Roman" w:eastAsia="黑体" w:hAnsi="Times New Roman" w:hint="eastAsia"/>
          <w:sz w:val="36"/>
          <w:szCs w:val="36"/>
          <w:lang w:eastAsia="zh-CN"/>
        </w:rPr>
      </w:pPr>
      <w:r>
        <w:rPr>
          <w:rFonts w:hint="eastAsia"/>
          <w:lang w:eastAsia="zh-CN"/>
        </w:rPr>
        <w:t>摘要</w:t>
      </w:r>
    </w:p>
    <w:p>
      <w:pPr>
        <w:pStyle w:val="BodyTextFirstIndent2"/>
        <w:ind w:left="0" w:firstLine="480" w:leftChars="0" w:firstLineChars="200"/>
        <w:rPr>
          <w:rFonts w:ascii="Times New Roman" w:hAnsi="Times New Roman" w:eastAsiaTheme="minorEastAsia" w:hint="eastAsia"/>
          <w:sz w:val="36"/>
          <w:szCs w:val="36"/>
          <w:lang w:eastAsia="zh-CN"/>
        </w:rPr>
      </w:pPr>
      <w:r>
        <w:rPr>
          <w:rFonts w:ascii="Times New Roman" w:hAnsi="Times New Roman" w:cs="Times New Roman" w:hint="eastAsia"/>
          <w:sz w:val="24"/>
          <w:szCs w:val="24"/>
          <w:lang w:eastAsia="zh-CN"/>
        </w:rPr>
        <w:t>由于</w:t>
      </w:r>
      <w:r>
        <w:rPr>
          <w:rFonts w:ascii="Times New Roman" w:hAnsi="Times New Roman" w:cs="Times New Roman" w:hint="default"/>
          <w:sz w:val="24"/>
          <w:szCs w:val="24"/>
        </w:rPr>
        <w:t>新疆煤炭资源丰富，国家的能源需求继续增长，中国中部和东部的一些能源基地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面临</w:t>
      </w:r>
      <w:r>
        <w:rPr>
          <w:rFonts w:ascii="Times New Roman" w:hAnsi="Times New Roman" w:cs="Times New Roman" w:hint="default"/>
          <w:sz w:val="24"/>
          <w:szCs w:val="24"/>
        </w:rPr>
        <w:t>资源枯竭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。</w:t>
      </w:r>
      <w:r>
        <w:rPr>
          <w:rFonts w:ascii="Times New Roman" w:hAnsi="Times New Roman" w:cs="Times New Roman" w:hint="default"/>
          <w:sz w:val="24"/>
          <w:szCs w:val="24"/>
        </w:rPr>
        <w:t>新疆的煤炭生产区将成为能源联系和战略储备区的重要区域。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另外，</w:t>
      </w:r>
      <w:r>
        <w:rPr>
          <w:rFonts w:ascii="Times New Roman" w:hAnsi="Times New Roman" w:cs="Times New Roman" w:hint="default"/>
          <w:sz w:val="24"/>
        </w:rPr>
        <w:t>城市污水污泥含</w:t>
      </w:r>
      <w:r>
        <w:rPr>
          <w:rFonts w:ascii="Times New Roman" w:hAnsi="Times New Roman" w:cs="Times New Roman" w:hint="eastAsia"/>
          <w:sz w:val="24"/>
          <w:lang w:eastAsia="zh-CN"/>
        </w:rPr>
        <w:t>有大量</w:t>
      </w:r>
      <w:r>
        <w:rPr>
          <w:rFonts w:ascii="Times New Roman" w:hAnsi="Times New Roman" w:cs="Times New Roman" w:hint="default"/>
          <w:sz w:val="24"/>
        </w:rPr>
        <w:t>有机污染物，如果处理不当，会对人类和环境造成严重危害。</w:t>
      </w:r>
      <w:r>
        <w:rPr>
          <w:rFonts w:ascii="Times New Roman" w:hAnsi="Times New Roman" w:cs="Times New Roman" w:hint="eastAsia"/>
          <w:sz w:val="24"/>
          <w:lang w:eastAsia="zh-CN"/>
        </w:rPr>
        <w:t>而</w:t>
      </w:r>
      <w:r>
        <w:rPr>
          <w:rFonts w:ascii="Times New Roman" w:hAnsi="Times New Roman" w:cs="Times New Roman" w:hint="default"/>
          <w:sz w:val="24"/>
          <w:lang w:val="en-US" w:eastAsia="zh-CN"/>
        </w:rPr>
        <w:t>准东煤与污泥混</w:t>
      </w:r>
      <w:r>
        <w:rPr>
          <w:rFonts w:ascii="Times New Roman" w:hAnsi="Times New Roman" w:cs="Times New Roman" w:hint="eastAsia"/>
          <w:sz w:val="24"/>
          <w:lang w:val="en-US" w:eastAsia="zh-CN"/>
        </w:rPr>
        <w:t>烧恰好可以</w:t>
      </w:r>
      <w:r>
        <w:rPr>
          <w:rFonts w:ascii="Times New Roman" w:hAnsi="Times New Roman" w:cs="Times New Roman" w:hint="default"/>
          <w:sz w:val="24"/>
        </w:rPr>
        <w:t>解决污泥造成的环境问题，</w:t>
      </w:r>
      <w:r>
        <w:rPr>
          <w:rFonts w:ascii="Times New Roman" w:hAnsi="Times New Roman" w:cs="Times New Roman" w:hint="eastAsia"/>
          <w:sz w:val="24"/>
          <w:lang w:eastAsia="zh-CN"/>
        </w:rPr>
        <w:t>并且</w:t>
      </w:r>
      <w:r>
        <w:rPr>
          <w:rFonts w:ascii="Times New Roman" w:hAnsi="Times New Roman" w:cs="Times New Roman" w:hint="default"/>
          <w:sz w:val="24"/>
        </w:rPr>
        <w:t>能够有效利用污泥中的能源</w:t>
      </w:r>
      <w:r>
        <w:rPr>
          <w:rFonts w:ascii="Times New Roman" w:hAnsi="Times New Roman" w:cs="Times New Roman" w:hint="eastAsia"/>
          <w:sz w:val="24"/>
          <w:lang w:eastAsia="zh-CN"/>
        </w:rPr>
        <w:t>，所以该工艺得到了广泛的关注。但是</w:t>
      </w:r>
      <w:r>
        <w:rPr>
          <w:rFonts w:ascii="Times New Roman" w:hAnsi="Times New Roman" w:cs="Times New Roman" w:hint="default"/>
          <w:sz w:val="24"/>
        </w:rPr>
        <w:t>污泥和石英燃烧过程</w:t>
      </w:r>
      <w:r>
        <w:rPr>
          <w:rFonts w:ascii="Times New Roman" w:hAnsi="Times New Roman" w:cs="Times New Roman" w:hint="eastAsia"/>
          <w:sz w:val="24"/>
          <w:lang w:eastAsia="zh-CN"/>
        </w:rPr>
        <w:t>会引起</w:t>
      </w:r>
      <w:r>
        <w:rPr>
          <w:rFonts w:ascii="Times New Roman" w:hAnsi="Times New Roman" w:cs="Times New Roman" w:hint="default"/>
          <w:sz w:val="24"/>
        </w:rPr>
        <w:t>加热表面烧焦和腐蚀，在工厂的</w:t>
      </w:r>
      <w:r>
        <w:rPr>
          <w:rFonts w:ascii="Times New Roman" w:hAnsi="Times New Roman" w:cs="Times New Roman" w:hint="eastAsia"/>
          <w:sz w:val="24"/>
          <w:lang w:eastAsia="zh-CN"/>
        </w:rPr>
        <w:t>混烧</w:t>
      </w:r>
      <w:r>
        <w:rPr>
          <w:rFonts w:ascii="Times New Roman" w:hAnsi="Times New Roman" w:cs="Times New Roman" w:hint="default"/>
          <w:sz w:val="24"/>
        </w:rPr>
        <w:t>锅炉的操作和设计中</w:t>
      </w:r>
      <w:r>
        <w:rPr>
          <w:rFonts w:ascii="Times New Roman" w:hAnsi="Times New Roman" w:cs="Times New Roman" w:hint="eastAsia"/>
          <w:sz w:val="24"/>
          <w:lang w:eastAsia="zh-CN"/>
        </w:rPr>
        <w:t>存在一些问题，所以本课题希望可以对解决和改进该问题提供一些方法。</w:t>
      </w:r>
    </w:p>
    <w:p>
      <w:pPr>
        <w:pStyle w:val="BodyTextFirstIndent2"/>
        <w:ind w:left="0" w:firstLine="480" w:leftChars="0" w:firstLineChars="200"/>
        <w:rPr>
          <w:rFonts w:hint="eastAsia"/>
        </w:rPr>
      </w:pPr>
      <w:r>
        <w:rPr>
          <w:rFonts w:ascii="Times New Roman" w:hAnsi="Times New Roman" w:cs="Times New Roman" w:hint="eastAsia"/>
          <w:sz w:val="24"/>
          <w:szCs w:val="24"/>
        </w:rPr>
        <w:t>本文采取将准东煤与污泥进行混烧的方法，从燃烧和成灰这两个角度来研究污泥与准东煤的特性，深入分析添加污泥后对混合燃料的燃烧、结渣、沾污性能的影响。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通过实验，利用</w:t>
      </w:r>
      <w:r>
        <w:rPr>
          <w:rFonts w:ascii="Times New Roman" w:hAnsi="Times New Roman" w:cs="Times New Roman" w:hint="default"/>
          <w:sz w:val="24"/>
          <w:szCs w:val="24"/>
          <w:lang w:val="en-US" w:eastAsia="zh-CN"/>
        </w:rPr>
        <w:t>灰熔点测定仪</w:t>
      </w:r>
      <w:r>
        <w:rPr>
          <w:rFonts w:ascii="Times New Roman" w:hAnsi="Times New Roman" w:cs="Times New Roman" w:hint="eastAsia"/>
          <w:sz w:val="24"/>
          <w:szCs w:val="24"/>
          <w:lang w:val="en-US" w:eastAsia="zh-CN"/>
        </w:rPr>
        <w:t>来</w:t>
      </w:r>
      <w:r>
        <w:rPr>
          <w:rFonts w:ascii="Times New Roman" w:hAnsi="Times New Roman" w:cs="Times New Roman" w:hint="default"/>
          <w:sz w:val="24"/>
          <w:szCs w:val="24"/>
          <w:lang w:val="en-US" w:eastAsia="zh-CN"/>
        </w:rPr>
        <w:t>测定煤灰的熔融特性</w:t>
      </w:r>
      <w:r>
        <w:rPr>
          <w:rFonts w:ascii="Times New Roman" w:hAnsi="Times New Roman" w:cs="Times New Roman" w:hint="eastAsia"/>
          <w:sz w:val="24"/>
          <w:szCs w:val="24"/>
          <w:lang w:val="en-US" w:eastAsia="zh-CN"/>
        </w:rPr>
        <w:t>，利用</w:t>
      </w:r>
      <w:r>
        <w:rPr>
          <w:rFonts w:ascii="Times New Roman" w:hAnsi="Times New Roman" w:cs="Times New Roman" w:hint="default"/>
          <w:sz w:val="24"/>
          <w:szCs w:val="24"/>
        </w:rPr>
        <w:t>X射线荧光光谱仪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分析混烧后灰成分。</w:t>
      </w:r>
    </w:p>
    <w:p>
      <w:pPr>
        <w:pStyle w:val="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/>
        <w:jc w:val="both"/>
        <w:textAlignment w:val="auto"/>
        <w:rPr>
          <w:rFonts w:hint="eastAsia"/>
        </w:rPr>
      </w:pPr>
      <w:r>
        <w:rPr>
          <w:rFonts w:hint="eastAsia"/>
          <w:lang w:eastAsia="zh-CN"/>
        </w:rPr>
        <w:t>最后得出以下结论：</w:t>
      </w:r>
    </w:p>
    <w:p>
      <w:pPr>
        <w:pStyle w:val="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/>
        <w:jc w:val="both"/>
        <w:textAlignment w:val="auto"/>
        <w:rPr>
          <w:rFonts w:hint="eastAsia"/>
        </w:rPr>
      </w:pPr>
      <w:r>
        <w:rPr>
          <w:rFonts w:hint="eastAsia"/>
        </w:rPr>
        <w:t>两种单品的物质组成具有互补性，将两种物质混合燃烧存在合理性。从灰分氧化物组成的测定可得，氧化钙含量最高，随灰分形成温度的提升，表现为先减少再增加，然后再减少的现象，掺混后受污泥成分的影响，氧化铁和二氧化硅显著增多。</w:t>
      </w:r>
      <w:r>
        <w:rPr>
          <w:rFonts w:hint="eastAsia"/>
          <w:lang w:eastAsia="zh-CN"/>
        </w:rPr>
        <w:t>并</w:t>
      </w:r>
      <w:r>
        <w:rPr>
          <w:rFonts w:hint="eastAsia"/>
        </w:rPr>
        <w:t>从单一判别法和综合判别法判断结渣性能可以看出，添加污泥混烧对于改善准东煤的结渣性是有益的，污泥混合比例越大，改善程度越好。</w:t>
      </w:r>
      <w:r>
        <w:rPr>
          <w:rFonts w:hint="eastAsia"/>
          <w:lang w:eastAsia="zh-CN"/>
        </w:rPr>
        <w:t>最后</w:t>
      </w:r>
      <w:r>
        <w:rPr>
          <w:rFonts w:hint="eastAsia"/>
        </w:rPr>
        <w:t>通过德国沾污标准和美国沾污标准对沾污性判定</w:t>
      </w:r>
      <w:r>
        <w:rPr>
          <w:rFonts w:hint="eastAsia"/>
          <w:lang w:eastAsia="zh-CN"/>
        </w:rPr>
        <w:t>进行对比，</w:t>
      </w:r>
      <w:r>
        <w:rPr>
          <w:rFonts w:hint="eastAsia"/>
        </w:rPr>
        <w:t>德国</w:t>
      </w:r>
      <w:r>
        <w:rPr>
          <w:rFonts w:hint="eastAsia"/>
          <w:lang w:eastAsia="zh-CN"/>
        </w:rPr>
        <w:t>沾污标准判定结果与</w:t>
      </w:r>
      <w:r>
        <w:rPr>
          <w:rFonts w:hint="eastAsia"/>
        </w:rPr>
        <w:t>与中国实际相贴近</w:t>
      </w:r>
      <w:r>
        <w:rPr>
          <w:rFonts w:hint="eastAsia"/>
          <w:lang w:eastAsia="zh-CN"/>
        </w:rPr>
        <w:t>，即</w:t>
      </w:r>
      <w:r>
        <w:rPr>
          <w:rFonts w:hint="eastAsia"/>
        </w:rPr>
        <w:t>沾污指数随灰分形成温度的升高而降低，判定准东煤沾污等级为严重，判定污泥沾污等级为低，添加污泥混烧对于改善准东煤的沾污性是有益的。在沾污方面，由德国沾污判别标准判定准东煤沾污等级为严重，判定污泥沾污等级为低，添加污泥混烧对于改善准东煤的沾污性是有益的。</w:t>
      </w:r>
    </w:p>
    <w:p>
      <w:pPr>
        <w:pStyle w:val="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/>
        <w:jc w:val="both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.</w:t>
      </w:r>
    </w:p>
    <w:p>
      <w:pPr>
        <w:pStyle w:val="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/>
        <w:jc w:val="both"/>
        <w:textAlignment w:val="auto"/>
        <w:rPr>
          <w:rFonts w:hint="eastAsia"/>
        </w:rPr>
      </w:pPr>
    </w:p>
    <w:p>
      <w:pPr>
        <w:pStyle w:val="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/>
        <w:jc w:val="both"/>
        <w:textAlignment w:val="auto"/>
        <w:rPr>
          <w:rFonts w:ascii="黑体" w:eastAsia="黑体" w:hAnsi="黑体" w:cs="黑体" w:hint="eastAsia"/>
        </w:rPr>
      </w:pPr>
      <w:r>
        <w:rPr>
          <w:rFonts w:ascii="黑体" w:eastAsia="黑体" w:hAnsi="黑体" w:cs="黑体" w:hint="eastAsia"/>
          <w:lang w:eastAsia="zh-CN"/>
        </w:rPr>
        <w:t>关键词：准东煤</w:t>
      </w:r>
      <w:r>
        <w:rPr>
          <w:rFonts w:ascii="黑体" w:eastAsia="黑体" w:hAnsi="黑体" w:cs="黑体" w:hint="eastAsia"/>
          <w:lang w:val="en-US" w:eastAsia="zh-CN"/>
        </w:rPr>
        <w:t xml:space="preserve"> 污泥 混烧 结渣</w:t>
      </w:r>
    </w:p>
    <w:p>
      <w:pPr>
        <w:pStyle w:val="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/>
        </w:rPr>
      </w:pPr>
    </w:p>
    <w:p>
      <w:pPr>
        <w:pStyle w:val="BodyTextFirstIndent2"/>
        <w:rPr>
          <w:rFonts w:ascii="Times New Roman" w:eastAsia="黑体" w:hAnsi="Times New Roman" w:hint="eastAsia"/>
          <w:sz w:val="36"/>
          <w:szCs w:val="36"/>
        </w:rPr>
      </w:pPr>
    </w:p>
    <w:p>
      <w:pPr>
        <w:pStyle w:val="BodyTextFirstIndent2"/>
        <w:rPr>
          <w:rFonts w:ascii="Times New Roman" w:eastAsia="黑体" w:hAnsi="Times New Roman" w:hint="eastAsia"/>
          <w:sz w:val="36"/>
          <w:szCs w:val="36"/>
        </w:rPr>
      </w:pPr>
    </w:p>
    <w:p>
      <w:pPr>
        <w:pStyle w:val="BodyTextFirstIndent2"/>
        <w:rPr>
          <w:rFonts w:ascii="Times New Roman" w:eastAsia="黑体" w:hAnsi="Times New Roman" w:hint="eastAsia"/>
          <w:sz w:val="36"/>
          <w:szCs w:val="36"/>
        </w:rPr>
      </w:pPr>
    </w:p>
    <w:p>
      <w:pPr>
        <w:pStyle w:val="BodyTextFirstIndent2"/>
        <w:rPr>
          <w:rFonts w:ascii="Times New Roman" w:eastAsia="黑体" w:hAnsi="Times New Roman" w:hint="eastAsia"/>
          <w:sz w:val="36"/>
          <w:szCs w:val="36"/>
        </w:rPr>
      </w:pPr>
    </w:p>
    <w:p>
      <w:pPr>
        <w:pStyle w:val="BodyTextFirstIndent2"/>
        <w:rPr>
          <w:rFonts w:ascii="Times New Roman" w:eastAsia="黑体" w:hAnsi="Times New Roman" w:hint="eastAsia"/>
          <w:sz w:val="36"/>
          <w:szCs w:val="36"/>
        </w:rPr>
      </w:pPr>
    </w:p>
    <w:p>
      <w:pPr>
        <w:pStyle w:val="BodyTextFirstIndent2"/>
        <w:rPr>
          <w:rFonts w:ascii="Times New Roman" w:eastAsia="黑体" w:hAnsi="Times New Roman" w:hint="eastAsia"/>
          <w:sz w:val="36"/>
          <w:szCs w:val="36"/>
        </w:rPr>
      </w:pPr>
    </w:p>
    <w:p>
      <w:pPr>
        <w:pStyle w:val="BodyTextFirstIndent2"/>
        <w:rPr>
          <w:rFonts w:ascii="Times New Roman" w:eastAsia="黑体" w:hAnsi="Times New Roman" w:hint="eastAsia"/>
          <w:sz w:val="36"/>
          <w:szCs w:val="36"/>
        </w:rPr>
      </w:pPr>
    </w:p>
    <w:p>
      <w:pPr>
        <w:pStyle w:val="BodyTextFirstIndent2"/>
        <w:rPr>
          <w:rFonts w:ascii="Times New Roman" w:eastAsia="黑体" w:hAnsi="Times New Roman" w:hint="eastAsia"/>
          <w:sz w:val="36"/>
          <w:szCs w:val="36"/>
        </w:rPr>
      </w:pPr>
    </w:p>
    <w:p>
      <w:pPr>
        <w:pStyle w:val="BodyTextFirstIndent2"/>
        <w:rPr>
          <w:rFonts w:ascii="Times New Roman" w:eastAsia="黑体" w:hAnsi="Times New Roman" w:hint="eastAsia"/>
          <w:sz w:val="36"/>
          <w:szCs w:val="36"/>
        </w:rPr>
      </w:pPr>
    </w:p>
    <w:sdt>
      <w:sdtPr>
        <w:rPr>
          <w:rFonts w:ascii="宋体" w:eastAsia="宋体" w:hAnsi="宋体" w:cstheme="minorBidi"/>
          <w:kern w:val="2"/>
          <w:sz w:val="21"/>
          <w:szCs w:val="24"/>
          <w:lang w:val="en-US" w:eastAsia="zh-CN" w:bidi="ar-SA"/>
        </w:rPr>
        <w:id w:val="147480910"/>
        <w:docPartObj>
          <w:docPartGallery w:val="Table of Contents"/>
          <w:docPartUnique/>
        </w:docPartObj>
        <w15:color w:val="DBDBDB"/>
      </w:sdtPr>
      <w:sdtEndPr>
        <w:rPr>
          <w:rFonts w:ascii="Times New Roman" w:eastAsia="宋体" w:hAnsi="Times New Roman" w:cs="Times New Roman"/>
          <w:kern w:val="2"/>
          <w:sz w:val="20"/>
          <w:szCs w:val="20"/>
          <w:lang w:val="en-US" w:eastAsia="zh-CN" w:bidi="ar-SA"/>
        </w:rPr>
      </w:sdtEndPr>
      <w:sdtContent>
        <w:p>
          <w:pPr>
            <w:rPr>
              <w:rFonts w:ascii="Times New Roman" w:eastAsia="黑体" w:hAnsi="Times New Roman" w:cs="Times New Roman" w:hint="default"/>
              <w:b w:val="0"/>
              <w:bCs w:val="0"/>
              <w:sz w:val="36"/>
              <w:szCs w:val="36"/>
            </w:rPr>
          </w:pPr>
          <w:r>
            <w:rPr>
              <w:rFonts w:ascii="Times New Roman" w:eastAsia="黑体" w:hAnsi="Times New Roman" w:cs="Times New Roman" w:hint="default"/>
              <w:b w:val="0"/>
              <w:bCs w:val="0"/>
              <w:sz w:val="36"/>
              <w:szCs w:val="36"/>
            </w:rPr>
            <w:br/>
          </w:r>
          <w:r>
            <w:rPr>
              <w:rFonts w:ascii="Times New Roman" w:eastAsia="黑体" w:hAnsi="Times New Roman" w:cs="Times New Roman" w:hint="default"/>
              <w:b w:val="0"/>
              <w:bCs w:val="0"/>
              <w:sz w:val="36"/>
              <w:szCs w:val="36"/>
            </w:rPr>
            <w:br/>
          </w:r>
        </w:p>
        <w:p>
          <w:pPr>
            <w:widowControl/>
            <w:jc w:val="left"/>
            <w:rPr>
              <w:rFonts w:ascii="SimSun" w:eastAsia="SimSun" w:hAnsi="SimSun" w:cs="SimSun"/>
              <w:b/>
              <w:bCs/>
              <w:color w:val="000000"/>
              <w:kern w:val="0"/>
              <w:sz w:val="30"/>
              <w:szCs w:val="30"/>
            </w:rPr>
          </w:pPr>
          <w:r>
            <w:rPr>
              <w:rFonts w:ascii="SimSun" w:eastAsia="SimSun" w:hAnsi="SimSun" w:cs="SimSun"/>
              <w:b/>
              <w:bCs/>
              <w:color w:val="000000"/>
              <w:kern w:val="0"/>
              <w:sz w:val="30"/>
              <w:szCs w:val="30"/>
            </w:rPr>
            <w:t>以上内容仅为本文档的试下载部分，为可阅读页数的一半内容。如要下载或阅读全文，请访问：</w:t>
          </w:r>
          <w:hyperlink r:id="rId4" w:history="1">
            <w:r>
              <w:rPr>
                <w:rFonts w:ascii="SimSun" w:eastAsia="SimSun" w:hAnsi="SimSun" w:cs="SimSun"/>
                <w:b/>
                <w:bCs/>
                <w:color w:val="0000EE"/>
                <w:kern w:val="0"/>
                <w:sz w:val="30"/>
                <w:szCs w:val="30"/>
                <w:u w:val="single" w:color="0000EE"/>
              </w:rPr>
              <w:t>https://d.book118.com/057066005133006045</w:t>
            </w:r>
          </w:hyperlink>
        </w:p>
        <w:p>
          <w:pPr>
            <w:rPr>
              <w:rFonts w:ascii="Times New Roman" w:eastAsia="黑体" w:hAnsi="Times New Roman" w:cs="Times New Roman" w:hint="default"/>
              <w:b w:val="0"/>
              <w:bCs w:val="0"/>
              <w:sz w:val="36"/>
              <w:szCs w:val="36"/>
            </w:rPr>
          </w:pPr>
        </w:p>
      </w:sdtContent>
    </w:sdt>
    <w:sectPr>
      <w:pgSz w:w="11906" w:h="16838"/>
      <w:pgMar w:top="1440" w:right="1800" w:bottom="1440" w:left="1800" w:header="851" w:footer="992" w:gutter="0"/>
      <w:pg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gBorders>
      <w:pgNumType w:start="2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swiss"/>
    <w:pitch w:val="default"/>
    <w:sig w:usb0="E0002EFF" w:usb1="C000785B" w:usb2="00000009" w:usb3="00000000" w:csb0="4004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C158F5F"/>
    <w:multiLevelType w:val="singleLevel"/>
    <w:tmpl w:val="2C158F5F"/>
    <w:lvl w:ilvl="0">
      <w:start w:val="1"/>
      <w:numFmt w:val="decimal"/>
      <w:suff w:val="space"/>
      <w:lvlText w:val="(%1)"/>
      <w:lvlJc w:val="left"/>
    </w:lvl>
  </w:abstractNum>
  <w:abstractNum w:abstractNumId="1">
    <w:nsid w:val="46790C4C"/>
    <w:multiLevelType w:val="singleLevel"/>
    <w:tmpl w:val="46790C4C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defaultTabStop w:val="420"/>
  <w:drawingGridVerticalSpacing w:val="156"/>
  <w:doNotShadeFormData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9A5567F"/>
    <w:rsid w:val="00AD7FF4"/>
    <w:rsid w:val="02CA57C3"/>
    <w:rsid w:val="039018E3"/>
    <w:rsid w:val="0714730A"/>
    <w:rsid w:val="07A15C25"/>
    <w:rsid w:val="10920F92"/>
    <w:rsid w:val="1191384F"/>
    <w:rsid w:val="17765013"/>
    <w:rsid w:val="17F52181"/>
    <w:rsid w:val="18431BFF"/>
    <w:rsid w:val="19A5567F"/>
    <w:rsid w:val="19C262A0"/>
    <w:rsid w:val="1CF30F16"/>
    <w:rsid w:val="1FCA658F"/>
    <w:rsid w:val="297F5886"/>
    <w:rsid w:val="2B5B6348"/>
    <w:rsid w:val="2DD75BCC"/>
    <w:rsid w:val="325F6F1F"/>
    <w:rsid w:val="32DF30D4"/>
    <w:rsid w:val="3349456F"/>
    <w:rsid w:val="34EB5097"/>
    <w:rsid w:val="39F201D9"/>
    <w:rsid w:val="39FC5488"/>
    <w:rsid w:val="3AAE71EA"/>
    <w:rsid w:val="3C2B263A"/>
    <w:rsid w:val="3C800845"/>
    <w:rsid w:val="3E0F333E"/>
    <w:rsid w:val="40693A3D"/>
    <w:rsid w:val="481C4E6F"/>
    <w:rsid w:val="48DE2517"/>
    <w:rsid w:val="513B595E"/>
    <w:rsid w:val="58142120"/>
    <w:rsid w:val="59C13465"/>
    <w:rsid w:val="5AE81B20"/>
    <w:rsid w:val="5CEE3F47"/>
    <w:rsid w:val="5CFF6941"/>
    <w:rsid w:val="63A115F5"/>
    <w:rsid w:val="64654697"/>
    <w:rsid w:val="65F76E4D"/>
    <w:rsid w:val="6B9B2DFE"/>
    <w:rsid w:val="6F611592"/>
    <w:rsid w:val="7083055E"/>
    <w:rsid w:val="724A52CD"/>
    <w:rsid w:val="72604998"/>
    <w:rsid w:val="74DA1E89"/>
    <w:rsid w:val="75D5403A"/>
    <w:rsid w:val="764642F5"/>
    <w:rsid w:val="76B02218"/>
    <w:rsid w:val="78F93A3F"/>
    <w:rsid w:val="79AB2A15"/>
    <w:rsid w:val="7A1240BC"/>
    <w:rsid w:val="7C1F6220"/>
    <w:rsid w:val="7FDA303A"/>
  </w:rsids>
  <w:docVars>
    <w:docVar w:name="commondata" w:val="eyJoZGlkIjoiZGY5OGNiNGUyMjQ5MmI4ZDQ3ZjRhNGEzOTgxOWU3N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qFormat="1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BodyTextFirstIndent2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widowControl w:val="0"/>
      <w:spacing w:before="240" w:after="240"/>
      <w:outlineLvl w:val="1"/>
    </w:pPr>
    <w:rPr>
      <w:rFonts w:eastAsia="黑体"/>
      <w:bCs/>
      <w:sz w:val="30"/>
      <w:szCs w:val="30"/>
    </w:rPr>
  </w:style>
  <w:style w:type="paragraph" w:styleId="Heading3">
    <w:name w:val="heading 3"/>
    <w:basedOn w:val="Normal"/>
    <w:next w:val="Normal"/>
    <w:link w:val="3Char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FirstIndent2">
    <w:name w:val="Body Text First Indent 2"/>
    <w:basedOn w:val="BodyTextIndent"/>
    <w:uiPriority w:val="99"/>
    <w:unhideWhenUsed/>
    <w:qFormat/>
    <w:pPr>
      <w:ind w:firstLine="420" w:firstLineChars="200"/>
    </w:pPr>
  </w:style>
  <w:style w:type="paragraph" w:styleId="BodyTextIndent">
    <w:name w:val="Body Text Indent"/>
    <w:basedOn w:val="Normal"/>
    <w:qFormat/>
    <w:pPr>
      <w:spacing w:line="360" w:lineRule="exact"/>
      <w:ind w:left="538" w:hanging="538" w:hangingChars="192"/>
    </w:pPr>
    <w:rPr>
      <w:sz w:val="28"/>
    </w:rPr>
  </w:style>
  <w:style w:type="paragraph" w:styleId="BodyText">
    <w:name w:val="Body Text"/>
    <w:basedOn w:val="Normal"/>
    <w:uiPriority w:val="99"/>
    <w:unhideWhenUsed/>
    <w:qFormat/>
    <w:pPr>
      <w:jc w:val="center"/>
    </w:pPr>
    <w:rPr>
      <w:rFonts w:eastAsia="方正大标宋简体" w:hint="eastAsia"/>
      <w:sz w:val="76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正文1"/>
    <w:link w:val="1Char"/>
    <w:qFormat/>
    <w:pPr>
      <w:spacing w:line="400" w:lineRule="exact"/>
      <w:ind w:firstLine="200" w:firstLineChars="200"/>
      <w:jc w:val="both"/>
    </w:pPr>
    <w:rPr>
      <w:rFonts w:ascii="Times New Roman" w:eastAsia="宋体" w:hAnsi="Times New Roman" w:cs="Times New Roman"/>
      <w:kern w:val="2"/>
      <w:sz w:val="24"/>
      <w:szCs w:val="22"/>
      <w:lang w:val="en-US" w:eastAsia="zh-CN" w:bidi="ar-SA"/>
    </w:rPr>
  </w:style>
  <w:style w:type="paragraph" w:customStyle="1" w:styleId="a">
    <w:name w:val="正文格式"/>
    <w:basedOn w:val="BodyTextFirstIndent2"/>
    <w:qFormat/>
    <w:pPr>
      <w:spacing w:line="400" w:lineRule="exact"/>
    </w:pPr>
    <w:rPr>
      <w:rFonts w:ascii="Calibri" w:hAnsi="Calibri"/>
      <w:kern w:val="0"/>
      <w:szCs w:val="20"/>
    </w:rPr>
  </w:style>
  <w:style w:type="character" w:customStyle="1" w:styleId="1Char">
    <w:name w:val="正文1 Char"/>
    <w:link w:val="1"/>
    <w:qFormat/>
    <w:rPr>
      <w:rFonts w:ascii="Times New Roman" w:eastAsia="宋体" w:hAnsi="Times New Roman" w:cs="Times New Roman"/>
      <w:kern w:val="2"/>
      <w:sz w:val="24"/>
      <w:szCs w:val="22"/>
      <w:lang w:val="en-US" w:eastAsia="zh-CN" w:bidi="ar-SA"/>
    </w:rPr>
  </w:style>
  <w:style w:type="character" w:customStyle="1" w:styleId="3Char">
    <w:name w:val="标题 3 Char"/>
    <w:link w:val="Heading3"/>
    <w:qFormat/>
    <w:rPr>
      <w:b/>
      <w:sz w:val="32"/>
    </w:rPr>
  </w:style>
  <w:style w:type="paragraph" w:customStyle="1" w:styleId="WPSOffice1">
    <w:name w:val="WPSOffice手动目录 1"/>
    <w:qFormat/>
    <w:pPr>
      <w:ind w:leftChars="0"/>
    </w:pPr>
    <w:rPr>
      <w:rFonts w:ascii="Times New Roman" w:eastAsia="宋体" w:hAnsi="Times New Roman" w:cs="Times New Roman"/>
      <w:sz w:val="20"/>
      <w:szCs w:val="20"/>
    </w:rPr>
  </w:style>
  <w:style w:type="paragraph" w:customStyle="1" w:styleId="WPSOffice2">
    <w:name w:val="WPSOffice手动目录 2"/>
    <w:qFormat/>
    <w:pPr>
      <w:ind w:leftChars="200"/>
    </w:pPr>
    <w:rPr>
      <w:rFonts w:ascii="Times New Roman" w:eastAsia="宋体" w:hAnsi="Times New Roman" w:cs="Times New Roman"/>
      <w:sz w:val="20"/>
      <w:szCs w:val="20"/>
    </w:rPr>
  </w:style>
  <w:style w:type="paragraph" w:customStyle="1" w:styleId="WPSOffice3">
    <w:name w:val="WPSOffice手动目录 3"/>
    <w:qFormat/>
    <w:pPr>
      <w:ind w:leftChars="400"/>
    </w:pPr>
    <w:rPr>
      <w:rFonts w:ascii="Times New Roman" w:eastAsia="宋体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057066005133006045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张老师</cp:lastModifiedBy>
  <cp:revision>1</cp:revision>
  <dcterms:created xsi:type="dcterms:W3CDTF">2019-05-29T07:19:00Z</dcterms:created>
  <dcterms:modified xsi:type="dcterms:W3CDTF">2023-10-27T06:08:30Z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1E46FCFE4C6B4B95BD342B131F08DFCC_12</vt:lpwstr>
  </property>
  <property fmtid="{D5CDD505-2E9C-101B-9397-08002B2CF9AE}" pid="3" name="KSOProductBuildVer">
    <vt:lpwstr>2052-12.1.0.15712</vt:lpwstr>
  </property>
</Properties>
</file>