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2018-2023年兴安职业技术学院高职单招（数学／语文／英语）历年常考试题库含答案解析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孟子用“五十步笑百步”说理的论证方法属于（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李清照《声声慢》（寻寻觅觅）是（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A.婉约词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C.风雅词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D.田园词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下列关于“词”的常识表述错误的是（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A.词起始于唐代，盛行于宋代。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B.词由五言诗、七言诗和民间歌谣发展而成。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C.词有词牌，不同词牌有不同的押韵规则。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D.词可分为“婉约”与“豪放”两大流派，并以“豪放派”为正宗。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《红楼梦》全书总共包括多少回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A.60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B.80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C.200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D.120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马致远的《天净沙·秋思》最突出的艺术特色是（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A.设景抒情、时空跳跃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B.设景抒情、多用比兴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C.借景抒情、寓情于景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D.借景抒情、多用比兴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陶渊明《饮酒（其五）》的体裁是（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D.杂言诗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A.孟尝君不说，曰：“诺，先生休矣！”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B.今将军尚不得夜行，何乃故也。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C.虏多且近，即有急，奈何。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D.愿陛下矜愍愚诚，听臣微志。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和柳宗元相关的是（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B.古文运动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C.诗文革新运动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D.诗界革命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《氓》选自《诗经》中的（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下列关于作家、作品的搭配，完全正确的是（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A.鲁迅——《坟》《灯下漫笔》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B.茅盾——《故都的秋》《子夜》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C.朱自清——《背影》《香市》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D.钱钟书——《围城》《论毅力》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郁达夫《故都的秋》是一篇（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A.反映地方民情风俗的散文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C.写景散文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找出下列运用比兴手法的诗句（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B.来归相怨怒，但坐观罗敷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C.周公吐哺，天下归心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D.长风破浪会有时，直挂云帆济沧海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下列成语出于庄子《秋水》的是（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A.贻笑大方、分崩离析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C.分崩离析、祸起萧墙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https://d.book118.com/058004062134006040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58004062134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