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VR虚拟相关行业公司成立报告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eastAsia="zh-CN"/>
          </w:rPr>
          <w:t>(一)、VR虚拟项目选址原则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(五)、VR虚拟项目选址综合评价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二、VR虚拟筹建公司基本信息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(七)、VR虚拟项目建设必要性分析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六、VR虚拟项目风险分析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(一)、VR虚拟项目风险分析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(二)、VR虚拟项目风险对策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(五)、VR虚拟项目总投资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(一)、VR虚拟项目进度安排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(二)、VR虚拟项目实施保障措施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(一)、社会责任VR虚拟项目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_Toc26387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8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20"/>
      <w:r>
        <w:rPr>
          <w:rFonts w:ascii="仿宋" w:eastAsia="仿宋" w:hAnsi="仿宋" w:cs="仿宋" w:hint="eastAsia"/>
          <w:lang w:eastAsia="zh-CN"/>
        </w:rPr>
        <w:t>(一)、VR虚拟项目选址原则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虚拟项目选址是决定工业VR虚拟项目成败的关键因素之一。根据现行政策，VR虚拟项目选址必须符合一系列要求，以确保城乡建设、环境保护和资源利用的协调。以下是一些关于VR虚拟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VR虚拟项目选址必须与当地城乡建设总体规划相一致。它应该符合工业VR虚拟项目占地使用规划的要求，并与大气污染防治、水资源和自然生态保护政策相协调。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VR虚拟项目选址应避开自然保护区、风景名胜区、生活饮用水源地和其他特别需要保护的敏感性目标。这有助于维护自然环境的完整性和生态系统的稳定。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VR虚拟项目选址应充分考虑土地资源的节约。最好选择空闲地、非耕地或荒地，以减少对良田或耕地的占用。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VR虚拟项目选址应提供足够的场地，以满足工艺和辅助生产设施的建设需要。这有助于确保生产流程的高效运行。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VR虚拟项目选址应具备良好的生产基础条件，包括充足的水源、电力、运输和可靠的能源供应。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VR虚拟项目选址应地势平缓，便于排除雨水和处理生产、生活废水。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VR虚拟项目选址应与居民区及环境污染敏感点保持足够的防护距离，以确保生产活动不会对人民健康和环境造成危害。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VR虚拟项目选址是VR虚拟项目成功的第一步，符合政策要求的选址将有助于确保VR虚拟项目的可持续发展，并避免对环境和社会造成不利影响。因此，在VR虚拟项目规划和选址阶段，应认真考虑这些原则和要求。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5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https://d.book118.com/058011051137006030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VR虚拟相关行业公司成立报告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VR虚拟相关行业公司成立报告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VR虚拟相关行业公司成立报告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VR虚拟相关行业公司成立报告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VR虚拟相关行业公司成立报告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11051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2024-01-01T10:29:00Z</dcterms:created>
  <dcterms:modified xsi:type="dcterms:W3CDTF">2024-01-01T10:29:26Z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D5FD7C392DD34622B8D225EED82A8DA3_11</vt:lpwstr>
  </property>
  <property fmtid="{D5CDD505-2E9C-101B-9397-08002B2CF9AE}" pid="3" name="KSOProductBuildVer">
    <vt:lpwstr>2052-12.1.0.16120</vt:lpwstr>
  </property>
</Properties>
</file>