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spacing w:before="180" w:line="218" w:lineRule="auto"/>
        <w:ind w:left="45"/>
        <w:outlineLvl w:val="0"/>
        <w:rPr>
          <w:rFonts w:ascii="FangSong" w:eastAsia="FangSong" w:hAnsi="FangSong" w:cs="FangSong"/>
          <w:sz w:val="28"/>
          <w:szCs w:val="28"/>
        </w:rPr>
      </w:pPr>
      <w:r>
        <w:rPr>
          <w:rFonts w:ascii="FangSong" w:eastAsia="FangSong" w:hAnsi="FangSong" w:cs="FangSong"/>
          <w:b/>
          <w:bCs/>
          <w:color w:val="0D0D0D"/>
          <w:spacing w:val="-4"/>
          <w:sz w:val="28"/>
          <w:szCs w:val="28"/>
        </w:rPr>
        <w:t>1</w:t>
      </w:r>
      <w:r>
        <w:rPr>
          <w:rFonts w:ascii="FangSong" w:eastAsia="FangSong" w:hAnsi="FangSong" w:cs="FangSong"/>
          <w:color w:val="0D0D0D"/>
          <w:spacing w:val="-4"/>
          <w:sz w:val="28"/>
          <w:szCs w:val="28"/>
        </w:rPr>
        <w:t xml:space="preserve"> </w:t>
      </w:r>
      <w:r>
        <w:rPr>
          <w:rFonts w:ascii="FangSong" w:eastAsia="FangSong" w:hAnsi="FangSong" w:cs="FangSong"/>
          <w:b/>
          <w:bCs/>
          <w:color w:val="0D0D0D"/>
          <w:spacing w:val="-4"/>
          <w:sz w:val="28"/>
          <w:szCs w:val="28"/>
        </w:rPr>
        <w:t>任务来源、标准制定的目的和意义</w:t>
      </w:r>
    </w:p>
    <w:p>
      <w:pPr>
        <w:spacing w:before="237" w:line="217" w:lineRule="auto"/>
        <w:ind w:left="40"/>
        <w:outlineLvl w:val="1"/>
        <w:rPr>
          <w:rFonts w:ascii="FangSong" w:eastAsia="FangSong" w:hAnsi="FangSong" w:cs="FangSong"/>
          <w:sz w:val="24"/>
          <w:szCs w:val="24"/>
        </w:rPr>
      </w:pPr>
      <w:r>
        <w:rPr>
          <w:rFonts w:ascii="FangSong" w:eastAsia="FangSong" w:hAnsi="FangSong" w:cs="FangSong"/>
          <w:b/>
          <w:bCs/>
          <w:color w:val="0D0D0D"/>
          <w:spacing w:val="-8"/>
          <w:sz w:val="24"/>
          <w:szCs w:val="24"/>
        </w:rPr>
        <w:t>1.1</w:t>
      </w:r>
      <w:r>
        <w:rPr>
          <w:rFonts w:ascii="FangSong" w:eastAsia="FangSong" w:hAnsi="FangSong" w:cs="FangSong"/>
          <w:color w:val="0D0D0D"/>
          <w:spacing w:val="18"/>
          <w:sz w:val="24"/>
          <w:szCs w:val="24"/>
        </w:rPr>
        <w:t xml:space="preserve"> </w:t>
      </w:r>
      <w:r>
        <w:rPr>
          <w:rFonts w:ascii="FangSong" w:eastAsia="FangSong" w:hAnsi="FangSong" w:cs="FangSong"/>
          <w:b/>
          <w:bCs/>
          <w:color w:val="0D0D0D"/>
          <w:spacing w:val="-8"/>
          <w:sz w:val="24"/>
          <w:szCs w:val="24"/>
        </w:rPr>
        <w:t>任务来源</w:t>
      </w:r>
    </w:p>
    <w:p>
      <w:pPr>
        <w:pStyle w:val="BodyText"/>
        <w:spacing w:before="109" w:line="359" w:lineRule="auto"/>
        <w:ind w:left="22" w:firstLine="494"/>
      </w:pPr>
      <w:r>
        <w:rPr>
          <w:color w:val="0D0D0D"/>
          <w:spacing w:val="-13"/>
        </w:rPr>
        <w:t>随着工业化和农业集约化的发展，</w:t>
      </w:r>
      <w:r>
        <w:rPr>
          <w:color w:val="0D0D0D"/>
          <w:spacing w:val="40"/>
        </w:rPr>
        <w:t xml:space="preserve"> </w:t>
      </w:r>
      <w:r>
        <w:rPr>
          <w:color w:val="0D0D0D"/>
          <w:spacing w:val="-13"/>
        </w:rPr>
        <w:t>工业污染严重，</w:t>
      </w:r>
      <w:r>
        <w:rPr>
          <w:color w:val="0D0D0D"/>
          <w:spacing w:val="38"/>
        </w:rPr>
        <w:t xml:space="preserve"> </w:t>
      </w:r>
      <w:r>
        <w:rPr>
          <w:color w:val="0D0D0D"/>
          <w:spacing w:val="-13"/>
        </w:rPr>
        <w:t>化</w:t>
      </w:r>
      <w:r>
        <w:rPr>
          <w:color w:val="0D0D0D"/>
          <w:spacing w:val="-14"/>
        </w:rPr>
        <w:t xml:space="preserve">肥、农药、地膜等农业  </w:t>
      </w:r>
      <w:r>
        <w:rPr>
          <w:color w:val="0D0D0D"/>
          <w:spacing w:val="-10"/>
        </w:rPr>
        <w:t xml:space="preserve">投入品的不合理施用， 农业废弃物的大量产生及随意丢弃， 导致农产品产地土壤  </w:t>
      </w:r>
      <w:r>
        <w:rPr>
          <w:color w:val="0D0D0D"/>
          <w:spacing w:val="-7"/>
        </w:rPr>
        <w:t xml:space="preserve">质量不断下降。而产地土壤质量的优劣直接影响着农产品的质量安全， 关系美丽  </w:t>
      </w:r>
      <w:r>
        <w:rPr>
          <w:color w:val="0D0D0D"/>
          <w:spacing w:val="-6"/>
        </w:rPr>
        <w:t>中国建设，</w:t>
      </w:r>
      <w:r>
        <w:rPr>
          <w:color w:val="0D0D0D"/>
          <w:spacing w:val="-32"/>
        </w:rPr>
        <w:t xml:space="preserve"> </w:t>
      </w:r>
      <w:r>
        <w:rPr>
          <w:color w:val="0D0D0D"/>
          <w:spacing w:val="-6"/>
        </w:rPr>
        <w:t xml:space="preserve">保护好产地土壤环境是推进生态文明建设和维护国家生态安全的重要  </w:t>
      </w:r>
      <w:r>
        <w:rPr>
          <w:color w:val="0D0D0D"/>
          <w:spacing w:val="-8"/>
        </w:rPr>
        <w:t>内容。农产品质量安全又直接关系到人类健康。因此，</w:t>
      </w:r>
      <w:r>
        <w:rPr>
          <w:color w:val="0D0D0D"/>
          <w:spacing w:val="41"/>
        </w:rPr>
        <w:t xml:space="preserve"> </w:t>
      </w:r>
      <w:r>
        <w:rPr>
          <w:color w:val="0D0D0D"/>
          <w:spacing w:val="-8"/>
        </w:rPr>
        <w:t xml:space="preserve">农业应该为食品提供安全  </w:t>
      </w:r>
      <w:r>
        <w:rPr>
          <w:color w:val="0D0D0D"/>
          <w:spacing w:val="-12"/>
        </w:rPr>
        <w:t>保障。随着人民生活水平的提高，</w:t>
      </w:r>
      <w:r>
        <w:rPr>
          <w:color w:val="0D0D0D"/>
          <w:spacing w:val="39"/>
        </w:rPr>
        <w:t xml:space="preserve"> </w:t>
      </w:r>
      <w:r>
        <w:rPr>
          <w:color w:val="0D0D0D"/>
          <w:spacing w:val="-12"/>
        </w:rPr>
        <w:t>对农产品的需求由数量型转向质量型，</w:t>
      </w:r>
      <w:r>
        <w:rPr>
          <w:color w:val="0D0D0D"/>
          <w:spacing w:val="30"/>
        </w:rPr>
        <w:t xml:space="preserve"> </w:t>
      </w:r>
      <w:r>
        <w:rPr>
          <w:color w:val="0D0D0D"/>
          <w:spacing w:val="-12"/>
        </w:rPr>
        <w:t xml:space="preserve">特别是  </w:t>
      </w:r>
      <w:r>
        <w:rPr>
          <w:color w:val="0D0D0D"/>
          <w:spacing w:val="-7"/>
        </w:rPr>
        <w:t xml:space="preserve">加入世界贸易组织后， 农产品出口的质量问题不断暴露。全面提高农产品质量已  </w:t>
      </w:r>
      <w:r>
        <w:rPr>
          <w:color w:val="0D0D0D"/>
          <w:spacing w:val="-6"/>
        </w:rPr>
        <w:t>经成为新时期发展农业的必然选择和参与国际竞争的重要举措，</w:t>
      </w:r>
      <w:r>
        <w:rPr>
          <w:color w:val="0D0D0D"/>
          <w:spacing w:val="-31"/>
        </w:rPr>
        <w:t xml:space="preserve"> </w:t>
      </w:r>
      <w:r>
        <w:rPr>
          <w:color w:val="0D0D0D"/>
          <w:spacing w:val="-6"/>
        </w:rPr>
        <w:t>可见发展绿色农</w:t>
      </w:r>
      <w:r>
        <w:rPr>
          <w:color w:val="0D0D0D"/>
          <w:spacing w:val="-7"/>
        </w:rPr>
        <w:t xml:space="preserve">  </w:t>
      </w:r>
      <w:r>
        <w:rPr>
          <w:color w:val="0D0D0D"/>
          <w:spacing w:val="-7"/>
        </w:rPr>
        <w:t>业尤为急迫， 因而农产品产地土壤质量问题开</w:t>
      </w:r>
      <w:r>
        <w:rPr>
          <w:color w:val="0D0D0D"/>
          <w:spacing w:val="-8"/>
        </w:rPr>
        <w:t>始受到我国政府和农业部门的重视，</w:t>
      </w:r>
      <w:r>
        <w:rPr>
          <w:color w:val="0D0D0D"/>
        </w:rPr>
        <w:t xml:space="preserve"> </w:t>
      </w:r>
      <w:r>
        <w:rPr>
          <w:color w:val="0D0D0D"/>
          <w:spacing w:val="-7"/>
        </w:rPr>
        <w:t xml:space="preserve">尤其是绿色食品的生产问题受到了云南省委省政府的高度重视。因此， 开展产地  </w:t>
      </w:r>
      <w:r>
        <w:rPr>
          <w:color w:val="0D0D0D"/>
          <w:spacing w:val="-3"/>
        </w:rPr>
        <w:t>土壤质量改良技术研究与应用对改善耕地土壤质量、提高作物品质、减肥增效以</w:t>
      </w:r>
    </w:p>
    <w:p>
      <w:pPr>
        <w:pStyle w:val="BodyText"/>
        <w:spacing w:line="219" w:lineRule="auto"/>
        <w:ind w:left="22"/>
      </w:pPr>
      <w:r>
        <w:rPr>
          <w:color w:val="0D0D0D"/>
          <w:spacing w:val="-3"/>
        </w:rPr>
        <w:t>及强化我省的农业环境保护尤为重要。</w:t>
      </w:r>
    </w:p>
    <w:p>
      <w:pPr>
        <w:pStyle w:val="BodyText"/>
        <w:spacing w:before="185" w:line="359" w:lineRule="auto"/>
        <w:ind w:left="19" w:right="110" w:firstLine="486"/>
        <w:sectPr>
          <w:footerReference w:type="default" r:id="rId4"/>
          <w:pgSz w:w="11907" w:h="16839"/>
          <w:pgMar w:top="1431" w:right="1611" w:bottom="1426" w:left="1785" w:header="0" w:footer="1249" w:gutter="0"/>
          <w:cols w:space="708"/>
        </w:sectPr>
      </w:pPr>
      <w:r>
        <w:rPr>
          <w:color w:val="0D0D0D"/>
          <w:spacing w:val="-7"/>
        </w:rPr>
        <w:t>葡萄是设施栽培规模最大的果树之一，近十余年来， 我国设施葡萄生产</w:t>
      </w:r>
      <w:r>
        <w:rPr>
          <w:color w:val="0D0D0D"/>
          <w:spacing w:val="-8"/>
        </w:rPr>
        <w:t xml:space="preserve">以前 </w:t>
      </w:r>
      <w:r>
        <w:rPr>
          <w:color w:val="0D0D0D"/>
          <w:spacing w:val="-11"/>
        </w:rPr>
        <w:t>所未有的速度迅猛发展，</w:t>
      </w:r>
      <w:r>
        <w:rPr>
          <w:color w:val="0D0D0D"/>
          <w:spacing w:val="-34"/>
        </w:rPr>
        <w:t xml:space="preserve"> </w:t>
      </w:r>
      <w:r>
        <w:rPr>
          <w:color w:val="0D0D0D"/>
          <w:spacing w:val="-11"/>
        </w:rPr>
        <w:t>据国际葡萄与葡萄酒</w:t>
      </w:r>
      <w:r>
        <w:rPr>
          <w:color w:val="0D0D0D"/>
          <w:spacing w:val="-12"/>
        </w:rPr>
        <w:t>组织（</w:t>
      </w:r>
      <w:r>
        <w:rPr>
          <w:rFonts w:ascii="Times New Roman" w:eastAsia="Times New Roman" w:hAnsi="Times New Roman" w:cs="Times New Roman"/>
          <w:color w:val="0D0D0D"/>
          <w:spacing w:val="-12"/>
        </w:rPr>
        <w:t>OIV</w:t>
      </w:r>
      <w:r>
        <w:rPr>
          <w:color w:val="0D0D0D"/>
          <w:spacing w:val="-12"/>
        </w:rPr>
        <w:t>）发布的最新数据显示，</w:t>
      </w:r>
      <w:r>
        <w:rPr>
          <w:color w:val="0D0D0D"/>
        </w:rPr>
        <w:t xml:space="preserve">  </w:t>
      </w:r>
      <w:r>
        <w:rPr>
          <w:rFonts w:ascii="Times New Roman" w:eastAsia="Times New Roman" w:hAnsi="Times New Roman" w:cs="Times New Roman"/>
          <w:color w:val="0D0D0D"/>
          <w:spacing w:val="-4"/>
        </w:rPr>
        <w:t>2021</w:t>
      </w:r>
      <w:r>
        <w:rPr>
          <w:rFonts w:ascii="Times New Roman" w:eastAsia="Times New Roman" w:hAnsi="Times New Roman" w:cs="Times New Roman"/>
          <w:color w:val="0D0D0D"/>
          <w:spacing w:val="35"/>
        </w:rPr>
        <w:t xml:space="preserve"> </w:t>
      </w:r>
      <w:r>
        <w:rPr>
          <w:color w:val="0D0D0D"/>
          <w:spacing w:val="-4"/>
        </w:rPr>
        <w:t>年，中国葡萄种植面积达</w:t>
      </w:r>
      <w:r>
        <w:rPr>
          <w:color w:val="0D0D0D"/>
          <w:spacing w:val="-42"/>
        </w:rPr>
        <w:t xml:space="preserve"> </w:t>
      </w:r>
      <w:r>
        <w:rPr>
          <w:rFonts w:ascii="Times New Roman" w:eastAsia="Times New Roman" w:hAnsi="Times New Roman" w:cs="Times New Roman"/>
          <w:color w:val="0D0D0D"/>
          <w:spacing w:val="-4"/>
        </w:rPr>
        <w:t>78.3</w:t>
      </w:r>
      <w:r>
        <w:rPr>
          <w:rFonts w:ascii="Times New Roman" w:eastAsia="Times New Roman" w:hAnsi="Times New Roman" w:cs="Times New Roman"/>
          <w:color w:val="0D0D0D"/>
          <w:spacing w:val="25"/>
        </w:rPr>
        <w:t xml:space="preserve"> </w:t>
      </w:r>
      <w:r>
        <w:rPr>
          <w:color w:val="0D0D0D"/>
          <w:spacing w:val="-4"/>
        </w:rPr>
        <w:t>万公顷，位居世界第三，</w:t>
      </w:r>
      <w:r>
        <w:rPr>
          <w:color w:val="0D0D0D"/>
          <w:spacing w:val="-25"/>
        </w:rPr>
        <w:t xml:space="preserve"> </w:t>
      </w:r>
      <w:r>
        <w:rPr>
          <w:color w:val="0D0D0D"/>
          <w:spacing w:val="-4"/>
        </w:rPr>
        <w:t>其中云南省葡萄种</w:t>
      </w:r>
      <w:r>
        <w:rPr>
          <w:color w:val="0D0D0D"/>
        </w:rPr>
        <w:t xml:space="preserve"> </w:t>
      </w:r>
      <w:r>
        <w:rPr>
          <w:color w:val="0D0D0D"/>
          <w:spacing w:val="-7"/>
        </w:rPr>
        <w:t>植面积约为</w:t>
      </w:r>
      <w:r>
        <w:rPr>
          <w:color w:val="0D0D0D"/>
          <w:spacing w:val="-40"/>
        </w:rPr>
        <w:t xml:space="preserve"> </w:t>
      </w:r>
      <w:r>
        <w:rPr>
          <w:rFonts w:ascii="Times New Roman" w:eastAsia="Times New Roman" w:hAnsi="Times New Roman" w:cs="Times New Roman"/>
          <w:color w:val="0D0D0D"/>
          <w:spacing w:val="-7"/>
        </w:rPr>
        <w:t>3.9</w:t>
      </w:r>
      <w:r>
        <w:rPr>
          <w:rFonts w:ascii="Times New Roman" w:eastAsia="Times New Roman" w:hAnsi="Times New Roman" w:cs="Times New Roman"/>
          <w:color w:val="0D0D0D"/>
          <w:spacing w:val="15"/>
        </w:rPr>
        <w:t xml:space="preserve"> </w:t>
      </w:r>
      <w:r>
        <w:rPr>
          <w:color w:val="0D0D0D"/>
          <w:spacing w:val="-7"/>
        </w:rPr>
        <w:t>万公顷。设施葡萄产业的发展给农民带来了巨大的经济效益，</w:t>
      </w:r>
      <w:r>
        <w:rPr>
          <w:color w:val="0D0D0D"/>
          <w:spacing w:val="42"/>
        </w:rPr>
        <w:t xml:space="preserve"> </w:t>
      </w:r>
      <w:r>
        <w:rPr>
          <w:color w:val="0D0D0D"/>
          <w:spacing w:val="-7"/>
        </w:rPr>
        <w:t xml:space="preserve">但 </w:t>
      </w:r>
      <w:r>
        <w:rPr>
          <w:color w:val="0D0D0D"/>
          <w:spacing w:val="-7"/>
        </w:rPr>
        <w:t xml:space="preserve">是设施栽培相对封闭的微生态环境与露天条件有着明显的不同， 随着设施葡萄种 </w:t>
      </w:r>
      <w:r>
        <w:rPr>
          <w:color w:val="0D0D0D"/>
          <w:spacing w:val="-12"/>
        </w:rPr>
        <w:t>植年限的增加，</w:t>
      </w:r>
      <w:r>
        <w:rPr>
          <w:color w:val="0D0D0D"/>
          <w:spacing w:val="40"/>
        </w:rPr>
        <w:t xml:space="preserve"> </w:t>
      </w:r>
      <w:r>
        <w:rPr>
          <w:color w:val="0D0D0D"/>
          <w:spacing w:val="-12"/>
        </w:rPr>
        <w:t>设施内诸多问题陆续显现，</w:t>
      </w:r>
      <w:r>
        <w:rPr>
          <w:color w:val="0D0D0D"/>
          <w:spacing w:val="30"/>
        </w:rPr>
        <w:t xml:space="preserve"> </w:t>
      </w:r>
      <w:r>
        <w:rPr>
          <w:color w:val="0D0D0D"/>
          <w:spacing w:val="-12"/>
        </w:rPr>
        <w:t xml:space="preserve">特别是土壤酸化板结、次生盐渍化和 </w:t>
      </w:r>
      <w:r>
        <w:rPr>
          <w:color w:val="0D0D0D"/>
          <w:spacing w:val="-7"/>
        </w:rPr>
        <w:t xml:space="preserve">养分不平衡等产地土壤退化问题， 已经成为云南省葡萄产量与品质最主要的影响 </w:t>
      </w:r>
      <w:r>
        <w:rPr>
          <w:color w:val="0D0D0D"/>
          <w:spacing w:val="-8"/>
        </w:rPr>
        <w:t>因素。为此，</w:t>
      </w:r>
      <w:r>
        <w:rPr>
          <w:color w:val="0D0D0D"/>
          <w:spacing w:val="46"/>
        </w:rPr>
        <w:t xml:space="preserve"> </w:t>
      </w:r>
      <w:r>
        <w:rPr>
          <w:color w:val="0D0D0D"/>
          <w:spacing w:val="-8"/>
        </w:rPr>
        <w:t xml:space="preserve">针对我省葡萄产地环境中普遍存在的土壤质量退化（酸化板结、次 </w:t>
      </w:r>
      <w:r>
        <w:rPr>
          <w:color w:val="0D0D0D"/>
          <w:spacing w:val="-3"/>
        </w:rPr>
        <w:t>生盐渍化、养分失调）等问题，设置典型葡萄产地土壤质量退化改良技术研究内</w:t>
      </w:r>
      <w:r>
        <w:rPr>
          <w:color w:val="0D0D0D"/>
          <w:spacing w:val="5"/>
        </w:rPr>
        <w:t xml:space="preserve"> </w:t>
      </w:r>
      <w:r>
        <w:rPr>
          <w:color w:val="0D0D0D"/>
          <w:spacing w:val="-10"/>
        </w:rPr>
        <w:t xml:space="preserve">容开展课题研究， 结合土壤改良剂土壤调理剂行业发展要求， 研发出针对葡萄产 </w:t>
      </w:r>
      <w:r>
        <w:rPr>
          <w:color w:val="0D0D0D"/>
          <w:spacing w:val="-6"/>
        </w:rPr>
        <w:t>地主要退化成因土壤共</w:t>
      </w:r>
      <w:r>
        <w:rPr>
          <w:color w:val="0D0D0D"/>
          <w:spacing w:val="-36"/>
        </w:rPr>
        <w:t xml:space="preserve"> </w:t>
      </w:r>
      <w:r>
        <w:rPr>
          <w:rFonts w:ascii="Times New Roman" w:eastAsia="Times New Roman" w:hAnsi="Times New Roman" w:cs="Times New Roman"/>
          <w:color w:val="0D0D0D"/>
          <w:spacing w:val="-6"/>
        </w:rPr>
        <w:t xml:space="preserve">6 </w:t>
      </w:r>
      <w:r>
        <w:rPr>
          <w:color w:val="0D0D0D"/>
          <w:spacing w:val="-6"/>
        </w:rPr>
        <w:t>种土壤改良剂新产品，</w:t>
      </w:r>
      <w:r>
        <w:rPr>
          <w:color w:val="0D0D0D"/>
          <w:spacing w:val="-27"/>
        </w:rPr>
        <w:t xml:space="preserve"> </w:t>
      </w:r>
      <w:r>
        <w:rPr>
          <w:color w:val="0D0D0D"/>
          <w:spacing w:val="-6"/>
        </w:rPr>
        <w:t>并进行较大面积的示范推广与应</w:t>
      </w:r>
      <w:r>
        <w:rPr>
          <w:color w:val="0D0D0D"/>
        </w:rPr>
        <w:t xml:space="preserve"> </w:t>
      </w:r>
      <w:r>
        <w:rPr>
          <w:color w:val="0D0D0D"/>
          <w:spacing w:val="-8"/>
        </w:rPr>
        <w:t>用，</w:t>
      </w:r>
      <w:r>
        <w:rPr>
          <w:color w:val="0D0D0D"/>
          <w:spacing w:val="-52"/>
        </w:rPr>
        <w:t xml:space="preserve"> </w:t>
      </w:r>
      <w:r>
        <w:rPr>
          <w:color w:val="0D0D0D"/>
          <w:spacing w:val="-8"/>
        </w:rPr>
        <w:t>同时集成一套成熟适用的葡萄种植产地环境净化</w:t>
      </w:r>
      <w:r>
        <w:rPr>
          <w:color w:val="0D0D0D"/>
          <w:spacing w:val="-9"/>
        </w:rPr>
        <w:t xml:space="preserve">技术体系， 为提高云南果蔬 </w:t>
      </w:r>
      <w:r>
        <w:rPr>
          <w:color w:val="0D0D0D"/>
          <w:spacing w:val="-15"/>
        </w:rPr>
        <w:t>品质，</w:t>
      </w:r>
      <w:r>
        <w:rPr>
          <w:color w:val="0D0D0D"/>
          <w:spacing w:val="-28"/>
        </w:rPr>
        <w:t xml:space="preserve"> </w:t>
      </w:r>
      <w:r>
        <w:rPr>
          <w:color w:val="0D0D0D"/>
          <w:spacing w:val="-15"/>
        </w:rPr>
        <w:t>保障果蔬产品安全，</w:t>
      </w:r>
      <w:r>
        <w:rPr>
          <w:color w:val="0D0D0D"/>
          <w:spacing w:val="57"/>
        </w:rPr>
        <w:t xml:space="preserve"> </w:t>
      </w:r>
      <w:r>
        <w:rPr>
          <w:color w:val="0D0D0D"/>
          <w:spacing w:val="-15"/>
        </w:rPr>
        <w:t>以及果蔬产业的可持续健康发展提供</w:t>
      </w:r>
      <w:r>
        <w:rPr>
          <w:color w:val="0D0D0D"/>
          <w:spacing w:val="-16"/>
        </w:rPr>
        <w:t>技术支撑。</w:t>
      </w:r>
      <w:r>
        <w:rPr>
          <w:color w:val="0D0D0D"/>
          <w:spacing w:val="37"/>
        </w:rPr>
        <w:t xml:space="preserve"> </w:t>
      </w:r>
      <w:r>
        <w:rPr>
          <w:color w:val="0D0D0D"/>
          <w:spacing w:val="-16"/>
        </w:rPr>
        <w:t xml:space="preserve">同时 </w:t>
      </w:r>
      <w:r>
        <w:rPr>
          <w:color w:val="0D0D0D"/>
          <w:spacing w:val="-1"/>
        </w:rPr>
        <w:t>在该课题研究的基础上，将葡萄园地退化土壤改良技术以标准形式编制、发布、</w:t>
      </w:r>
    </w:p>
    <w:p>
      <w:pPr>
        <w:pStyle w:val="BodyText"/>
        <w:spacing w:before="1" w:line="218" w:lineRule="auto"/>
        <w:ind w:left="23"/>
      </w:pPr>
      <w:r>
        <w:rPr>
          <w:color w:val="0D0D0D"/>
          <w:spacing w:val="-2"/>
        </w:rPr>
        <w:t>推广，以期为云南省葡萄园地退化土壤改良提供技术支撑。</w:t>
      </w:r>
    </w:p>
    <w:p>
      <w:pPr>
        <w:spacing w:line="218" w:lineRule="auto"/>
        <w:sectPr>
          <w:footerReference w:type="default" r:id="rId5"/>
          <w:type w:val="nextPage"/>
          <w:pgSz w:w="11907" w:h="16839"/>
          <w:pgMar w:top="1431" w:right="1611" w:bottom="1426" w:left="1785" w:header="0" w:footer="1249" w:gutter="0"/>
          <w:pgNumType w:start="2"/>
          <w:cols w:space="708"/>
          <w:titlePg w:val="0"/>
        </w:sectPr>
      </w:pPr>
    </w:p>
    <w:p>
      <w:pPr>
        <w:spacing w:before="158" w:line="217" w:lineRule="auto"/>
        <w:ind w:left="30"/>
        <w:outlineLvl w:val="1"/>
        <w:rPr>
          <w:rFonts w:ascii="FangSong" w:eastAsia="FangSong" w:hAnsi="FangSong" w:cs="FangSong"/>
          <w:sz w:val="24"/>
          <w:szCs w:val="24"/>
        </w:rPr>
      </w:pPr>
      <w:r>
        <w:rPr>
          <w:rFonts w:ascii="Times New Roman" w:eastAsia="Times New Roman" w:hAnsi="Times New Roman" w:cs="Times New Roman"/>
          <w:b/>
          <w:bCs/>
          <w:color w:val="0D0D0D"/>
          <w:spacing w:val="-3"/>
          <w:sz w:val="24"/>
          <w:szCs w:val="24"/>
        </w:rPr>
        <w:t xml:space="preserve">1.2  </w:t>
      </w:r>
      <w:r>
        <w:rPr>
          <w:rFonts w:ascii="FangSong" w:eastAsia="FangSong" w:hAnsi="FangSong" w:cs="FangSong"/>
          <w:b/>
          <w:bCs/>
          <w:color w:val="0D0D0D"/>
          <w:spacing w:val="-3"/>
          <w:sz w:val="24"/>
          <w:szCs w:val="24"/>
        </w:rPr>
        <w:t>标准制定的目的意义</w:t>
      </w:r>
    </w:p>
    <w:p>
      <w:pPr>
        <w:pStyle w:val="BodyText"/>
        <w:spacing w:before="142" w:line="359" w:lineRule="auto"/>
        <w:ind w:left="22" w:right="85" w:firstLine="481"/>
        <w:jc w:val="both"/>
      </w:pPr>
      <w:r>
        <w:rPr>
          <w:color w:val="0D0D0D"/>
          <w:spacing w:val="-3"/>
        </w:rPr>
        <w:t>开展产地土壤质量改良技术研究与应用对改善我省园地土壤质量</w:t>
      </w:r>
      <w:r>
        <w:rPr>
          <w:color w:val="0D0D0D"/>
          <w:spacing w:val="-4"/>
        </w:rPr>
        <w:t>、提高果实</w:t>
      </w:r>
      <w:r>
        <w:rPr>
          <w:color w:val="0D0D0D"/>
        </w:rPr>
        <w:t xml:space="preserve"> </w:t>
      </w:r>
      <w:r>
        <w:rPr>
          <w:color w:val="0D0D0D"/>
          <w:spacing w:val="-3"/>
        </w:rPr>
        <w:t>品质、减肥增效以及强化产地环境保护尤为重要。本标准针对云南省葡萄尤其是</w:t>
      </w:r>
      <w:r>
        <w:rPr>
          <w:color w:val="0D0D0D"/>
        </w:rPr>
        <w:t xml:space="preserve"> </w:t>
      </w:r>
      <w:r>
        <w:rPr>
          <w:color w:val="0D0D0D"/>
          <w:spacing w:val="-3"/>
        </w:rPr>
        <w:t>设施葡萄产地土壤酸化、次生盐渍化和养分不平衡等退化问题，提出针对云南葡</w:t>
      </w:r>
      <w:r>
        <w:rPr>
          <w:color w:val="0D0D0D"/>
          <w:spacing w:val="1"/>
        </w:rPr>
        <w:t xml:space="preserve"> </w:t>
      </w:r>
      <w:r>
        <w:rPr>
          <w:color w:val="0D0D0D"/>
          <w:spacing w:val="-3"/>
        </w:rPr>
        <w:t>萄主产区不同成因退化土壤的改良技术规范。该标准将指导葡萄产地土壤的平衡</w:t>
      </w:r>
      <w:r>
        <w:rPr>
          <w:color w:val="0D0D0D"/>
          <w:spacing w:val="2"/>
        </w:rPr>
        <w:t xml:space="preserve"> </w:t>
      </w:r>
      <w:r>
        <w:rPr>
          <w:color w:val="0D0D0D"/>
          <w:spacing w:val="-10"/>
        </w:rPr>
        <w:t>施肥及土壤质量提升管理，</w:t>
      </w:r>
      <w:r>
        <w:rPr>
          <w:color w:val="0D0D0D"/>
          <w:spacing w:val="-31"/>
        </w:rPr>
        <w:t xml:space="preserve"> </w:t>
      </w:r>
      <w:r>
        <w:rPr>
          <w:color w:val="0D0D0D"/>
          <w:spacing w:val="-10"/>
        </w:rPr>
        <w:t>并能减少化肥的浪费和减少农业肥料污染，</w:t>
      </w:r>
      <w:r>
        <w:rPr>
          <w:color w:val="0D0D0D"/>
          <w:spacing w:val="37"/>
        </w:rPr>
        <w:t xml:space="preserve"> </w:t>
      </w:r>
      <w:r>
        <w:rPr>
          <w:color w:val="0D0D0D"/>
          <w:spacing w:val="-10"/>
        </w:rPr>
        <w:t>同时起到</w:t>
      </w:r>
      <w:r>
        <w:rPr>
          <w:color w:val="0D0D0D"/>
        </w:rPr>
        <w:t xml:space="preserve"> </w:t>
      </w:r>
      <w:r>
        <w:rPr>
          <w:color w:val="0D0D0D"/>
          <w:spacing w:val="-3"/>
        </w:rPr>
        <w:t>提高葡萄产量、品质以及实现减肥增效的目的，对云南省葡萄产业的健康发展起</w:t>
      </w:r>
    </w:p>
    <w:p>
      <w:pPr>
        <w:pStyle w:val="BodyText"/>
        <w:spacing w:line="220" w:lineRule="auto"/>
        <w:ind w:left="30"/>
      </w:pPr>
      <w:r>
        <w:rPr>
          <w:color w:val="0D0D0D"/>
          <w:spacing w:val="-3"/>
        </w:rPr>
        <w:t>到积极作用。</w:t>
      </w:r>
    </w:p>
    <w:p>
      <w:pPr>
        <w:spacing w:line="285" w:lineRule="auto"/>
        <w:rPr>
          <w:rFonts w:ascii="Arial"/>
          <w:sz w:val="21"/>
        </w:rPr>
      </w:pPr>
    </w:p>
    <w:p>
      <w:pPr>
        <w:spacing w:before="91" w:line="216" w:lineRule="auto"/>
        <w:ind w:left="21"/>
        <w:outlineLvl w:val="0"/>
        <w:rPr>
          <w:rFonts w:ascii="FangSong" w:eastAsia="FangSong" w:hAnsi="FangSong" w:cs="FangSong"/>
          <w:sz w:val="28"/>
          <w:szCs w:val="28"/>
        </w:rPr>
      </w:pPr>
      <w:r>
        <w:rPr>
          <w:rFonts w:ascii="Times New Roman" w:eastAsia="Times New Roman" w:hAnsi="Times New Roman" w:cs="Times New Roman"/>
          <w:b/>
          <w:bCs/>
          <w:color w:val="0D0D0D"/>
          <w:spacing w:val="-4"/>
          <w:sz w:val="28"/>
          <w:szCs w:val="28"/>
        </w:rPr>
        <w:t>2</w:t>
      </w:r>
      <w:r>
        <w:rPr>
          <w:rFonts w:ascii="Times New Roman" w:eastAsia="Times New Roman" w:hAnsi="Times New Roman" w:cs="Times New Roman"/>
          <w:b/>
          <w:bCs/>
          <w:color w:val="0D0D0D"/>
          <w:spacing w:val="25"/>
          <w:w w:val="101"/>
          <w:sz w:val="28"/>
          <w:szCs w:val="28"/>
        </w:rPr>
        <w:t xml:space="preserve">  </w:t>
      </w:r>
      <w:r>
        <w:rPr>
          <w:rFonts w:ascii="FangSong" w:eastAsia="FangSong" w:hAnsi="FangSong" w:cs="FangSong"/>
          <w:b/>
          <w:bCs/>
          <w:color w:val="0D0D0D"/>
          <w:spacing w:val="-4"/>
          <w:sz w:val="28"/>
          <w:szCs w:val="28"/>
        </w:rPr>
        <w:t>国家标准、行业标准以及省内外标准的制</w:t>
      </w:r>
      <w:r>
        <w:rPr>
          <w:rFonts w:ascii="FangSong" w:eastAsia="FangSong" w:hAnsi="FangSong" w:cs="FangSong"/>
          <w:b/>
          <w:bCs/>
          <w:color w:val="0D0D0D"/>
          <w:spacing w:val="-5"/>
          <w:sz w:val="28"/>
          <w:szCs w:val="28"/>
        </w:rPr>
        <w:t>定发布情况</w:t>
      </w:r>
    </w:p>
    <w:p>
      <w:pPr>
        <w:pStyle w:val="BodyText"/>
        <w:spacing w:before="227" w:line="359" w:lineRule="auto"/>
        <w:ind w:left="5" w:firstLine="498"/>
        <w:jc w:val="both"/>
      </w:pPr>
      <w:r>
        <w:rPr>
          <w:color w:val="0D0D0D"/>
          <w:spacing w:val="-19"/>
        </w:rPr>
        <w:t>通过在“标准数据库</w:t>
      </w:r>
      <w:r>
        <w:rPr>
          <w:color w:val="0D0D0D"/>
          <w:spacing w:val="-85"/>
        </w:rPr>
        <w:t xml:space="preserve"> </w:t>
      </w:r>
      <w:r>
        <w:rPr>
          <w:color w:val="0D0D0D"/>
          <w:spacing w:val="-19"/>
        </w:rPr>
        <w:t>”、“食品伙伴网</w:t>
      </w:r>
      <w:r>
        <w:rPr>
          <w:color w:val="0D0D0D"/>
          <w:spacing w:val="-88"/>
        </w:rPr>
        <w:t xml:space="preserve"> </w:t>
      </w:r>
      <w:r>
        <w:rPr>
          <w:color w:val="0D0D0D"/>
          <w:spacing w:val="-19"/>
        </w:rPr>
        <w:t>”、“百度</w:t>
      </w:r>
      <w:r>
        <w:rPr>
          <w:color w:val="0D0D0D"/>
          <w:spacing w:val="-88"/>
        </w:rPr>
        <w:t xml:space="preserve"> </w:t>
      </w:r>
      <w:r>
        <w:rPr>
          <w:color w:val="0D0D0D"/>
          <w:spacing w:val="-19"/>
        </w:rPr>
        <w:t>”、“中国知网（</w:t>
      </w:r>
      <w:r>
        <w:rPr>
          <w:rFonts w:ascii="Times New Roman" w:eastAsia="Times New Roman" w:hAnsi="Times New Roman" w:cs="Times New Roman"/>
          <w:color w:val="0D0D0D"/>
          <w:spacing w:val="-19"/>
        </w:rPr>
        <w:t>CNKI</w:t>
      </w:r>
      <w:r>
        <w:rPr>
          <w:color w:val="0D0D0D"/>
          <w:spacing w:val="-19"/>
        </w:rPr>
        <w:t>）”、</w:t>
      </w:r>
      <w:r>
        <w:rPr>
          <w:color w:val="0D0D0D"/>
        </w:rPr>
        <w:t xml:space="preserve"> </w:t>
      </w:r>
      <w:r>
        <w:rPr>
          <w:color w:val="0D0D0D"/>
          <w:spacing w:val="13"/>
        </w:rPr>
        <w:t>“</w:t>
      </w:r>
      <w:r>
        <w:rPr>
          <w:color w:val="0D0D0D"/>
          <w:spacing w:val="-79"/>
        </w:rPr>
        <w:t xml:space="preserve"> </w:t>
      </w:r>
      <w:r>
        <w:rPr>
          <w:color w:val="0D0D0D"/>
          <w:spacing w:val="13"/>
        </w:rPr>
        <w:t>万方数据库</w:t>
      </w:r>
      <w:r>
        <w:rPr>
          <w:color w:val="0D0D0D"/>
          <w:spacing w:val="-66"/>
        </w:rPr>
        <w:t xml:space="preserve"> </w:t>
      </w:r>
      <w:r>
        <w:rPr>
          <w:color w:val="0D0D0D"/>
          <w:spacing w:val="13"/>
        </w:rPr>
        <w:t>”和非标准数据</w:t>
      </w:r>
      <w:r>
        <w:rPr>
          <w:color w:val="0D0D0D"/>
          <w:spacing w:val="-64"/>
        </w:rPr>
        <w:t xml:space="preserve"> </w:t>
      </w:r>
      <w:r>
        <w:rPr>
          <w:color w:val="0D0D0D"/>
          <w:spacing w:val="13"/>
        </w:rPr>
        <w:t>中等搜索平台，仅可查见</w:t>
      </w:r>
      <w:r>
        <w:rPr>
          <w:color w:val="0D0D0D"/>
          <w:spacing w:val="62"/>
        </w:rPr>
        <w:t xml:space="preserve"> </w:t>
      </w:r>
      <w:r>
        <w:rPr>
          <w:rFonts w:ascii="Times New Roman" w:eastAsia="Times New Roman" w:hAnsi="Times New Roman" w:cs="Times New Roman"/>
          <w:color w:val="0D0D0D"/>
          <w:spacing w:val="13"/>
        </w:rPr>
        <w:t xml:space="preserve">1  </w:t>
      </w:r>
      <w:r>
        <w:rPr>
          <w:color w:val="0D0D0D"/>
          <w:spacing w:val="13"/>
        </w:rPr>
        <w:t>条国标</w:t>
      </w:r>
      <w:r>
        <w:rPr>
          <w:color w:val="0D0D0D"/>
          <w:spacing w:val="-71"/>
        </w:rPr>
        <w:t xml:space="preserve"> </w:t>
      </w:r>
      <w:r>
        <w:rPr>
          <w:color w:val="0D0D0D"/>
          <w:spacing w:val="13"/>
        </w:rPr>
        <w:t>，</w:t>
      </w:r>
      <w:r>
        <w:rPr>
          <w:rFonts w:ascii="Times New Roman" w:eastAsia="Times New Roman" w:hAnsi="Times New Roman" w:cs="Times New Roman"/>
          <w:color w:val="0D0D0D"/>
        </w:rPr>
        <w:t>GB</w:t>
      </w:r>
      <w:r>
        <w:rPr>
          <w:rFonts w:ascii="Times New Roman" w:eastAsia="Times New Roman" w:hAnsi="Times New Roman" w:cs="Times New Roman"/>
          <w:color w:val="0D0D0D"/>
          <w:spacing w:val="13"/>
        </w:rPr>
        <w:t>/Z</w:t>
      </w:r>
      <w:r>
        <w:rPr>
          <w:rFonts w:ascii="Times New Roman" w:eastAsia="Times New Roman" w:hAnsi="Times New Roman" w:cs="Times New Roman"/>
          <w:color w:val="0D0D0D"/>
        </w:rPr>
        <w:t xml:space="preserve">  </w:t>
      </w:r>
      <w:r>
        <w:rPr>
          <w:rFonts w:ascii="Times New Roman" w:eastAsia="Times New Roman" w:hAnsi="Times New Roman" w:cs="Times New Roman"/>
          <w:color w:val="0D0D0D"/>
          <w:spacing w:val="1"/>
        </w:rPr>
        <w:t>39121-2020</w:t>
      </w:r>
      <w:r>
        <w:rPr>
          <w:color w:val="0D0D0D"/>
          <w:spacing w:val="1"/>
        </w:rPr>
        <w:t>《农作物秸秆炭化还</w:t>
      </w:r>
      <w:r>
        <w:rPr>
          <w:color w:val="0D0D0D"/>
        </w:rPr>
        <w:t xml:space="preserve">田土壤改良项目运营管理规范》涉及土壤改良； </w:t>
      </w:r>
      <w:r>
        <w:rPr>
          <w:color w:val="0D0D0D"/>
          <w:spacing w:val="-1"/>
        </w:rPr>
        <w:t>行业标准</w:t>
      </w:r>
      <w:r>
        <w:rPr>
          <w:color w:val="0D0D0D"/>
          <w:spacing w:val="-18"/>
        </w:rPr>
        <w:t xml:space="preserve"> </w:t>
      </w:r>
      <w:r>
        <w:rPr>
          <w:rFonts w:ascii="Times New Roman" w:eastAsia="Times New Roman" w:hAnsi="Times New Roman" w:cs="Times New Roman"/>
          <w:color w:val="0D0D0D"/>
          <w:spacing w:val="-1"/>
        </w:rPr>
        <w:t>3</w:t>
      </w:r>
      <w:r>
        <w:rPr>
          <w:rFonts w:ascii="Times New Roman" w:eastAsia="Times New Roman" w:hAnsi="Times New Roman" w:cs="Times New Roman"/>
          <w:color w:val="0D0D0D"/>
          <w:spacing w:val="28"/>
        </w:rPr>
        <w:t xml:space="preserve"> </w:t>
      </w:r>
      <w:r>
        <w:rPr>
          <w:color w:val="0D0D0D"/>
          <w:spacing w:val="-1"/>
        </w:rPr>
        <w:t>条，其中</w:t>
      </w:r>
      <w:r>
        <w:rPr>
          <w:color w:val="0D0D0D"/>
          <w:spacing w:val="-46"/>
        </w:rPr>
        <w:t xml:space="preserve"> </w:t>
      </w:r>
      <w:r>
        <w:rPr>
          <w:rFonts w:ascii="Times New Roman" w:eastAsia="Times New Roman" w:hAnsi="Times New Roman" w:cs="Times New Roman"/>
          <w:color w:val="0D0D0D"/>
          <w:spacing w:val="-1"/>
        </w:rPr>
        <w:t>NY/T  2949-2016</w:t>
      </w:r>
      <w:r>
        <w:rPr>
          <w:color w:val="0D0D0D"/>
          <w:spacing w:val="-1"/>
        </w:rPr>
        <w:t xml:space="preserve">《高标准农田建设技术规范》包含土壤改 </w:t>
      </w:r>
      <w:r>
        <w:rPr>
          <w:color w:val="0D0D0D"/>
          <w:spacing w:val="9"/>
        </w:rPr>
        <w:t>良与培肥，</w:t>
      </w:r>
      <w:r>
        <w:rPr>
          <w:color w:val="0D0D0D"/>
          <w:spacing w:val="70"/>
        </w:rPr>
        <w:t xml:space="preserve"> </w:t>
      </w:r>
      <w:r>
        <w:rPr>
          <w:rFonts w:ascii="Times New Roman" w:eastAsia="Times New Roman" w:hAnsi="Times New Roman" w:cs="Times New Roman"/>
          <w:color w:val="0D0D0D"/>
        </w:rPr>
        <w:t>NY</w:t>
      </w:r>
      <w:r>
        <w:rPr>
          <w:rFonts w:ascii="Times New Roman" w:eastAsia="Times New Roman" w:hAnsi="Times New Roman" w:cs="Times New Roman"/>
          <w:color w:val="0D0D0D"/>
          <w:spacing w:val="9"/>
        </w:rPr>
        <w:t>/T  2148-2012</w:t>
      </w:r>
      <w:r>
        <w:rPr>
          <w:rFonts w:ascii="Times New Roman" w:eastAsia="Times New Roman" w:hAnsi="Times New Roman" w:cs="Times New Roman"/>
          <w:color w:val="0D0D0D"/>
          <w:spacing w:val="-39"/>
        </w:rPr>
        <w:t xml:space="preserve"> </w:t>
      </w:r>
      <w:r>
        <w:rPr>
          <w:color w:val="0D0D0D"/>
          <w:spacing w:val="9"/>
        </w:rPr>
        <w:t>《高标准农田建设标准》包含土</w:t>
      </w:r>
      <w:r>
        <w:rPr>
          <w:color w:val="0D0D0D"/>
          <w:spacing w:val="8"/>
        </w:rPr>
        <w:t>壤培肥，</w:t>
      </w:r>
      <w:r>
        <w:rPr>
          <w:rFonts w:ascii="Times New Roman" w:eastAsia="Times New Roman" w:hAnsi="Times New Roman" w:cs="Times New Roman"/>
          <w:color w:val="0D0D0D"/>
        </w:rPr>
        <w:t>NY</w:t>
      </w:r>
      <w:r>
        <w:rPr>
          <w:rFonts w:ascii="Times New Roman" w:eastAsia="Times New Roman" w:hAnsi="Times New Roman" w:cs="Times New Roman"/>
          <w:color w:val="0D0D0D"/>
          <w:spacing w:val="8"/>
        </w:rPr>
        <w:t>∕T</w:t>
      </w:r>
      <w:r>
        <w:rPr>
          <w:rFonts w:ascii="Times New Roman" w:eastAsia="Times New Roman" w:hAnsi="Times New Roman" w:cs="Times New Roman"/>
          <w:color w:val="0D0D0D"/>
        </w:rPr>
        <w:t xml:space="preserve">  </w:t>
      </w:r>
      <w:r>
        <w:rPr>
          <w:rFonts w:ascii="Times New Roman" w:eastAsia="Times New Roman" w:hAnsi="Times New Roman" w:cs="Times New Roman"/>
          <w:color w:val="0D0D0D"/>
          <w:spacing w:val="2"/>
        </w:rPr>
        <w:t>3443-2019</w:t>
      </w:r>
      <w:r>
        <w:rPr>
          <w:color w:val="0D0D0D"/>
          <w:spacing w:val="2"/>
        </w:rPr>
        <w:t>《石灰质改良酸化土壤技术</w:t>
      </w:r>
      <w:r>
        <w:rPr>
          <w:color w:val="0D0D0D"/>
          <w:spacing w:val="1"/>
        </w:rPr>
        <w:t xml:space="preserve">规范》主要针对酸性土壤改良；地方标准 </w:t>
      </w:r>
      <w:r>
        <w:rPr>
          <w:rFonts w:ascii="Times New Roman" w:eastAsia="Times New Roman" w:hAnsi="Times New Roman" w:cs="Times New Roman"/>
          <w:color w:val="0D0D0D"/>
          <w:spacing w:val="-1"/>
        </w:rPr>
        <w:t xml:space="preserve">13 </w:t>
      </w:r>
      <w:r>
        <w:rPr>
          <w:color w:val="0D0D0D"/>
          <w:spacing w:val="-1"/>
        </w:rPr>
        <w:t>条，其中</w:t>
      </w:r>
      <w:r>
        <w:rPr>
          <w:color w:val="0D0D0D"/>
          <w:spacing w:val="-36"/>
        </w:rPr>
        <w:t xml:space="preserve"> </w:t>
      </w:r>
      <w:r>
        <w:rPr>
          <w:rFonts w:ascii="Times New Roman" w:eastAsia="Times New Roman" w:hAnsi="Times New Roman" w:cs="Times New Roman"/>
          <w:color w:val="0D0D0D"/>
          <w:spacing w:val="-1"/>
        </w:rPr>
        <w:t>DB34/T  1017-2009</w:t>
      </w:r>
      <w:r>
        <w:rPr>
          <w:color w:val="0D0D0D"/>
          <w:spacing w:val="-1"/>
        </w:rPr>
        <w:t>《农用石灰质物料酸性土壤改良技术规程》适用</w:t>
      </w:r>
      <w:r>
        <w:rPr>
          <w:color w:val="0D0D0D"/>
        </w:rPr>
        <w:t xml:space="preserve">  </w:t>
      </w:r>
      <w:r>
        <w:rPr>
          <w:color w:val="0D0D0D"/>
          <w:spacing w:val="-2"/>
        </w:rPr>
        <w:t>于安徽南部地区酸性黄红壤及其它类型的酸</w:t>
      </w:r>
      <w:r>
        <w:rPr>
          <w:color w:val="0D0D0D"/>
          <w:spacing w:val="-3"/>
        </w:rPr>
        <w:t xml:space="preserve">性土壤， </w:t>
      </w:r>
      <w:r>
        <w:rPr>
          <w:rFonts w:ascii="Times New Roman" w:eastAsia="Times New Roman" w:hAnsi="Times New Roman" w:cs="Times New Roman"/>
          <w:color w:val="0D0D0D"/>
          <w:spacing w:val="-3"/>
        </w:rPr>
        <w:t>RB/T  147-2018</w:t>
      </w:r>
      <w:r>
        <w:rPr>
          <w:color w:val="0D0D0D"/>
          <w:spacing w:val="-3"/>
        </w:rPr>
        <w:t>《有机植物</w:t>
      </w:r>
      <w:r>
        <w:rPr>
          <w:color w:val="0D0D0D"/>
        </w:rPr>
        <w:t xml:space="preserve"> </w:t>
      </w:r>
      <w:r>
        <w:rPr>
          <w:color w:val="0D0D0D"/>
          <w:spacing w:val="-3"/>
        </w:rPr>
        <w:t xml:space="preserve">生产土壤培肥与土壤改良剂评价技术规范》适用于商品化有机植物生产土壤培肥 </w:t>
      </w:r>
      <w:r>
        <w:rPr>
          <w:color w:val="0D0D0D"/>
          <w:spacing w:val="-3"/>
        </w:rPr>
        <w:t xml:space="preserve">与土壤改良剂的评价。但以上这些国家标准、行业标准或地方标准仅仅是泛泛提 </w:t>
      </w:r>
      <w:r>
        <w:rPr>
          <w:color w:val="0D0D0D"/>
          <w:spacing w:val="-9"/>
        </w:rPr>
        <w:t>及，</w:t>
      </w:r>
      <w:r>
        <w:rPr>
          <w:color w:val="0D0D0D"/>
          <w:spacing w:val="-55"/>
        </w:rPr>
        <w:t xml:space="preserve"> </w:t>
      </w:r>
      <w:r>
        <w:rPr>
          <w:color w:val="0D0D0D"/>
          <w:spacing w:val="-9"/>
        </w:rPr>
        <w:t>尤其是针对云南省葡萄园土壤生产力限制性因素与改良措施更是空白，</w:t>
      </w:r>
      <w:r>
        <w:rPr>
          <w:color w:val="0D0D0D"/>
          <w:spacing w:val="40"/>
        </w:rPr>
        <w:t xml:space="preserve"> </w:t>
      </w:r>
      <w:r>
        <w:rPr>
          <w:color w:val="0D0D0D"/>
          <w:spacing w:val="-9"/>
        </w:rPr>
        <w:t xml:space="preserve">尚未 </w:t>
      </w:r>
      <w:r>
        <w:rPr>
          <w:color w:val="0D0D0D"/>
          <w:spacing w:val="-6"/>
        </w:rPr>
        <w:t>形成完善的云南省葡萄产地退化土壤改良技术体系。综上所述， 未见有与本标准</w:t>
      </w:r>
    </w:p>
    <w:p>
      <w:pPr>
        <w:pStyle w:val="BodyText"/>
        <w:spacing w:line="219" w:lineRule="auto"/>
        <w:ind w:left="25"/>
      </w:pPr>
      <w:r>
        <w:rPr>
          <w:color w:val="0D0D0D"/>
          <w:spacing w:val="-2"/>
        </w:rPr>
        <w:t>草案</w:t>
      </w:r>
      <w:r>
        <w:rPr>
          <w:rFonts w:ascii="Times New Roman" w:eastAsia="Times New Roman" w:hAnsi="Times New Roman" w:cs="Times New Roman"/>
          <w:color w:val="0D0D0D"/>
          <w:spacing w:val="-2"/>
        </w:rPr>
        <w:t>“</w:t>
      </w:r>
      <w:r>
        <w:rPr>
          <w:color w:val="0D0D0D"/>
          <w:spacing w:val="-2"/>
        </w:rPr>
        <w:t>葡萄园地退化土壤改良技术规范</w:t>
      </w:r>
      <w:r>
        <w:rPr>
          <w:rFonts w:ascii="Times New Roman" w:eastAsia="Times New Roman" w:hAnsi="Times New Roman" w:cs="Times New Roman"/>
          <w:color w:val="0D0D0D"/>
          <w:spacing w:val="-2"/>
        </w:rPr>
        <w:t>”</w:t>
      </w:r>
      <w:r>
        <w:rPr>
          <w:rFonts w:ascii="Times New Roman" w:eastAsia="Times New Roman" w:hAnsi="Times New Roman" w:cs="Times New Roman"/>
          <w:color w:val="0D0D0D"/>
          <w:spacing w:val="-28"/>
        </w:rPr>
        <w:t xml:space="preserve"> </w:t>
      </w:r>
      <w:r>
        <w:rPr>
          <w:color w:val="0D0D0D"/>
          <w:spacing w:val="-2"/>
        </w:rPr>
        <w:t>的标准、专利、成果等相关的报道。</w:t>
      </w:r>
    </w:p>
    <w:p>
      <w:pPr>
        <w:spacing w:before="316" w:line="601" w:lineRule="exact"/>
        <w:ind w:left="19"/>
        <w:rPr>
          <w:rFonts w:ascii="FangSong" w:eastAsia="FangSong" w:hAnsi="FangSong" w:cs="FangSong"/>
          <w:sz w:val="28"/>
          <w:szCs w:val="28"/>
        </w:rPr>
      </w:pPr>
      <w:r>
        <w:rPr>
          <w:rFonts w:ascii="Times New Roman" w:eastAsia="Times New Roman" w:hAnsi="Times New Roman" w:cs="Times New Roman"/>
          <w:b/>
          <w:bCs/>
          <w:color w:val="0D0D0D"/>
          <w:spacing w:val="-2"/>
          <w:position w:val="24"/>
          <w:sz w:val="28"/>
          <w:szCs w:val="28"/>
        </w:rPr>
        <w:t xml:space="preserve">3  </w:t>
      </w:r>
      <w:r>
        <w:rPr>
          <w:rFonts w:ascii="FangSong" w:eastAsia="FangSong" w:hAnsi="FangSong" w:cs="FangSong"/>
          <w:b/>
          <w:bCs/>
          <w:color w:val="0D0D0D"/>
          <w:spacing w:val="-2"/>
          <w:position w:val="24"/>
          <w:sz w:val="28"/>
          <w:szCs w:val="28"/>
        </w:rPr>
        <w:t>主要工作过程、主要成员</w:t>
      </w:r>
    </w:p>
    <w:p>
      <w:pPr>
        <w:spacing w:line="216" w:lineRule="auto"/>
        <w:ind w:left="18"/>
        <w:rPr>
          <w:rFonts w:ascii="FangSong" w:eastAsia="FangSong" w:hAnsi="FangSong" w:cs="FangSong"/>
          <w:sz w:val="24"/>
          <w:szCs w:val="24"/>
        </w:rPr>
      </w:pPr>
      <w:r>
        <w:rPr>
          <w:rFonts w:ascii="Times New Roman" w:eastAsia="Times New Roman" w:hAnsi="Times New Roman" w:cs="Times New Roman"/>
          <w:b/>
          <w:bCs/>
          <w:color w:val="0D0D0D"/>
          <w:spacing w:val="-4"/>
          <w:sz w:val="24"/>
          <w:szCs w:val="24"/>
        </w:rPr>
        <w:t>3.1</w:t>
      </w:r>
      <w:r>
        <w:rPr>
          <w:rFonts w:ascii="Times New Roman" w:eastAsia="Times New Roman" w:hAnsi="Times New Roman" w:cs="Times New Roman"/>
          <w:b/>
          <w:bCs/>
          <w:color w:val="0D0D0D"/>
          <w:spacing w:val="11"/>
          <w:sz w:val="24"/>
          <w:szCs w:val="24"/>
        </w:rPr>
        <w:t xml:space="preserve">  </w:t>
      </w:r>
      <w:r>
        <w:rPr>
          <w:rFonts w:ascii="FangSong" w:eastAsia="FangSong" w:hAnsi="FangSong" w:cs="FangSong"/>
          <w:b/>
          <w:bCs/>
          <w:color w:val="0D0D0D"/>
          <w:spacing w:val="-4"/>
          <w:sz w:val="24"/>
          <w:szCs w:val="24"/>
        </w:rPr>
        <w:t>主要工作过程</w:t>
      </w:r>
    </w:p>
    <w:p>
      <w:pPr>
        <w:pStyle w:val="BodyText"/>
        <w:spacing w:before="224" w:line="219" w:lineRule="auto"/>
        <w:ind w:left="506"/>
      </w:pPr>
      <w:r>
        <w:rPr>
          <w:rFonts w:ascii="Calibri" w:eastAsia="Calibri" w:hAnsi="Calibri" w:cs="Calibri"/>
          <w:color w:val="0D0D0D"/>
          <w:spacing w:val="-3"/>
        </w:rPr>
        <w:t>3.1.1</w:t>
      </w:r>
      <w:r>
        <w:rPr>
          <w:rFonts w:ascii="Calibri" w:eastAsia="Calibri" w:hAnsi="Calibri" w:cs="Calibri"/>
          <w:color w:val="0D0D0D"/>
          <w:spacing w:val="17"/>
        </w:rPr>
        <w:t xml:space="preserve">  </w:t>
      </w:r>
      <w:r>
        <w:rPr>
          <w:color w:val="0D0D0D"/>
          <w:spacing w:val="-3"/>
        </w:rPr>
        <w:t>前期研究阶段</w:t>
      </w:r>
    </w:p>
    <w:p>
      <w:pPr>
        <w:pStyle w:val="BodyText"/>
        <w:spacing w:before="104" w:line="359" w:lineRule="auto"/>
        <w:ind w:left="31" w:right="86" w:firstLine="473"/>
        <w:sectPr>
          <w:footerReference w:type="default" r:id="rId6"/>
          <w:pgSz w:w="11907" w:h="16839"/>
          <w:pgMar w:top="1431" w:right="1712" w:bottom="1425" w:left="1785" w:header="0" w:footer="1249" w:gutter="0"/>
          <w:pgNumType w:start="3"/>
          <w:cols w:space="708"/>
        </w:sectPr>
      </w:pPr>
      <w:r>
        <w:rPr>
          <w:color w:val="0D0D0D"/>
          <w:spacing w:val="-3"/>
        </w:rPr>
        <w:t>本标准基于“农产品产地环境净化关键技术研究与示范应用</w:t>
      </w:r>
      <w:r>
        <w:rPr>
          <w:color w:val="0D0D0D"/>
          <w:spacing w:val="-82"/>
        </w:rPr>
        <w:t xml:space="preserve"> </w:t>
      </w:r>
      <w:r>
        <w:rPr>
          <w:color w:val="0D0D0D"/>
          <w:spacing w:val="-3"/>
        </w:rPr>
        <w:t>”子课题</w:t>
      </w:r>
      <w:r>
        <w:rPr>
          <w:color w:val="0D0D0D"/>
          <w:spacing w:val="-54"/>
        </w:rPr>
        <w:t xml:space="preserve"> </w:t>
      </w:r>
      <w:r>
        <w:rPr>
          <w:rFonts w:ascii="Times New Roman" w:eastAsia="Times New Roman" w:hAnsi="Times New Roman" w:cs="Times New Roman"/>
          <w:color w:val="0D0D0D"/>
          <w:spacing w:val="-3"/>
        </w:rPr>
        <w:t>2</w:t>
      </w:r>
      <w:r>
        <w:rPr>
          <w:color w:val="0D0D0D"/>
          <w:spacing w:val="-3"/>
        </w:rPr>
        <w:t>（典</w:t>
      </w:r>
      <w:r>
        <w:rPr>
          <w:color w:val="0D0D0D"/>
        </w:rPr>
        <w:t xml:space="preserve"> </w:t>
      </w:r>
      <w:r>
        <w:rPr>
          <w:color w:val="0D0D0D"/>
          <w:spacing w:val="-3"/>
        </w:rPr>
        <w:t>型产地土壤质量退化改良技术研究与示范）的云南葡萄产地典型</w:t>
      </w:r>
      <w:r>
        <w:rPr>
          <w:color w:val="0D0D0D"/>
          <w:spacing w:val="-4"/>
        </w:rPr>
        <w:t>退化土壤改良研</w:t>
      </w:r>
    </w:p>
    <w:p>
      <w:pPr>
        <w:pStyle w:val="BodyText"/>
        <w:spacing w:before="1" w:line="218" w:lineRule="auto"/>
        <w:ind w:left="35"/>
      </w:pPr>
      <w:r>
        <w:rPr>
          <w:color w:val="0D0D0D"/>
          <w:spacing w:val="-1"/>
        </w:rPr>
        <w:t>究任务而制定，在</w:t>
      </w:r>
      <w:r>
        <w:rPr>
          <w:color w:val="0D0D0D"/>
          <w:spacing w:val="-54"/>
        </w:rPr>
        <w:t xml:space="preserve"> </w:t>
      </w:r>
      <w:r>
        <w:rPr>
          <w:rFonts w:ascii="Times New Roman" w:eastAsia="Times New Roman" w:hAnsi="Times New Roman" w:cs="Times New Roman"/>
          <w:color w:val="0D0D0D"/>
          <w:spacing w:val="-1"/>
        </w:rPr>
        <w:t xml:space="preserve">2020 </w:t>
      </w:r>
      <w:r>
        <w:rPr>
          <w:color w:val="0D0D0D"/>
          <w:spacing w:val="-1"/>
        </w:rPr>
        <w:t>年到</w:t>
      </w:r>
      <w:r>
        <w:rPr>
          <w:color w:val="0D0D0D"/>
          <w:spacing w:val="-55"/>
        </w:rPr>
        <w:t xml:space="preserve"> </w:t>
      </w:r>
      <w:r>
        <w:rPr>
          <w:rFonts w:ascii="Times New Roman" w:eastAsia="Times New Roman" w:hAnsi="Times New Roman" w:cs="Times New Roman"/>
          <w:color w:val="0D0D0D"/>
          <w:spacing w:val="-1"/>
        </w:rPr>
        <w:t xml:space="preserve">2022 </w:t>
      </w:r>
      <w:r>
        <w:rPr>
          <w:color w:val="0D0D0D"/>
          <w:spacing w:val="-1"/>
        </w:rPr>
        <w:t>年开展了大量前期研究工作。</w:t>
      </w:r>
    </w:p>
    <w:p>
      <w:pPr>
        <w:spacing w:line="218" w:lineRule="auto"/>
        <w:sectPr>
          <w:footerReference w:type="default" r:id="rId7"/>
          <w:type w:val="nextPage"/>
          <w:pgSz w:w="11907" w:h="16839"/>
          <w:pgMar w:top="1431" w:right="1712" w:bottom="1425" w:left="1785" w:header="0" w:footer="1249" w:gutter="0"/>
          <w:pgNumType w:start="4"/>
          <w:cols w:space="708"/>
          <w:titlePg w:val="0"/>
        </w:sectPr>
      </w:pPr>
    </w:p>
    <w:p>
      <w:pPr>
        <w:pStyle w:val="BodyText"/>
        <w:spacing w:before="49" w:line="359" w:lineRule="auto"/>
        <w:ind w:left="281" w:right="185" w:firstLine="474"/>
      </w:pPr>
      <w:r>
        <w:rPr>
          <w:rFonts w:ascii="Times New Roman" w:eastAsia="Times New Roman" w:hAnsi="Times New Roman" w:cs="Times New Roman"/>
          <w:color w:val="0D0D0D"/>
          <w:spacing w:val="-5"/>
        </w:rPr>
        <w:t xml:space="preserve">2020 </w:t>
      </w:r>
      <w:r>
        <w:rPr>
          <w:color w:val="0D0D0D"/>
          <w:spacing w:val="-5"/>
        </w:rPr>
        <w:t>年</w:t>
      </w:r>
      <w:r>
        <w:rPr>
          <w:color w:val="0D0D0D"/>
          <w:spacing w:val="-51"/>
        </w:rPr>
        <w:t xml:space="preserve"> </w:t>
      </w:r>
      <w:r>
        <w:rPr>
          <w:rFonts w:ascii="Times New Roman" w:eastAsia="Times New Roman" w:hAnsi="Times New Roman" w:cs="Times New Roman"/>
          <w:color w:val="0D0D0D"/>
          <w:spacing w:val="-5"/>
        </w:rPr>
        <w:t>9</w:t>
      </w:r>
      <w:r>
        <w:rPr>
          <w:rFonts w:ascii="Times New Roman" w:eastAsia="Times New Roman" w:hAnsi="Times New Roman" w:cs="Times New Roman"/>
          <w:color w:val="0D0D0D"/>
          <w:spacing w:val="15"/>
        </w:rPr>
        <w:t xml:space="preserve"> </w:t>
      </w:r>
      <w:r>
        <w:rPr>
          <w:color w:val="0D0D0D"/>
          <w:spacing w:val="-5"/>
        </w:rPr>
        <w:t>月</w:t>
      </w:r>
      <w:r>
        <w:rPr>
          <w:rFonts w:ascii="Times New Roman" w:eastAsia="Times New Roman" w:hAnsi="Times New Roman" w:cs="Times New Roman"/>
          <w:color w:val="0D0D0D"/>
          <w:spacing w:val="-5"/>
        </w:rPr>
        <w:t>-</w:t>
      </w:r>
      <w:r>
        <w:rPr>
          <w:rFonts w:ascii="Times New Roman" w:eastAsia="Times New Roman" w:hAnsi="Times New Roman" w:cs="Times New Roman"/>
          <w:color w:val="0D0D0D"/>
          <w:spacing w:val="-33"/>
        </w:rPr>
        <w:t xml:space="preserve"> </w:t>
      </w:r>
      <w:r>
        <w:rPr>
          <w:rFonts w:ascii="Times New Roman" w:eastAsia="Times New Roman" w:hAnsi="Times New Roman" w:cs="Times New Roman"/>
          <w:color w:val="0D0D0D"/>
          <w:spacing w:val="-5"/>
        </w:rPr>
        <w:t>12</w:t>
      </w:r>
      <w:r>
        <w:rPr>
          <w:rFonts w:ascii="Times New Roman" w:eastAsia="Times New Roman" w:hAnsi="Times New Roman" w:cs="Times New Roman"/>
          <w:color w:val="0D0D0D"/>
          <w:spacing w:val="15"/>
        </w:rPr>
        <w:t xml:space="preserve"> </w:t>
      </w:r>
      <w:r>
        <w:rPr>
          <w:color w:val="0D0D0D"/>
          <w:spacing w:val="-5"/>
        </w:rPr>
        <w:t>月：</w:t>
      </w:r>
      <w:r>
        <w:rPr>
          <w:color w:val="0D0D0D"/>
          <w:spacing w:val="-46"/>
        </w:rPr>
        <w:t xml:space="preserve"> </w:t>
      </w:r>
      <w:r>
        <w:rPr>
          <w:color w:val="0D0D0D"/>
          <w:spacing w:val="-5"/>
        </w:rPr>
        <w:t>进行全省葡萄主产地建水</w:t>
      </w:r>
      <w:r>
        <w:rPr>
          <w:color w:val="0D0D0D"/>
          <w:spacing w:val="-6"/>
        </w:rPr>
        <w:t>、宾川、弥勒、元谋等</w:t>
      </w:r>
      <w:r>
        <w:rPr>
          <w:color w:val="0D0D0D"/>
          <w:spacing w:val="-63"/>
        </w:rPr>
        <w:t xml:space="preserve"> </w:t>
      </w:r>
      <w:r>
        <w:rPr>
          <w:rFonts w:ascii="Times New Roman" w:eastAsia="Times New Roman" w:hAnsi="Times New Roman" w:cs="Times New Roman"/>
          <w:color w:val="0D0D0D"/>
          <w:spacing w:val="-6"/>
        </w:rPr>
        <w:t xml:space="preserve">4 </w:t>
      </w:r>
      <w:r>
        <w:rPr>
          <w:color w:val="0D0D0D"/>
          <w:spacing w:val="-6"/>
        </w:rPr>
        <w:t xml:space="preserve">县市 </w:t>
      </w:r>
      <w:r>
        <w:rPr>
          <w:color w:val="0D0D0D"/>
          <w:spacing w:val="-3"/>
        </w:rPr>
        <w:t>葡萄园地的土壤质量退化性状采样及种植模式、水肥状况</w:t>
      </w:r>
      <w:r>
        <w:rPr>
          <w:color w:val="0D0D0D"/>
          <w:spacing w:val="-4"/>
        </w:rPr>
        <w:t xml:space="preserve">、栽培管理等方面问卷 </w:t>
      </w:r>
      <w:r>
        <w:rPr>
          <w:color w:val="0D0D0D"/>
          <w:spacing w:val="-3"/>
        </w:rPr>
        <w:t xml:space="preserve">调查，并完成了 </w:t>
      </w:r>
      <w:r>
        <w:rPr>
          <w:rFonts w:ascii="Times New Roman" w:eastAsia="Times New Roman" w:hAnsi="Times New Roman" w:cs="Times New Roman"/>
          <w:color w:val="0D0D0D"/>
          <w:spacing w:val="-3"/>
        </w:rPr>
        <w:t>102</w:t>
      </w:r>
      <w:r>
        <w:rPr>
          <w:rFonts w:ascii="Times New Roman" w:eastAsia="Times New Roman" w:hAnsi="Times New Roman" w:cs="Times New Roman"/>
          <w:color w:val="0D0D0D"/>
          <w:spacing w:val="42"/>
        </w:rPr>
        <w:t xml:space="preserve"> </w:t>
      </w:r>
      <w:r>
        <w:rPr>
          <w:color w:val="0D0D0D"/>
          <w:spacing w:val="-3"/>
        </w:rPr>
        <w:t>个葡萄园地土壤（大棚、半棚和露地土壤）样品的</w:t>
      </w:r>
      <w:r>
        <w:rPr>
          <w:color w:val="0D0D0D"/>
          <w:spacing w:val="-36"/>
        </w:rPr>
        <w:t xml:space="preserve"> </w:t>
      </w:r>
      <w:r>
        <w:rPr>
          <w:rFonts w:ascii="Times New Roman" w:eastAsia="Times New Roman" w:hAnsi="Times New Roman" w:cs="Times New Roman"/>
          <w:color w:val="0D0D0D"/>
          <w:spacing w:val="-3"/>
        </w:rPr>
        <w:t>pH</w:t>
      </w:r>
      <w:r>
        <w:rPr>
          <w:rFonts w:ascii="Times New Roman" w:eastAsia="Times New Roman" w:hAnsi="Times New Roman" w:cs="Times New Roman"/>
          <w:color w:val="0D0D0D"/>
          <w:spacing w:val="33"/>
        </w:rPr>
        <w:t xml:space="preserve"> </w:t>
      </w:r>
      <w:r>
        <w:rPr>
          <w:color w:val="0D0D0D"/>
          <w:spacing w:val="-3"/>
        </w:rPr>
        <w:t>值、</w:t>
      </w:r>
      <w:r>
        <w:rPr>
          <w:color w:val="0D0D0D"/>
        </w:rPr>
        <w:t xml:space="preserve"> </w:t>
      </w:r>
      <w:r>
        <w:rPr>
          <w:color w:val="0D0D0D"/>
          <w:spacing w:val="-11"/>
        </w:rPr>
        <w:t>有机质、容重、含水量、硝态氮、速效磷、速效钾、电导率、全盐量、交换态钙、</w:t>
      </w:r>
    </w:p>
    <w:p>
      <w:pPr>
        <w:pStyle w:val="BodyText"/>
        <w:spacing w:line="219" w:lineRule="auto"/>
        <w:ind w:left="279"/>
      </w:pPr>
      <w:r>
        <w:rPr>
          <w:color w:val="0D0D0D"/>
          <w:spacing w:val="-2"/>
        </w:rPr>
        <w:t>镁含量以及部分样点土样的有效硼、有效钼含量等的测试分析。</w:t>
      </w:r>
    </w:p>
    <w:p>
      <w:pPr>
        <w:pStyle w:val="BodyText"/>
        <w:spacing w:before="182" w:line="466" w:lineRule="exact"/>
        <w:ind w:left="756"/>
      </w:pPr>
      <w:r>
        <w:rPr>
          <w:rFonts w:ascii="Times New Roman" w:eastAsia="Times New Roman" w:hAnsi="Times New Roman" w:cs="Times New Roman"/>
          <w:color w:val="0D0D0D"/>
          <w:spacing w:val="-3"/>
          <w:position w:val="17"/>
        </w:rPr>
        <w:t>2020</w:t>
      </w:r>
      <w:r>
        <w:rPr>
          <w:rFonts w:ascii="Times New Roman" w:eastAsia="Times New Roman" w:hAnsi="Times New Roman" w:cs="Times New Roman"/>
          <w:color w:val="0D0D0D"/>
          <w:spacing w:val="27"/>
          <w:w w:val="101"/>
          <w:position w:val="17"/>
        </w:rPr>
        <w:t xml:space="preserve"> </w:t>
      </w:r>
      <w:r>
        <w:rPr>
          <w:color w:val="0D0D0D"/>
          <w:spacing w:val="-3"/>
          <w:position w:val="17"/>
        </w:rPr>
        <w:t xml:space="preserve">年 </w:t>
      </w:r>
      <w:r>
        <w:rPr>
          <w:rFonts w:ascii="Times New Roman" w:eastAsia="Times New Roman" w:hAnsi="Times New Roman" w:cs="Times New Roman"/>
          <w:color w:val="0D0D0D"/>
          <w:spacing w:val="-3"/>
          <w:position w:val="17"/>
        </w:rPr>
        <w:t>12</w:t>
      </w:r>
      <w:r>
        <w:rPr>
          <w:rFonts w:ascii="Times New Roman" w:eastAsia="Times New Roman" w:hAnsi="Times New Roman" w:cs="Times New Roman"/>
          <w:color w:val="0D0D0D"/>
          <w:spacing w:val="27"/>
          <w:position w:val="17"/>
        </w:rPr>
        <w:t xml:space="preserve"> </w:t>
      </w:r>
      <w:r>
        <w:rPr>
          <w:color w:val="0D0D0D"/>
          <w:spacing w:val="-3"/>
          <w:position w:val="17"/>
        </w:rPr>
        <w:t>月</w:t>
      </w:r>
      <w:r>
        <w:rPr>
          <w:rFonts w:ascii="Times New Roman" w:eastAsia="Times New Roman" w:hAnsi="Times New Roman" w:cs="Times New Roman"/>
          <w:color w:val="0D0D0D"/>
          <w:spacing w:val="-3"/>
          <w:position w:val="17"/>
        </w:rPr>
        <w:t>-2021</w:t>
      </w:r>
      <w:r>
        <w:rPr>
          <w:rFonts w:ascii="Times New Roman" w:eastAsia="Times New Roman" w:hAnsi="Times New Roman" w:cs="Times New Roman"/>
          <w:color w:val="0D0D0D"/>
          <w:spacing w:val="19"/>
          <w:position w:val="17"/>
        </w:rPr>
        <w:t xml:space="preserve"> </w:t>
      </w:r>
      <w:r>
        <w:rPr>
          <w:color w:val="0D0D0D"/>
          <w:spacing w:val="-3"/>
          <w:position w:val="17"/>
        </w:rPr>
        <w:t>年</w:t>
      </w:r>
      <w:r>
        <w:rPr>
          <w:color w:val="0D0D0D"/>
          <w:spacing w:val="-45"/>
          <w:position w:val="17"/>
        </w:rPr>
        <w:t xml:space="preserve"> </w:t>
      </w:r>
      <w:r>
        <w:rPr>
          <w:rFonts w:ascii="Times New Roman" w:eastAsia="Times New Roman" w:hAnsi="Times New Roman" w:cs="Times New Roman"/>
          <w:color w:val="0D0D0D"/>
          <w:spacing w:val="-3"/>
          <w:position w:val="17"/>
        </w:rPr>
        <w:t>2</w:t>
      </w:r>
      <w:r>
        <w:rPr>
          <w:rFonts w:ascii="Times New Roman" w:eastAsia="Times New Roman" w:hAnsi="Times New Roman" w:cs="Times New Roman"/>
          <w:color w:val="0D0D0D"/>
          <w:spacing w:val="27"/>
          <w:position w:val="17"/>
        </w:rPr>
        <w:t xml:space="preserve"> </w:t>
      </w:r>
      <w:r>
        <w:rPr>
          <w:color w:val="0D0D0D"/>
          <w:spacing w:val="-3"/>
          <w:position w:val="17"/>
        </w:rPr>
        <w:t>月：完成撰写典型葡萄产地土壤环境质量调查与评</w:t>
      </w:r>
    </w:p>
    <w:p>
      <w:pPr>
        <w:pStyle w:val="BodyText"/>
        <w:spacing w:line="218" w:lineRule="auto"/>
        <w:ind w:left="281"/>
      </w:pPr>
      <w:r>
        <w:rPr>
          <w:color w:val="0D0D0D"/>
          <w:spacing w:val="-2"/>
        </w:rPr>
        <w:t>价报告及云南典型葡萄产地土壤退化成因调查报告。</w:t>
      </w:r>
    </w:p>
    <w:p>
      <w:pPr>
        <w:pStyle w:val="BodyText"/>
        <w:spacing w:before="184" w:line="465" w:lineRule="exact"/>
        <w:ind w:left="756"/>
      </w:pPr>
      <w:r>
        <w:rPr>
          <w:rFonts w:ascii="Times New Roman" w:eastAsia="Times New Roman" w:hAnsi="Times New Roman" w:cs="Times New Roman"/>
          <w:color w:val="0D0D0D"/>
          <w:spacing w:val="-1"/>
          <w:position w:val="17"/>
        </w:rPr>
        <w:t>2021</w:t>
      </w:r>
      <w:r>
        <w:rPr>
          <w:rFonts w:ascii="Times New Roman" w:eastAsia="Times New Roman" w:hAnsi="Times New Roman" w:cs="Times New Roman"/>
          <w:color w:val="0D0D0D"/>
          <w:spacing w:val="28"/>
          <w:position w:val="17"/>
        </w:rPr>
        <w:t xml:space="preserve"> </w:t>
      </w:r>
      <w:r>
        <w:rPr>
          <w:color w:val="0D0D0D"/>
          <w:spacing w:val="-1"/>
          <w:position w:val="17"/>
        </w:rPr>
        <w:t>年</w:t>
      </w:r>
      <w:r>
        <w:rPr>
          <w:color w:val="0D0D0D"/>
          <w:spacing w:val="-34"/>
          <w:position w:val="17"/>
        </w:rPr>
        <w:t xml:space="preserve"> </w:t>
      </w:r>
      <w:r>
        <w:rPr>
          <w:rFonts w:ascii="Times New Roman" w:eastAsia="Times New Roman" w:hAnsi="Times New Roman" w:cs="Times New Roman"/>
          <w:color w:val="0D0D0D"/>
          <w:spacing w:val="-1"/>
          <w:position w:val="17"/>
        </w:rPr>
        <w:t>3</w:t>
      </w:r>
      <w:r>
        <w:rPr>
          <w:rFonts w:ascii="Times New Roman" w:eastAsia="Times New Roman" w:hAnsi="Times New Roman" w:cs="Times New Roman"/>
          <w:color w:val="0D0D0D"/>
          <w:spacing w:val="32"/>
          <w:w w:val="101"/>
          <w:position w:val="17"/>
        </w:rPr>
        <w:t xml:space="preserve"> </w:t>
      </w:r>
      <w:r>
        <w:rPr>
          <w:color w:val="0D0D0D"/>
          <w:spacing w:val="-1"/>
          <w:position w:val="17"/>
        </w:rPr>
        <w:t>月</w:t>
      </w:r>
      <w:r>
        <w:rPr>
          <w:rFonts w:ascii="Times New Roman" w:eastAsia="Times New Roman" w:hAnsi="Times New Roman" w:cs="Times New Roman"/>
          <w:color w:val="0D0D0D"/>
          <w:spacing w:val="-1"/>
          <w:position w:val="17"/>
        </w:rPr>
        <w:t>-6</w:t>
      </w:r>
      <w:r>
        <w:rPr>
          <w:rFonts w:ascii="Times New Roman" w:eastAsia="Times New Roman" w:hAnsi="Times New Roman" w:cs="Times New Roman"/>
          <w:color w:val="0D0D0D"/>
          <w:spacing w:val="31"/>
          <w:w w:val="101"/>
          <w:position w:val="17"/>
        </w:rPr>
        <w:t xml:space="preserve"> </w:t>
      </w:r>
      <w:r>
        <w:rPr>
          <w:color w:val="0D0D0D"/>
          <w:spacing w:val="-1"/>
          <w:position w:val="17"/>
        </w:rPr>
        <w:t>月：完成典型葡萄产地酸化、次生</w:t>
      </w:r>
      <w:r>
        <w:rPr>
          <w:color w:val="0D0D0D"/>
          <w:spacing w:val="-2"/>
          <w:position w:val="17"/>
        </w:rPr>
        <w:t>盐渍化和养分失调土壤改</w:t>
      </w:r>
    </w:p>
    <w:p>
      <w:pPr>
        <w:pStyle w:val="BodyText"/>
        <w:spacing w:line="219" w:lineRule="auto"/>
        <w:ind w:left="319"/>
      </w:pPr>
      <w:r>
        <w:rPr>
          <w:color w:val="0D0D0D"/>
          <w:spacing w:val="-7"/>
        </w:rPr>
        <w:t>良剂筛选室内培养试验。</w:t>
      </w:r>
    </w:p>
    <w:p>
      <w:pPr>
        <w:pStyle w:val="BodyText"/>
        <w:spacing w:before="184" w:line="465" w:lineRule="exact"/>
        <w:ind w:left="756"/>
      </w:pPr>
      <w:r>
        <w:rPr>
          <w:rFonts w:ascii="Times New Roman" w:eastAsia="Times New Roman" w:hAnsi="Times New Roman" w:cs="Times New Roman"/>
          <w:color w:val="0D0D0D"/>
          <w:spacing w:val="-5"/>
          <w:position w:val="17"/>
        </w:rPr>
        <w:t xml:space="preserve">2021 </w:t>
      </w:r>
      <w:r>
        <w:rPr>
          <w:color w:val="0D0D0D"/>
          <w:spacing w:val="-5"/>
          <w:position w:val="17"/>
        </w:rPr>
        <w:t>年</w:t>
      </w:r>
      <w:r>
        <w:rPr>
          <w:color w:val="0D0D0D"/>
          <w:spacing w:val="-51"/>
          <w:position w:val="17"/>
        </w:rPr>
        <w:t xml:space="preserve"> </w:t>
      </w:r>
      <w:r>
        <w:rPr>
          <w:rFonts w:ascii="Times New Roman" w:eastAsia="Times New Roman" w:hAnsi="Times New Roman" w:cs="Times New Roman"/>
          <w:color w:val="0D0D0D"/>
          <w:spacing w:val="-5"/>
          <w:position w:val="17"/>
        </w:rPr>
        <w:t>7</w:t>
      </w:r>
      <w:r>
        <w:rPr>
          <w:rFonts w:ascii="Times New Roman" w:eastAsia="Times New Roman" w:hAnsi="Times New Roman" w:cs="Times New Roman"/>
          <w:color w:val="0D0D0D"/>
          <w:spacing w:val="15"/>
          <w:position w:val="17"/>
        </w:rPr>
        <w:t xml:space="preserve"> </w:t>
      </w:r>
      <w:r>
        <w:rPr>
          <w:color w:val="0D0D0D"/>
          <w:spacing w:val="-5"/>
          <w:position w:val="17"/>
        </w:rPr>
        <w:t>月</w:t>
      </w:r>
      <w:r>
        <w:rPr>
          <w:rFonts w:ascii="Times New Roman" w:eastAsia="Times New Roman" w:hAnsi="Times New Roman" w:cs="Times New Roman"/>
          <w:color w:val="0D0D0D"/>
          <w:spacing w:val="-5"/>
          <w:position w:val="17"/>
        </w:rPr>
        <w:t>-</w:t>
      </w:r>
      <w:r>
        <w:rPr>
          <w:rFonts w:ascii="Times New Roman" w:eastAsia="Times New Roman" w:hAnsi="Times New Roman" w:cs="Times New Roman"/>
          <w:color w:val="0D0D0D"/>
          <w:spacing w:val="-33"/>
          <w:position w:val="17"/>
        </w:rPr>
        <w:t xml:space="preserve"> </w:t>
      </w:r>
      <w:r>
        <w:rPr>
          <w:rFonts w:ascii="Times New Roman" w:eastAsia="Times New Roman" w:hAnsi="Times New Roman" w:cs="Times New Roman"/>
          <w:color w:val="0D0D0D"/>
          <w:spacing w:val="-5"/>
          <w:position w:val="17"/>
        </w:rPr>
        <w:t>12</w:t>
      </w:r>
      <w:r>
        <w:rPr>
          <w:rFonts w:ascii="Times New Roman" w:eastAsia="Times New Roman" w:hAnsi="Times New Roman" w:cs="Times New Roman"/>
          <w:color w:val="0D0D0D"/>
          <w:spacing w:val="15"/>
          <w:w w:val="101"/>
          <w:position w:val="17"/>
        </w:rPr>
        <w:t xml:space="preserve"> </w:t>
      </w:r>
      <w:r>
        <w:rPr>
          <w:color w:val="0D0D0D"/>
          <w:spacing w:val="-5"/>
          <w:position w:val="17"/>
        </w:rPr>
        <w:t>月：</w:t>
      </w:r>
      <w:r>
        <w:rPr>
          <w:color w:val="0D0D0D"/>
          <w:spacing w:val="-45"/>
          <w:position w:val="17"/>
        </w:rPr>
        <w:t xml:space="preserve"> </w:t>
      </w:r>
      <w:r>
        <w:rPr>
          <w:color w:val="0D0D0D"/>
          <w:spacing w:val="-5"/>
          <w:position w:val="17"/>
        </w:rPr>
        <w:t>完成典型葡萄产地酸化、次生盐渍化、养分</w:t>
      </w:r>
      <w:r>
        <w:rPr>
          <w:color w:val="0D0D0D"/>
          <w:spacing w:val="-6"/>
          <w:position w:val="17"/>
        </w:rPr>
        <w:t>失调土壤改</w:t>
      </w:r>
    </w:p>
    <w:p>
      <w:pPr>
        <w:pStyle w:val="BodyText"/>
        <w:spacing w:before="2" w:line="220" w:lineRule="auto"/>
        <w:ind w:left="318"/>
      </w:pPr>
      <w:r>
        <w:rPr>
          <w:color w:val="0D0D0D"/>
          <w:spacing w:val="-7"/>
        </w:rPr>
        <w:t>良的田间小区验证试验。</w:t>
      </w:r>
    </w:p>
    <w:p>
      <w:pPr>
        <w:pStyle w:val="BodyText"/>
        <w:spacing w:before="180" w:line="220" w:lineRule="auto"/>
        <w:ind w:left="756"/>
      </w:pPr>
      <w:r>
        <w:rPr>
          <w:rFonts w:ascii="Times New Roman" w:eastAsia="Times New Roman" w:hAnsi="Times New Roman" w:cs="Times New Roman"/>
          <w:color w:val="0D0D0D"/>
          <w:spacing w:val="-2"/>
        </w:rPr>
        <w:t xml:space="preserve">2022 </w:t>
      </w:r>
      <w:r>
        <w:rPr>
          <w:color w:val="0D0D0D"/>
          <w:spacing w:val="-2"/>
        </w:rPr>
        <w:t>年</w:t>
      </w:r>
      <w:r>
        <w:rPr>
          <w:color w:val="0D0D0D"/>
          <w:spacing w:val="-32"/>
        </w:rPr>
        <w:t xml:space="preserve"> </w:t>
      </w:r>
      <w:r>
        <w:rPr>
          <w:rFonts w:ascii="Times New Roman" w:eastAsia="Times New Roman" w:hAnsi="Times New Roman" w:cs="Times New Roman"/>
          <w:color w:val="0D0D0D"/>
          <w:spacing w:val="-2"/>
        </w:rPr>
        <w:t>1</w:t>
      </w:r>
      <w:r>
        <w:rPr>
          <w:rFonts w:ascii="Times New Roman" w:eastAsia="Times New Roman" w:hAnsi="Times New Roman" w:cs="Times New Roman"/>
          <w:color w:val="0D0D0D"/>
          <w:spacing w:val="15"/>
          <w:w w:val="101"/>
        </w:rPr>
        <w:t xml:space="preserve"> </w:t>
      </w:r>
      <w:r>
        <w:rPr>
          <w:color w:val="0D0D0D"/>
          <w:spacing w:val="-2"/>
        </w:rPr>
        <w:t>月</w:t>
      </w:r>
      <w:r>
        <w:rPr>
          <w:rFonts w:ascii="Times New Roman" w:eastAsia="Times New Roman" w:hAnsi="Times New Roman" w:cs="Times New Roman"/>
          <w:color w:val="0D0D0D"/>
          <w:spacing w:val="-2"/>
        </w:rPr>
        <w:t>-5</w:t>
      </w:r>
      <w:r>
        <w:rPr>
          <w:rFonts w:ascii="Times New Roman" w:eastAsia="Times New Roman" w:hAnsi="Times New Roman" w:cs="Times New Roman"/>
          <w:color w:val="0D0D0D"/>
          <w:spacing w:val="15"/>
        </w:rPr>
        <w:t xml:space="preserve"> </w:t>
      </w:r>
      <w:r>
        <w:rPr>
          <w:color w:val="0D0D0D"/>
          <w:spacing w:val="-2"/>
        </w:rPr>
        <w:t>月：完成葡萄产地酸化、</w:t>
      </w:r>
      <w:r>
        <w:rPr>
          <w:color w:val="0D0D0D"/>
          <w:spacing w:val="-3"/>
        </w:rPr>
        <w:t>次生盐渍化土壤改良的应用示范。</w:t>
      </w:r>
    </w:p>
    <w:p>
      <w:pPr>
        <w:pStyle w:val="BodyText"/>
        <w:spacing w:before="180" w:line="468" w:lineRule="exact"/>
        <w:ind w:left="756"/>
      </w:pPr>
      <w:r>
        <w:rPr>
          <w:rFonts w:ascii="Times New Roman" w:eastAsia="Times New Roman" w:hAnsi="Times New Roman" w:cs="Times New Roman"/>
          <w:color w:val="0D0D0D"/>
          <w:spacing w:val="-5"/>
          <w:position w:val="17"/>
        </w:rPr>
        <w:t>2022</w:t>
      </w:r>
      <w:r>
        <w:rPr>
          <w:rFonts w:ascii="Times New Roman" w:eastAsia="Times New Roman" w:hAnsi="Times New Roman" w:cs="Times New Roman"/>
          <w:color w:val="0D0D0D"/>
          <w:spacing w:val="34"/>
          <w:w w:val="101"/>
          <w:position w:val="17"/>
        </w:rPr>
        <w:t xml:space="preserve"> </w:t>
      </w:r>
      <w:r>
        <w:rPr>
          <w:color w:val="0D0D0D"/>
          <w:spacing w:val="-5"/>
          <w:position w:val="17"/>
        </w:rPr>
        <w:t>年</w:t>
      </w:r>
      <w:r>
        <w:rPr>
          <w:color w:val="0D0D0D"/>
          <w:spacing w:val="-27"/>
          <w:position w:val="17"/>
        </w:rPr>
        <w:t xml:space="preserve"> </w:t>
      </w:r>
      <w:r>
        <w:rPr>
          <w:rFonts w:ascii="Times New Roman" w:eastAsia="Times New Roman" w:hAnsi="Times New Roman" w:cs="Times New Roman"/>
          <w:color w:val="0D0D0D"/>
          <w:spacing w:val="-5"/>
          <w:position w:val="17"/>
        </w:rPr>
        <w:t>7</w:t>
      </w:r>
      <w:r>
        <w:rPr>
          <w:rFonts w:ascii="Times New Roman" w:eastAsia="Times New Roman" w:hAnsi="Times New Roman" w:cs="Times New Roman"/>
          <w:color w:val="0D0D0D"/>
          <w:spacing w:val="39"/>
          <w:position w:val="17"/>
        </w:rPr>
        <w:t xml:space="preserve"> </w:t>
      </w:r>
      <w:r>
        <w:rPr>
          <w:color w:val="0D0D0D"/>
          <w:spacing w:val="-5"/>
          <w:position w:val="17"/>
        </w:rPr>
        <w:t>月</w:t>
      </w:r>
      <w:r>
        <w:rPr>
          <w:rFonts w:ascii="Times New Roman" w:eastAsia="Times New Roman" w:hAnsi="Times New Roman" w:cs="Times New Roman"/>
          <w:color w:val="0D0D0D"/>
          <w:spacing w:val="-5"/>
          <w:position w:val="17"/>
        </w:rPr>
        <w:t>-9</w:t>
      </w:r>
      <w:r>
        <w:rPr>
          <w:rFonts w:ascii="Times New Roman" w:eastAsia="Times New Roman" w:hAnsi="Times New Roman" w:cs="Times New Roman"/>
          <w:color w:val="0D0D0D"/>
          <w:spacing w:val="39"/>
          <w:position w:val="17"/>
        </w:rPr>
        <w:t xml:space="preserve"> </w:t>
      </w:r>
      <w:r>
        <w:rPr>
          <w:color w:val="0D0D0D"/>
          <w:spacing w:val="-5"/>
          <w:position w:val="17"/>
        </w:rPr>
        <w:t>月：</w:t>
      </w:r>
      <w:r>
        <w:rPr>
          <w:color w:val="0D0D0D"/>
          <w:spacing w:val="-27"/>
          <w:position w:val="17"/>
        </w:rPr>
        <w:t xml:space="preserve"> </w:t>
      </w:r>
      <w:r>
        <w:rPr>
          <w:color w:val="0D0D0D"/>
          <w:spacing w:val="-5"/>
          <w:position w:val="17"/>
        </w:rPr>
        <w:t>组建</w:t>
      </w:r>
      <w:r>
        <w:rPr>
          <w:rFonts w:ascii="Times New Roman" w:eastAsia="Times New Roman" w:hAnsi="Times New Roman" w:cs="Times New Roman"/>
          <w:color w:val="0D0D0D"/>
          <w:spacing w:val="-5"/>
          <w:position w:val="17"/>
        </w:rPr>
        <w:t>“</w:t>
      </w:r>
      <w:r>
        <w:rPr>
          <w:color w:val="0D0D0D"/>
          <w:spacing w:val="-5"/>
          <w:position w:val="17"/>
        </w:rPr>
        <w:t>葡萄园地退</w:t>
      </w:r>
      <w:r>
        <w:rPr>
          <w:color w:val="0D0D0D"/>
          <w:spacing w:val="-6"/>
          <w:position w:val="17"/>
        </w:rPr>
        <w:t>化土壤改良技术规范</w:t>
      </w:r>
      <w:r>
        <w:rPr>
          <w:rFonts w:ascii="Times New Roman" w:eastAsia="Times New Roman" w:hAnsi="Times New Roman" w:cs="Times New Roman"/>
          <w:color w:val="0D0D0D"/>
          <w:spacing w:val="-6"/>
          <w:position w:val="17"/>
        </w:rPr>
        <w:t>”</w:t>
      </w:r>
      <w:r>
        <w:rPr>
          <w:color w:val="0D0D0D"/>
          <w:spacing w:val="-6"/>
          <w:position w:val="17"/>
        </w:rPr>
        <w:t>编制筹备小组，</w:t>
      </w:r>
    </w:p>
    <w:p>
      <w:pPr>
        <w:pStyle w:val="BodyText"/>
        <w:spacing w:before="1" w:line="219" w:lineRule="auto"/>
        <w:ind w:left="281"/>
      </w:pPr>
      <w:r>
        <w:rPr>
          <w:color w:val="0D0D0D"/>
          <w:spacing w:val="-2"/>
        </w:rPr>
        <w:t>制订工作计划，开展资料收集和产业调研工</w:t>
      </w:r>
      <w:r>
        <w:rPr>
          <w:color w:val="0D0D0D"/>
          <w:spacing w:val="-3"/>
        </w:rPr>
        <w:t>作。</w:t>
      </w:r>
    </w:p>
    <w:p>
      <w:pPr>
        <w:pStyle w:val="BodyText"/>
        <w:spacing w:before="258" w:line="220" w:lineRule="auto"/>
        <w:ind w:left="763"/>
      </w:pPr>
      <w:r>
        <w:rPr>
          <w:rFonts w:ascii="Calibri" w:eastAsia="Calibri" w:hAnsi="Calibri" w:cs="Calibri"/>
          <w:color w:val="0D0D0D"/>
          <w:spacing w:val="-2"/>
        </w:rPr>
        <w:t>3.1.2</w:t>
      </w:r>
      <w:r>
        <w:rPr>
          <w:rFonts w:ascii="Calibri" w:eastAsia="Calibri" w:hAnsi="Calibri" w:cs="Calibri"/>
          <w:color w:val="0D0D0D"/>
          <w:spacing w:val="11"/>
        </w:rPr>
        <w:t xml:space="preserve">  </w:t>
      </w:r>
      <w:r>
        <w:rPr>
          <w:color w:val="0D0D0D"/>
          <w:spacing w:val="-2"/>
        </w:rPr>
        <w:t>标准起草阶段</w:t>
      </w:r>
    </w:p>
    <w:p>
      <w:pPr>
        <w:pStyle w:val="BodyText"/>
        <w:spacing w:before="104" w:line="467" w:lineRule="exact"/>
        <w:ind w:left="756"/>
      </w:pPr>
      <w:r>
        <w:rPr>
          <w:rFonts w:ascii="Times New Roman" w:eastAsia="Times New Roman" w:hAnsi="Times New Roman" w:cs="Times New Roman"/>
          <w:color w:val="0D0D0D"/>
          <w:spacing w:val="-3"/>
          <w:position w:val="17"/>
        </w:rPr>
        <w:t>2022</w:t>
      </w:r>
      <w:r>
        <w:rPr>
          <w:rFonts w:ascii="Times New Roman" w:eastAsia="Times New Roman" w:hAnsi="Times New Roman" w:cs="Times New Roman"/>
          <w:color w:val="0D0D0D"/>
          <w:spacing w:val="27"/>
          <w:position w:val="17"/>
        </w:rPr>
        <w:t xml:space="preserve"> </w:t>
      </w:r>
      <w:r>
        <w:rPr>
          <w:color w:val="0D0D0D"/>
          <w:spacing w:val="-3"/>
          <w:position w:val="17"/>
        </w:rPr>
        <w:t xml:space="preserve">年 </w:t>
      </w:r>
      <w:r>
        <w:rPr>
          <w:rFonts w:ascii="Times New Roman" w:eastAsia="Times New Roman" w:hAnsi="Times New Roman" w:cs="Times New Roman"/>
          <w:color w:val="0D0D0D"/>
          <w:spacing w:val="-3"/>
          <w:position w:val="17"/>
        </w:rPr>
        <w:t>10</w:t>
      </w:r>
      <w:r>
        <w:rPr>
          <w:rFonts w:ascii="Times New Roman" w:eastAsia="Times New Roman" w:hAnsi="Times New Roman" w:cs="Times New Roman"/>
          <w:color w:val="0D0D0D"/>
          <w:spacing w:val="32"/>
          <w:position w:val="17"/>
        </w:rPr>
        <w:t xml:space="preserve"> </w:t>
      </w:r>
      <w:r>
        <w:rPr>
          <w:color w:val="0D0D0D"/>
          <w:spacing w:val="-3"/>
          <w:position w:val="17"/>
        </w:rPr>
        <w:t>月</w:t>
      </w:r>
      <w:r>
        <w:rPr>
          <w:rFonts w:ascii="Times New Roman" w:eastAsia="Times New Roman" w:hAnsi="Times New Roman" w:cs="Times New Roman"/>
          <w:color w:val="0D0D0D"/>
          <w:spacing w:val="-3"/>
          <w:position w:val="17"/>
        </w:rPr>
        <w:t>-</w:t>
      </w:r>
      <w:r>
        <w:rPr>
          <w:rFonts w:ascii="Times New Roman" w:eastAsia="Times New Roman" w:hAnsi="Times New Roman" w:cs="Times New Roman"/>
          <w:color w:val="0D0D0D"/>
          <w:spacing w:val="-33"/>
          <w:position w:val="17"/>
        </w:rPr>
        <w:t xml:space="preserve"> </w:t>
      </w:r>
      <w:r>
        <w:rPr>
          <w:rFonts w:ascii="Times New Roman" w:eastAsia="Times New Roman" w:hAnsi="Times New Roman" w:cs="Times New Roman"/>
          <w:color w:val="0D0D0D"/>
          <w:spacing w:val="-3"/>
          <w:position w:val="17"/>
        </w:rPr>
        <w:t>12</w:t>
      </w:r>
      <w:r>
        <w:rPr>
          <w:rFonts w:ascii="Times New Roman" w:eastAsia="Times New Roman" w:hAnsi="Times New Roman" w:cs="Times New Roman"/>
          <w:color w:val="0D0D0D"/>
          <w:spacing w:val="32"/>
          <w:w w:val="101"/>
          <w:position w:val="17"/>
        </w:rPr>
        <w:t xml:space="preserve"> </w:t>
      </w:r>
      <w:r>
        <w:rPr>
          <w:color w:val="0D0D0D"/>
          <w:spacing w:val="-3"/>
          <w:position w:val="17"/>
        </w:rPr>
        <w:t>月：编写团体标准立项申请书，向云南省环</w:t>
      </w:r>
      <w:r>
        <w:rPr>
          <w:color w:val="0D0D0D"/>
          <w:spacing w:val="-4"/>
          <w:position w:val="17"/>
        </w:rPr>
        <w:t>境科学学会提</w:t>
      </w:r>
    </w:p>
    <w:p>
      <w:pPr>
        <w:pStyle w:val="BodyText"/>
        <w:spacing w:before="2" w:line="219" w:lineRule="auto"/>
        <w:ind w:left="301"/>
      </w:pPr>
      <w:r>
        <w:rPr>
          <w:color w:val="0D0D0D"/>
          <w:spacing w:val="-5"/>
        </w:rPr>
        <w:t>出立项申请，开展立项审查。</w:t>
      </w:r>
    </w:p>
    <w:p>
      <w:pPr>
        <w:pStyle w:val="BodyText"/>
        <w:spacing w:before="180" w:line="468" w:lineRule="exact"/>
        <w:ind w:left="756"/>
      </w:pPr>
      <w:r>
        <w:rPr>
          <w:rFonts w:ascii="Times New Roman" w:eastAsia="Times New Roman" w:hAnsi="Times New Roman" w:cs="Times New Roman"/>
          <w:color w:val="0D0D0D"/>
          <w:spacing w:val="-2"/>
          <w:position w:val="17"/>
        </w:rPr>
        <w:t>2023</w:t>
      </w:r>
      <w:r>
        <w:rPr>
          <w:rFonts w:ascii="Times New Roman" w:eastAsia="Times New Roman" w:hAnsi="Times New Roman" w:cs="Times New Roman"/>
          <w:color w:val="0D0D0D"/>
          <w:spacing w:val="27"/>
          <w:w w:val="101"/>
          <w:position w:val="17"/>
        </w:rPr>
        <w:t xml:space="preserve"> </w:t>
      </w:r>
      <w:r>
        <w:rPr>
          <w:color w:val="0D0D0D"/>
          <w:spacing w:val="-2"/>
          <w:position w:val="17"/>
        </w:rPr>
        <w:t xml:space="preserve">年 </w:t>
      </w:r>
      <w:r>
        <w:rPr>
          <w:rFonts w:ascii="Times New Roman" w:eastAsia="Times New Roman" w:hAnsi="Times New Roman" w:cs="Times New Roman"/>
          <w:color w:val="0D0D0D"/>
          <w:spacing w:val="-2"/>
          <w:position w:val="17"/>
        </w:rPr>
        <w:t>1</w:t>
      </w:r>
      <w:r>
        <w:rPr>
          <w:rFonts w:ascii="Times New Roman" w:eastAsia="Times New Roman" w:hAnsi="Times New Roman" w:cs="Times New Roman"/>
          <w:color w:val="0D0D0D"/>
          <w:spacing w:val="32"/>
          <w:position w:val="17"/>
        </w:rPr>
        <w:t xml:space="preserve"> </w:t>
      </w:r>
      <w:r>
        <w:rPr>
          <w:color w:val="0D0D0D"/>
          <w:spacing w:val="-2"/>
          <w:position w:val="17"/>
        </w:rPr>
        <w:t>月</w:t>
      </w:r>
      <w:r>
        <w:rPr>
          <w:rFonts w:ascii="Times New Roman" w:eastAsia="Times New Roman" w:hAnsi="Times New Roman" w:cs="Times New Roman"/>
          <w:color w:val="0D0D0D"/>
          <w:spacing w:val="-2"/>
          <w:position w:val="17"/>
        </w:rPr>
        <w:t>-2</w:t>
      </w:r>
      <w:r>
        <w:rPr>
          <w:rFonts w:ascii="Times New Roman" w:eastAsia="Times New Roman" w:hAnsi="Times New Roman" w:cs="Times New Roman"/>
          <w:color w:val="0D0D0D"/>
          <w:spacing w:val="31"/>
          <w:w w:val="101"/>
          <w:position w:val="17"/>
        </w:rPr>
        <w:t xml:space="preserve"> </w:t>
      </w:r>
      <w:r>
        <w:rPr>
          <w:color w:val="0D0D0D"/>
          <w:spacing w:val="-2"/>
          <w:position w:val="17"/>
        </w:rPr>
        <w:t>月：成立标准起草工作小组，撰写标准初稿</w:t>
      </w:r>
      <w:r>
        <w:rPr>
          <w:color w:val="0D0D0D"/>
          <w:spacing w:val="-3"/>
          <w:position w:val="17"/>
        </w:rPr>
        <w:t>，完成标准讨论</w:t>
      </w:r>
    </w:p>
    <w:p>
      <w:pPr>
        <w:pStyle w:val="BodyText"/>
        <w:spacing w:before="1" w:line="219" w:lineRule="auto"/>
        <w:ind w:left="279"/>
      </w:pPr>
      <w:r>
        <w:rPr>
          <w:color w:val="0D0D0D"/>
          <w:spacing w:val="-11"/>
        </w:rPr>
        <w:t>稿。</w:t>
      </w:r>
    </w:p>
    <w:p>
      <w:pPr>
        <w:pStyle w:val="BodyText"/>
        <w:spacing w:before="182" w:line="220" w:lineRule="auto"/>
        <w:ind w:left="756"/>
      </w:pPr>
      <w:r>
        <w:rPr>
          <w:rFonts w:ascii="Times New Roman" w:eastAsia="Times New Roman" w:hAnsi="Times New Roman" w:cs="Times New Roman"/>
          <w:color w:val="0D0D0D"/>
          <w:spacing w:val="-2"/>
        </w:rPr>
        <w:t xml:space="preserve">2023 </w:t>
      </w:r>
      <w:r>
        <w:rPr>
          <w:color w:val="0D0D0D"/>
          <w:spacing w:val="-2"/>
        </w:rPr>
        <w:t>年</w:t>
      </w:r>
      <w:r>
        <w:rPr>
          <w:color w:val="0D0D0D"/>
          <w:spacing w:val="-46"/>
        </w:rPr>
        <w:t xml:space="preserve"> </w:t>
      </w:r>
      <w:r>
        <w:rPr>
          <w:rFonts w:ascii="Times New Roman" w:eastAsia="Times New Roman" w:hAnsi="Times New Roman" w:cs="Times New Roman"/>
          <w:color w:val="0D0D0D"/>
          <w:spacing w:val="-2"/>
        </w:rPr>
        <w:t>2</w:t>
      </w:r>
      <w:r>
        <w:rPr>
          <w:rFonts w:ascii="Times New Roman" w:eastAsia="Times New Roman" w:hAnsi="Times New Roman" w:cs="Times New Roman"/>
          <w:color w:val="0D0D0D"/>
          <w:spacing w:val="15"/>
          <w:w w:val="101"/>
        </w:rPr>
        <w:t xml:space="preserve"> </w:t>
      </w:r>
      <w:r>
        <w:rPr>
          <w:color w:val="0D0D0D"/>
          <w:spacing w:val="-2"/>
        </w:rPr>
        <w:t>月</w:t>
      </w:r>
      <w:r>
        <w:rPr>
          <w:rFonts w:ascii="Times New Roman" w:eastAsia="Times New Roman" w:hAnsi="Times New Roman" w:cs="Times New Roman"/>
          <w:color w:val="0D0D0D"/>
          <w:spacing w:val="-2"/>
        </w:rPr>
        <w:t>-5</w:t>
      </w:r>
      <w:r>
        <w:rPr>
          <w:rFonts w:ascii="Times New Roman" w:eastAsia="Times New Roman" w:hAnsi="Times New Roman" w:cs="Times New Roman"/>
          <w:color w:val="0D0D0D"/>
          <w:spacing w:val="15"/>
        </w:rPr>
        <w:t xml:space="preserve"> </w:t>
      </w:r>
      <w:r>
        <w:rPr>
          <w:color w:val="0D0D0D"/>
          <w:spacing w:val="-2"/>
        </w:rPr>
        <w:t>月：完善标准技术指标，形成征求意见稿和标准编制说明。</w:t>
      </w:r>
    </w:p>
    <w:p>
      <w:pPr>
        <w:spacing w:before="259" w:line="220" w:lineRule="auto"/>
        <w:ind w:left="275"/>
        <w:outlineLvl w:val="1"/>
        <w:rPr>
          <w:rFonts w:ascii="FangSong" w:eastAsia="FangSong" w:hAnsi="FangSong" w:cs="FangSong"/>
          <w:sz w:val="24"/>
          <w:szCs w:val="24"/>
        </w:rPr>
      </w:pPr>
      <w:r>
        <w:rPr>
          <w:rFonts w:ascii="Times New Roman" w:eastAsia="Times New Roman" w:hAnsi="Times New Roman" w:cs="Times New Roman"/>
          <w:b/>
          <w:bCs/>
          <w:color w:val="0D0D0D"/>
          <w:spacing w:val="-5"/>
          <w:sz w:val="24"/>
          <w:szCs w:val="24"/>
        </w:rPr>
        <w:t>3.2</w:t>
      </w:r>
      <w:r>
        <w:rPr>
          <w:rFonts w:ascii="Times New Roman" w:eastAsia="Times New Roman" w:hAnsi="Times New Roman" w:cs="Times New Roman"/>
          <w:b/>
          <w:bCs/>
          <w:color w:val="0D0D0D"/>
          <w:spacing w:val="12"/>
          <w:sz w:val="24"/>
          <w:szCs w:val="24"/>
        </w:rPr>
        <w:t xml:space="preserve">  </w:t>
      </w:r>
      <w:r>
        <w:rPr>
          <w:rFonts w:ascii="FangSong" w:eastAsia="FangSong" w:hAnsi="FangSong" w:cs="FangSong"/>
          <w:b/>
          <w:bCs/>
          <w:color w:val="0D0D0D"/>
          <w:spacing w:val="-5"/>
          <w:sz w:val="24"/>
          <w:szCs w:val="24"/>
        </w:rPr>
        <w:t>主要成员</w:t>
      </w:r>
    </w:p>
    <w:p>
      <w:pPr>
        <w:pStyle w:val="BodyText"/>
        <w:spacing w:before="103" w:line="468" w:lineRule="exact"/>
        <w:ind w:left="761"/>
      </w:pPr>
      <w:r>
        <w:rPr>
          <w:color w:val="0D0D0D"/>
          <w:spacing w:val="-9"/>
          <w:position w:val="17"/>
        </w:rPr>
        <w:t>本标准主要起草人员包括：</w:t>
      </w:r>
      <w:r>
        <w:rPr>
          <w:color w:val="0D0D0D"/>
          <w:spacing w:val="61"/>
          <w:position w:val="17"/>
        </w:rPr>
        <w:t xml:space="preserve"> </w:t>
      </w:r>
      <w:r>
        <w:rPr>
          <w:color w:val="0D0D0D"/>
          <w:spacing w:val="-9"/>
          <w:position w:val="17"/>
        </w:rPr>
        <w:t>夏运生、周洪印、张乃明、余众、邓毅书、岳献</w:t>
      </w:r>
    </w:p>
    <w:p>
      <w:pPr>
        <w:pStyle w:val="BodyText"/>
        <w:spacing w:before="1" w:line="218" w:lineRule="auto"/>
        <w:ind w:left="286"/>
      </w:pPr>
      <w:r>
        <w:rPr>
          <w:color w:val="0D0D0D"/>
          <w:spacing w:val="-2"/>
        </w:rPr>
        <w:t>荣、田诗翰、杨章福、王汝荣、张小卓、包立、苏友波。</w:t>
      </w:r>
    </w:p>
    <w:p>
      <w:pPr>
        <w:pStyle w:val="BodyText"/>
        <w:spacing w:before="179" w:line="219" w:lineRule="auto"/>
        <w:ind w:left="3596"/>
        <w:rPr>
          <w:sz w:val="22"/>
          <w:szCs w:val="22"/>
        </w:rPr>
      </w:pPr>
      <w:r>
        <w:rPr>
          <w:b/>
          <w:bCs/>
          <w:color w:val="0D0D0D"/>
          <w:spacing w:val="-2"/>
          <w:sz w:val="22"/>
          <w:szCs w:val="22"/>
        </w:rPr>
        <w:t>表</w:t>
      </w:r>
      <w:r>
        <w:rPr>
          <w:color w:val="0D0D0D"/>
          <w:spacing w:val="-45"/>
          <w:sz w:val="22"/>
          <w:szCs w:val="22"/>
        </w:rPr>
        <w:t xml:space="preserve"> </w:t>
      </w:r>
      <w:r>
        <w:rPr>
          <w:rFonts w:ascii="Times New Roman" w:eastAsia="Times New Roman" w:hAnsi="Times New Roman" w:cs="Times New Roman"/>
          <w:b/>
          <w:bCs/>
          <w:color w:val="0D0D0D"/>
          <w:spacing w:val="-2"/>
          <w:sz w:val="22"/>
          <w:szCs w:val="22"/>
        </w:rPr>
        <w:t xml:space="preserve">3-1    </w:t>
      </w:r>
      <w:r>
        <w:rPr>
          <w:b/>
          <w:bCs/>
          <w:color w:val="0D0D0D"/>
          <w:spacing w:val="-2"/>
          <w:sz w:val="22"/>
          <w:szCs w:val="22"/>
        </w:rPr>
        <w:t>主要成员介绍</w:t>
      </w:r>
    </w:p>
    <w:tbl>
      <w:tblPr>
        <w:tblStyle w:val="TableNormal0"/>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72"/>
        <w:gridCol w:w="993"/>
        <w:gridCol w:w="1521"/>
        <w:gridCol w:w="2749"/>
        <w:gridCol w:w="1910"/>
      </w:tblGrid>
      <w:tr>
        <w:tblPrEx>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8"/>
        </w:trPr>
        <w:tc>
          <w:tcPr>
            <w:tcW w:w="1672" w:type="dxa"/>
            <w:vAlign w:val="top"/>
          </w:tcPr>
          <w:p>
            <w:pPr>
              <w:pStyle w:val="TableText"/>
              <w:spacing w:before="60" w:line="221" w:lineRule="auto"/>
              <w:ind w:left="629"/>
            </w:pPr>
            <w:r>
              <w:rPr>
                <w:b/>
                <w:bCs/>
                <w:color w:val="0D0D0D"/>
                <w:spacing w:val="-4"/>
              </w:rPr>
              <w:t>姓名</w:t>
            </w:r>
          </w:p>
        </w:tc>
        <w:tc>
          <w:tcPr>
            <w:tcW w:w="993" w:type="dxa"/>
            <w:vAlign w:val="top"/>
          </w:tcPr>
          <w:p>
            <w:pPr>
              <w:pStyle w:val="TableText"/>
              <w:spacing w:before="60" w:line="222" w:lineRule="auto"/>
              <w:ind w:left="287"/>
            </w:pPr>
            <w:r>
              <w:rPr>
                <w:b/>
                <w:bCs/>
                <w:color w:val="0D0D0D"/>
                <w:spacing w:val="-4"/>
              </w:rPr>
              <w:t>性别</w:t>
            </w:r>
          </w:p>
        </w:tc>
        <w:tc>
          <w:tcPr>
            <w:tcW w:w="1521" w:type="dxa"/>
            <w:vAlign w:val="top"/>
          </w:tcPr>
          <w:p>
            <w:pPr>
              <w:pStyle w:val="TableText"/>
              <w:spacing w:before="60" w:line="221" w:lineRule="auto"/>
              <w:ind w:left="291"/>
            </w:pPr>
            <w:r>
              <w:rPr>
                <w:b/>
                <w:bCs/>
                <w:color w:val="0D0D0D"/>
                <w:spacing w:val="-3"/>
              </w:rPr>
              <w:t>职务/职称</w:t>
            </w:r>
          </w:p>
        </w:tc>
        <w:tc>
          <w:tcPr>
            <w:tcW w:w="2749" w:type="dxa"/>
            <w:vAlign w:val="top"/>
          </w:tcPr>
          <w:p>
            <w:pPr>
              <w:pStyle w:val="TableText"/>
              <w:spacing w:before="60" w:line="222" w:lineRule="auto"/>
              <w:ind w:left="961"/>
            </w:pPr>
            <w:r>
              <w:rPr>
                <w:b/>
                <w:bCs/>
                <w:color w:val="0D0D0D"/>
                <w:spacing w:val="-4"/>
              </w:rPr>
              <w:t>工作单位</w:t>
            </w:r>
          </w:p>
        </w:tc>
        <w:tc>
          <w:tcPr>
            <w:tcW w:w="1910" w:type="dxa"/>
            <w:vAlign w:val="top"/>
          </w:tcPr>
          <w:p>
            <w:pPr>
              <w:pStyle w:val="TableText"/>
              <w:spacing w:before="60" w:line="221" w:lineRule="auto"/>
              <w:ind w:left="537"/>
            </w:pPr>
            <w:r>
              <w:rPr>
                <w:b/>
                <w:bCs/>
                <w:color w:val="0D0D0D"/>
                <w:spacing w:val="-3"/>
              </w:rPr>
              <w:t>任务分工</w:t>
            </w:r>
          </w:p>
        </w:tc>
      </w:tr>
      <w:tr>
        <w:tblPrEx>
          <w:tblW w:w="8845" w:type="dxa"/>
          <w:tblInd w:w="2" w:type="dxa"/>
          <w:tblLayout w:type="fixed"/>
        </w:tblPrEx>
        <w:trPr>
          <w:trHeight w:val="316"/>
        </w:trPr>
        <w:tc>
          <w:tcPr>
            <w:tcW w:w="1672" w:type="dxa"/>
            <w:vAlign w:val="top"/>
          </w:tcPr>
          <w:p>
            <w:pPr>
              <w:pStyle w:val="TableText"/>
              <w:spacing w:before="52" w:line="223" w:lineRule="auto"/>
              <w:ind w:left="526"/>
            </w:pPr>
            <w:r>
              <w:rPr>
                <w:color w:val="0D0D0D"/>
                <w:spacing w:val="-2"/>
              </w:rPr>
              <w:t>夏运生</w:t>
            </w:r>
          </w:p>
        </w:tc>
        <w:tc>
          <w:tcPr>
            <w:tcW w:w="993" w:type="dxa"/>
            <w:vAlign w:val="top"/>
          </w:tcPr>
          <w:p>
            <w:pPr>
              <w:pStyle w:val="TableText"/>
              <w:spacing w:before="52" w:line="221" w:lineRule="auto"/>
              <w:ind w:left="400"/>
            </w:pPr>
            <w:r>
              <w:rPr>
                <w:color w:val="0D0D0D"/>
              </w:rPr>
              <w:t>男</w:t>
            </w:r>
          </w:p>
        </w:tc>
        <w:tc>
          <w:tcPr>
            <w:tcW w:w="1521" w:type="dxa"/>
            <w:vAlign w:val="top"/>
          </w:tcPr>
          <w:p>
            <w:pPr>
              <w:pStyle w:val="TableText"/>
              <w:spacing w:before="51" w:line="221" w:lineRule="auto"/>
              <w:ind w:left="557"/>
            </w:pPr>
            <w:r>
              <w:rPr>
                <w:color w:val="0D0D0D"/>
                <w:spacing w:val="-3"/>
              </w:rPr>
              <w:t>教授</w:t>
            </w:r>
          </w:p>
        </w:tc>
        <w:tc>
          <w:tcPr>
            <w:tcW w:w="2749" w:type="dxa"/>
            <w:vAlign w:val="top"/>
          </w:tcPr>
          <w:p>
            <w:pPr>
              <w:pStyle w:val="TableText"/>
              <w:spacing w:before="52" w:line="221" w:lineRule="auto"/>
              <w:ind w:left="755"/>
            </w:pPr>
            <w:r>
              <w:rPr>
                <w:color w:val="0D0D0D"/>
                <w:spacing w:val="-2"/>
              </w:rPr>
              <w:t>云南农业大学</w:t>
            </w:r>
          </w:p>
        </w:tc>
        <w:tc>
          <w:tcPr>
            <w:tcW w:w="1910" w:type="dxa"/>
            <w:vAlign w:val="top"/>
          </w:tcPr>
          <w:p>
            <w:pPr>
              <w:pStyle w:val="TableText"/>
              <w:spacing w:before="51" w:line="221" w:lineRule="auto"/>
              <w:ind w:left="750"/>
            </w:pPr>
            <w:r>
              <w:rPr>
                <w:color w:val="0D0D0D"/>
                <w:spacing w:val="-2"/>
              </w:rPr>
              <w:t>主持</w:t>
            </w:r>
          </w:p>
        </w:tc>
      </w:tr>
    </w:tbl>
    <w:p>
      <w:pPr>
        <w:sectPr>
          <w:footerReference w:type="default" r:id="rId8"/>
          <w:pgSz w:w="11907" w:h="16839"/>
          <w:pgMar w:top="1427" w:right="1526" w:bottom="1425" w:left="1529" w:header="0" w:footer="1249" w:gutter="0"/>
          <w:pgNumType w:start="5"/>
          <w:cols w:space="708"/>
        </w:sectPr>
      </w:pPr>
    </w:p>
    <w:tbl>
      <w:tblPr>
        <w:tblStyle w:val="TableNormal1"/>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72"/>
        <w:gridCol w:w="993"/>
        <w:gridCol w:w="1521"/>
        <w:gridCol w:w="2749"/>
        <w:gridCol w:w="1910"/>
      </w:tblGrid>
      <w:tr>
        <w:tblPrEx>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16"/>
        </w:trPr>
        <w:tc>
          <w:tcPr>
            <w:tcW w:w="1672" w:type="dxa"/>
            <w:vAlign w:val="top"/>
          </w:tcPr>
          <w:p>
            <w:pPr>
              <w:pStyle w:val="TableText"/>
              <w:spacing w:before="52" w:line="221" w:lineRule="auto"/>
              <w:ind w:left="527"/>
            </w:pPr>
            <w:r>
              <w:rPr>
                <w:color w:val="0D0D0D"/>
                <w:spacing w:val="-2"/>
              </w:rPr>
              <w:t>周洪印</w:t>
            </w:r>
          </w:p>
        </w:tc>
        <w:tc>
          <w:tcPr>
            <w:tcW w:w="993" w:type="dxa"/>
            <w:vAlign w:val="top"/>
          </w:tcPr>
          <w:p>
            <w:pPr>
              <w:pStyle w:val="TableText"/>
              <w:spacing w:before="53" w:line="221" w:lineRule="auto"/>
              <w:ind w:left="400"/>
            </w:pPr>
            <w:r>
              <w:rPr>
                <w:color w:val="0D0D0D"/>
              </w:rPr>
              <w:t>男</w:t>
            </w:r>
          </w:p>
        </w:tc>
        <w:tc>
          <w:tcPr>
            <w:tcW w:w="1521" w:type="dxa"/>
            <w:vAlign w:val="top"/>
          </w:tcPr>
          <w:p>
            <w:pPr>
              <w:pStyle w:val="TableText"/>
              <w:spacing w:before="52" w:line="220" w:lineRule="auto"/>
              <w:ind w:left="238"/>
            </w:pPr>
            <w:r>
              <w:rPr>
                <w:color w:val="0D0D0D"/>
                <w:spacing w:val="-2"/>
              </w:rPr>
              <w:t>博士研究生</w:t>
            </w:r>
          </w:p>
        </w:tc>
        <w:tc>
          <w:tcPr>
            <w:tcW w:w="2749" w:type="dxa"/>
            <w:vAlign w:val="top"/>
          </w:tcPr>
          <w:p>
            <w:pPr>
              <w:pStyle w:val="TableText"/>
              <w:spacing w:before="53" w:line="221" w:lineRule="auto"/>
              <w:ind w:left="755"/>
            </w:pPr>
            <w:r>
              <w:rPr>
                <w:color w:val="0D0D0D"/>
                <w:spacing w:val="-2"/>
              </w:rPr>
              <w:t>云南农业大学</w:t>
            </w:r>
          </w:p>
        </w:tc>
        <w:tc>
          <w:tcPr>
            <w:tcW w:w="1910" w:type="dxa"/>
            <w:vAlign w:val="top"/>
          </w:tcPr>
          <w:p>
            <w:pPr>
              <w:pStyle w:val="TableText"/>
              <w:spacing w:before="52" w:line="221" w:lineRule="auto"/>
              <w:ind w:left="223"/>
            </w:pPr>
            <w:r>
              <w:rPr>
                <w:color w:val="0D0D0D"/>
                <w:spacing w:val="-1"/>
              </w:rPr>
              <w:t>试验示范及编写</w:t>
            </w:r>
          </w:p>
        </w:tc>
      </w:tr>
      <w:tr>
        <w:tblPrEx>
          <w:tblW w:w="8845" w:type="dxa"/>
          <w:tblInd w:w="2" w:type="dxa"/>
          <w:tblLayout w:type="fixed"/>
        </w:tblPrEx>
        <w:trPr>
          <w:trHeight w:val="316"/>
        </w:trPr>
        <w:tc>
          <w:tcPr>
            <w:tcW w:w="1672" w:type="dxa"/>
            <w:vAlign w:val="top"/>
          </w:tcPr>
          <w:p>
            <w:pPr>
              <w:pStyle w:val="TableText"/>
              <w:spacing w:before="53" w:line="221" w:lineRule="auto"/>
              <w:ind w:left="531"/>
            </w:pPr>
            <w:r>
              <w:rPr>
                <w:color w:val="0D0D0D"/>
                <w:spacing w:val="-3"/>
              </w:rPr>
              <w:t>张乃明</w:t>
            </w:r>
          </w:p>
        </w:tc>
        <w:tc>
          <w:tcPr>
            <w:tcW w:w="993" w:type="dxa"/>
            <w:vAlign w:val="top"/>
          </w:tcPr>
          <w:p>
            <w:pPr>
              <w:pStyle w:val="TableText"/>
              <w:spacing w:before="53" w:line="221" w:lineRule="auto"/>
              <w:ind w:left="400"/>
            </w:pPr>
            <w:r>
              <w:rPr>
                <w:color w:val="0D0D0D"/>
              </w:rPr>
              <w:t>男</w:t>
            </w:r>
          </w:p>
        </w:tc>
        <w:tc>
          <w:tcPr>
            <w:tcW w:w="1521" w:type="dxa"/>
            <w:vAlign w:val="top"/>
          </w:tcPr>
          <w:p>
            <w:pPr>
              <w:pStyle w:val="TableText"/>
              <w:spacing w:before="53" w:line="221" w:lineRule="auto"/>
              <w:ind w:left="557"/>
            </w:pPr>
            <w:r>
              <w:rPr>
                <w:color w:val="0D0D0D"/>
                <w:spacing w:val="-3"/>
              </w:rPr>
              <w:t>教授</w:t>
            </w:r>
          </w:p>
        </w:tc>
        <w:tc>
          <w:tcPr>
            <w:tcW w:w="2749" w:type="dxa"/>
            <w:vAlign w:val="top"/>
          </w:tcPr>
          <w:p>
            <w:pPr>
              <w:pStyle w:val="TableText"/>
              <w:spacing w:before="53" w:line="221" w:lineRule="auto"/>
              <w:ind w:left="755"/>
            </w:pPr>
            <w:r>
              <w:rPr>
                <w:color w:val="0D0D0D"/>
                <w:spacing w:val="-2"/>
              </w:rPr>
              <w:t>云南农业大学</w:t>
            </w:r>
          </w:p>
        </w:tc>
        <w:tc>
          <w:tcPr>
            <w:tcW w:w="1910" w:type="dxa"/>
            <w:vAlign w:val="top"/>
          </w:tcPr>
          <w:p>
            <w:pPr>
              <w:pStyle w:val="TableText"/>
              <w:spacing w:before="53" w:line="221" w:lineRule="auto"/>
              <w:ind w:left="541"/>
            </w:pPr>
            <w:r>
              <w:rPr>
                <w:color w:val="0D0D0D"/>
                <w:spacing w:val="-2"/>
              </w:rPr>
              <w:t>技术指导</w:t>
            </w:r>
          </w:p>
        </w:tc>
      </w:tr>
      <w:tr>
        <w:tblPrEx>
          <w:tblW w:w="8845" w:type="dxa"/>
          <w:tblInd w:w="2" w:type="dxa"/>
          <w:tblLayout w:type="fixed"/>
        </w:tblPrEx>
        <w:trPr>
          <w:trHeight w:val="316"/>
        </w:trPr>
        <w:tc>
          <w:tcPr>
            <w:tcW w:w="1672" w:type="dxa"/>
            <w:vAlign w:val="top"/>
          </w:tcPr>
          <w:p>
            <w:pPr>
              <w:pStyle w:val="TableText"/>
              <w:spacing w:before="53" w:line="221" w:lineRule="auto"/>
              <w:ind w:left="632"/>
            </w:pPr>
            <w:r>
              <w:rPr>
                <w:color w:val="0D0D0D"/>
                <w:spacing w:val="-2"/>
              </w:rPr>
              <w:t>余众</w:t>
            </w:r>
          </w:p>
        </w:tc>
        <w:tc>
          <w:tcPr>
            <w:tcW w:w="993" w:type="dxa"/>
            <w:vAlign w:val="top"/>
          </w:tcPr>
          <w:p>
            <w:pPr>
              <w:pStyle w:val="TableText"/>
              <w:spacing w:before="54" w:line="221" w:lineRule="auto"/>
              <w:ind w:left="400"/>
            </w:pPr>
            <w:r>
              <w:rPr>
                <w:color w:val="0D0D0D"/>
              </w:rPr>
              <w:t>男</w:t>
            </w:r>
          </w:p>
        </w:tc>
        <w:tc>
          <w:tcPr>
            <w:tcW w:w="1521" w:type="dxa"/>
            <w:vAlign w:val="top"/>
          </w:tcPr>
          <w:p>
            <w:pPr>
              <w:pStyle w:val="TableText"/>
              <w:spacing w:before="54" w:line="220" w:lineRule="auto"/>
              <w:ind w:left="238"/>
            </w:pPr>
            <w:r>
              <w:rPr>
                <w:color w:val="0D0D0D"/>
                <w:spacing w:val="-2"/>
              </w:rPr>
              <w:t>硕士研究生</w:t>
            </w:r>
          </w:p>
        </w:tc>
        <w:tc>
          <w:tcPr>
            <w:tcW w:w="2749" w:type="dxa"/>
            <w:vAlign w:val="top"/>
          </w:tcPr>
          <w:p>
            <w:pPr>
              <w:pStyle w:val="TableText"/>
              <w:spacing w:before="54" w:line="221" w:lineRule="auto"/>
              <w:ind w:left="755"/>
            </w:pPr>
            <w:r>
              <w:rPr>
                <w:color w:val="0D0D0D"/>
                <w:spacing w:val="-2"/>
              </w:rPr>
              <w:t>云南农业大学</w:t>
            </w:r>
          </w:p>
        </w:tc>
        <w:tc>
          <w:tcPr>
            <w:tcW w:w="1910" w:type="dxa"/>
            <w:vAlign w:val="top"/>
          </w:tcPr>
          <w:p>
            <w:pPr>
              <w:pStyle w:val="TableText"/>
              <w:spacing w:before="54" w:line="221" w:lineRule="auto"/>
              <w:ind w:left="540"/>
            </w:pPr>
            <w:r>
              <w:rPr>
                <w:color w:val="0D0D0D"/>
                <w:spacing w:val="-2"/>
              </w:rPr>
              <w:t>试验示范</w:t>
            </w:r>
          </w:p>
        </w:tc>
      </w:tr>
      <w:tr>
        <w:tblPrEx>
          <w:tblW w:w="8845" w:type="dxa"/>
          <w:tblInd w:w="2" w:type="dxa"/>
          <w:tblLayout w:type="fixed"/>
        </w:tblPrEx>
        <w:trPr>
          <w:trHeight w:val="318"/>
        </w:trPr>
        <w:tc>
          <w:tcPr>
            <w:tcW w:w="1672" w:type="dxa"/>
            <w:vAlign w:val="top"/>
          </w:tcPr>
          <w:p>
            <w:pPr>
              <w:pStyle w:val="TableText"/>
              <w:spacing w:before="57" w:line="220" w:lineRule="auto"/>
              <w:ind w:left="525"/>
            </w:pPr>
            <w:r>
              <w:rPr>
                <w:color w:val="0D0D0D"/>
                <w:spacing w:val="-1"/>
              </w:rPr>
              <w:t>邓毅书</w:t>
            </w:r>
          </w:p>
        </w:tc>
        <w:tc>
          <w:tcPr>
            <w:tcW w:w="993" w:type="dxa"/>
            <w:vAlign w:val="top"/>
          </w:tcPr>
          <w:p>
            <w:pPr>
              <w:pStyle w:val="TableText"/>
              <w:spacing w:before="56" w:line="221" w:lineRule="auto"/>
              <w:ind w:left="398"/>
            </w:pPr>
            <w:r>
              <w:rPr>
                <w:color w:val="0D0D0D"/>
              </w:rPr>
              <w:t>女</w:t>
            </w:r>
          </w:p>
        </w:tc>
        <w:tc>
          <w:tcPr>
            <w:tcW w:w="1521" w:type="dxa"/>
            <w:vAlign w:val="top"/>
          </w:tcPr>
          <w:p>
            <w:pPr>
              <w:pStyle w:val="TableText"/>
              <w:spacing w:before="56" w:line="221" w:lineRule="auto"/>
              <w:ind w:left="453"/>
            </w:pPr>
            <w:r>
              <w:rPr>
                <w:color w:val="0D0D0D"/>
                <w:spacing w:val="-2"/>
              </w:rPr>
              <w:t>副教授</w:t>
            </w:r>
          </w:p>
        </w:tc>
        <w:tc>
          <w:tcPr>
            <w:tcW w:w="2749" w:type="dxa"/>
            <w:vAlign w:val="top"/>
          </w:tcPr>
          <w:p>
            <w:pPr>
              <w:pStyle w:val="TableText"/>
              <w:spacing w:before="56" w:line="221" w:lineRule="auto"/>
              <w:ind w:left="755"/>
            </w:pPr>
            <w:r>
              <w:rPr>
                <w:color w:val="0D0D0D"/>
                <w:spacing w:val="-2"/>
              </w:rPr>
              <w:t>云南农业大学</w:t>
            </w:r>
          </w:p>
        </w:tc>
        <w:tc>
          <w:tcPr>
            <w:tcW w:w="1910" w:type="dxa"/>
            <w:vAlign w:val="top"/>
          </w:tcPr>
          <w:p>
            <w:pPr>
              <w:pStyle w:val="TableText"/>
              <w:spacing w:before="56" w:line="221" w:lineRule="auto"/>
              <w:ind w:left="542"/>
            </w:pPr>
            <w:r>
              <w:rPr>
                <w:color w:val="0D0D0D"/>
                <w:spacing w:val="-2"/>
              </w:rPr>
              <w:t>参与编写</w:t>
            </w:r>
          </w:p>
        </w:tc>
      </w:tr>
      <w:tr>
        <w:tblPrEx>
          <w:tblW w:w="8845" w:type="dxa"/>
          <w:tblInd w:w="2" w:type="dxa"/>
          <w:tblLayout w:type="fixed"/>
        </w:tblPrEx>
        <w:trPr>
          <w:trHeight w:val="632"/>
        </w:trPr>
        <w:tc>
          <w:tcPr>
            <w:tcW w:w="1672" w:type="dxa"/>
            <w:vAlign w:val="top"/>
          </w:tcPr>
          <w:p>
            <w:pPr>
              <w:pStyle w:val="TableText"/>
              <w:spacing w:before="212" w:line="221" w:lineRule="auto"/>
              <w:ind w:left="526"/>
            </w:pPr>
            <w:r>
              <w:rPr>
                <w:color w:val="0D0D0D"/>
                <w:spacing w:val="-2"/>
              </w:rPr>
              <w:t>岳献荣</w:t>
            </w:r>
          </w:p>
        </w:tc>
        <w:tc>
          <w:tcPr>
            <w:tcW w:w="993" w:type="dxa"/>
            <w:vAlign w:val="top"/>
          </w:tcPr>
          <w:p>
            <w:pPr>
              <w:pStyle w:val="TableText"/>
              <w:spacing w:before="211" w:line="221" w:lineRule="auto"/>
              <w:ind w:left="398"/>
            </w:pPr>
            <w:r>
              <w:rPr>
                <w:color w:val="0D0D0D"/>
              </w:rPr>
              <w:t>女</w:t>
            </w:r>
          </w:p>
        </w:tc>
        <w:tc>
          <w:tcPr>
            <w:tcW w:w="1521" w:type="dxa"/>
            <w:vAlign w:val="top"/>
          </w:tcPr>
          <w:p>
            <w:pPr>
              <w:pStyle w:val="TableText"/>
              <w:spacing w:before="211" w:line="221" w:lineRule="auto"/>
              <w:ind w:left="554"/>
            </w:pPr>
            <w:r>
              <w:rPr>
                <w:color w:val="0D0D0D"/>
                <w:spacing w:val="-2"/>
              </w:rPr>
              <w:t>讲师</w:t>
            </w:r>
          </w:p>
        </w:tc>
        <w:tc>
          <w:tcPr>
            <w:tcW w:w="2749" w:type="dxa"/>
            <w:vAlign w:val="top"/>
          </w:tcPr>
          <w:p>
            <w:pPr>
              <w:pStyle w:val="TableText"/>
              <w:spacing w:before="212" w:line="221" w:lineRule="auto"/>
              <w:ind w:left="755"/>
            </w:pPr>
            <w:r>
              <w:rPr>
                <w:color w:val="0D0D0D"/>
                <w:spacing w:val="-2"/>
              </w:rPr>
              <w:t>云南农业大学</w:t>
            </w:r>
          </w:p>
        </w:tc>
        <w:tc>
          <w:tcPr>
            <w:tcW w:w="1910" w:type="dxa"/>
            <w:vAlign w:val="top"/>
          </w:tcPr>
          <w:p>
            <w:pPr>
              <w:pStyle w:val="TableText"/>
              <w:spacing w:before="55" w:line="249" w:lineRule="auto"/>
              <w:ind w:left="749" w:right="109" w:hanging="620"/>
            </w:pPr>
            <w:r>
              <w:rPr>
                <w:color w:val="0D0D0D"/>
                <w:spacing w:val="-2"/>
              </w:rPr>
              <w:t>资料、数据收集与</w:t>
            </w:r>
            <w:r>
              <w:rPr>
                <w:color w:val="0D0D0D"/>
              </w:rPr>
              <w:t xml:space="preserve"> </w:t>
            </w:r>
            <w:r>
              <w:rPr>
                <w:color w:val="0D0D0D"/>
                <w:spacing w:val="-2"/>
              </w:rPr>
              <w:t>整理</w:t>
            </w:r>
          </w:p>
        </w:tc>
      </w:tr>
    </w:tbl>
    <w:p>
      <w:pPr>
        <w:spacing w:line="212" w:lineRule="exact"/>
        <w:rPr>
          <w:rFonts w:ascii="Arial"/>
          <w:sz w:val="18"/>
        </w:rPr>
      </w:pPr>
    </w:p>
    <w:p>
      <w:pPr>
        <w:spacing w:line="212" w:lineRule="exact"/>
        <w:rPr>
          <w:rFonts w:ascii="Arial" w:eastAsia="Arial" w:hAnsi="Arial" w:cs="Arial"/>
          <w:sz w:val="18"/>
          <w:szCs w:val="18"/>
        </w:rPr>
        <w:sectPr>
          <w:footerReference w:type="default" r:id="rId9"/>
          <w:type w:val="nextPage"/>
          <w:pgSz w:w="11907" w:h="16839"/>
          <w:pgMar w:top="1427" w:right="1526" w:bottom="1425" w:left="1529" w:header="0" w:footer="1249" w:gutter="0"/>
          <w:pgNumType w:start="6"/>
          <w:cols w:space="708"/>
          <w:titlePg w:val="0"/>
        </w:sectPr>
      </w:pPr>
    </w:p>
    <w:p>
      <w:pPr>
        <w:spacing w:line="91" w:lineRule="auto"/>
        <w:rPr>
          <w:rFonts w:ascii="Arial"/>
          <w:sz w:val="2"/>
        </w:rPr>
      </w:pPr>
    </w:p>
    <w:tbl>
      <w:tblPr>
        <w:tblStyle w:val="TableNormal2"/>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672"/>
        <w:gridCol w:w="993"/>
        <w:gridCol w:w="1521"/>
        <w:gridCol w:w="2749"/>
        <w:gridCol w:w="1910"/>
      </w:tblGrid>
      <w:tr>
        <w:tblPrEx>
          <w:tblW w:w="8845" w:type="dxa"/>
          <w:tblInd w:w="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6"/>
        </w:trPr>
        <w:tc>
          <w:tcPr>
            <w:tcW w:w="1672" w:type="dxa"/>
            <w:tcBorders>
              <w:bottom w:val="single" w:sz="4" w:space="0" w:color="000000"/>
            </w:tcBorders>
            <w:vAlign w:val="top"/>
          </w:tcPr>
          <w:p>
            <w:pPr>
              <w:pStyle w:val="TableText"/>
              <w:spacing w:before="57" w:line="221" w:lineRule="auto"/>
              <w:ind w:left="629"/>
            </w:pPr>
            <w:r>
              <w:rPr>
                <w:b/>
                <w:bCs/>
                <w:color w:val="0D0D0D"/>
                <w:spacing w:val="-4"/>
              </w:rPr>
              <w:t>姓名</w:t>
            </w:r>
          </w:p>
        </w:tc>
        <w:tc>
          <w:tcPr>
            <w:tcW w:w="993" w:type="dxa"/>
            <w:tcBorders>
              <w:bottom w:val="single" w:sz="4" w:space="0" w:color="000000"/>
            </w:tcBorders>
            <w:vAlign w:val="top"/>
          </w:tcPr>
          <w:p>
            <w:pPr>
              <w:pStyle w:val="TableText"/>
              <w:spacing w:before="57" w:line="222" w:lineRule="auto"/>
              <w:ind w:left="287"/>
            </w:pPr>
            <w:r>
              <w:rPr>
                <w:b/>
                <w:bCs/>
                <w:color w:val="0D0D0D"/>
                <w:spacing w:val="-4"/>
              </w:rPr>
              <w:t>性别</w:t>
            </w:r>
          </w:p>
        </w:tc>
        <w:tc>
          <w:tcPr>
            <w:tcW w:w="1521" w:type="dxa"/>
            <w:tcBorders>
              <w:bottom w:val="single" w:sz="4" w:space="0" w:color="000000"/>
            </w:tcBorders>
            <w:vAlign w:val="top"/>
          </w:tcPr>
          <w:p>
            <w:pPr>
              <w:pStyle w:val="TableText"/>
              <w:spacing w:before="57" w:line="221" w:lineRule="auto"/>
              <w:ind w:left="291"/>
            </w:pPr>
            <w:r>
              <w:rPr>
                <w:b/>
                <w:bCs/>
                <w:color w:val="0D0D0D"/>
                <w:spacing w:val="-3"/>
              </w:rPr>
              <w:t>职务/职称</w:t>
            </w:r>
          </w:p>
        </w:tc>
        <w:tc>
          <w:tcPr>
            <w:tcW w:w="2749" w:type="dxa"/>
            <w:tcBorders>
              <w:bottom w:val="single" w:sz="4" w:space="0" w:color="000000"/>
            </w:tcBorders>
            <w:vAlign w:val="top"/>
          </w:tcPr>
          <w:p>
            <w:pPr>
              <w:pStyle w:val="TableText"/>
              <w:spacing w:before="57" w:line="222" w:lineRule="auto"/>
              <w:ind w:left="961"/>
            </w:pPr>
            <w:r>
              <w:rPr>
                <w:b/>
                <w:bCs/>
                <w:color w:val="0D0D0D"/>
                <w:spacing w:val="-4"/>
              </w:rPr>
              <w:t>工作单位</w:t>
            </w:r>
          </w:p>
        </w:tc>
        <w:tc>
          <w:tcPr>
            <w:tcW w:w="1910" w:type="dxa"/>
            <w:tcBorders>
              <w:bottom w:val="single" w:sz="4" w:space="0" w:color="000000"/>
            </w:tcBorders>
            <w:vAlign w:val="top"/>
          </w:tcPr>
          <w:p>
            <w:pPr>
              <w:pStyle w:val="TableText"/>
              <w:spacing w:before="57" w:line="221" w:lineRule="auto"/>
              <w:ind w:left="537"/>
            </w:pPr>
            <w:r>
              <w:rPr>
                <w:b/>
                <w:bCs/>
                <w:color w:val="0D0D0D"/>
                <w:spacing w:val="-3"/>
              </w:rPr>
              <w:t>任务分工</w:t>
            </w:r>
          </w:p>
        </w:tc>
      </w:tr>
      <w:tr>
        <w:tblPrEx>
          <w:tblW w:w="8845" w:type="dxa"/>
          <w:tblInd w:w="2" w:type="dxa"/>
          <w:tblLayout w:type="fixed"/>
        </w:tblPrEx>
        <w:trPr>
          <w:trHeight w:val="311"/>
        </w:trPr>
        <w:tc>
          <w:tcPr>
            <w:tcW w:w="1672" w:type="dxa"/>
            <w:tcBorders>
              <w:top w:val="single" w:sz="4" w:space="0" w:color="000000"/>
            </w:tcBorders>
            <w:vAlign w:val="top"/>
          </w:tcPr>
          <w:p>
            <w:pPr>
              <w:pStyle w:val="TableText"/>
              <w:spacing w:before="46" w:line="221" w:lineRule="auto"/>
              <w:ind w:left="551"/>
            </w:pPr>
            <w:r>
              <w:rPr>
                <w:color w:val="0D0D0D"/>
                <w:spacing w:val="-7"/>
              </w:rPr>
              <w:t>田诗翰</w:t>
            </w:r>
          </w:p>
        </w:tc>
        <w:tc>
          <w:tcPr>
            <w:tcW w:w="993" w:type="dxa"/>
            <w:tcBorders>
              <w:top w:val="single" w:sz="4" w:space="0" w:color="000000"/>
            </w:tcBorders>
            <w:vAlign w:val="top"/>
          </w:tcPr>
          <w:p>
            <w:pPr>
              <w:pStyle w:val="TableText"/>
              <w:spacing w:before="47" w:line="221" w:lineRule="auto"/>
              <w:ind w:left="400"/>
            </w:pPr>
            <w:r>
              <w:rPr>
                <w:color w:val="0D0D0D"/>
              </w:rPr>
              <w:t>男</w:t>
            </w:r>
          </w:p>
        </w:tc>
        <w:tc>
          <w:tcPr>
            <w:tcW w:w="1521" w:type="dxa"/>
            <w:tcBorders>
              <w:top w:val="single" w:sz="4" w:space="0" w:color="000000"/>
            </w:tcBorders>
            <w:vAlign w:val="top"/>
          </w:tcPr>
          <w:p>
            <w:pPr>
              <w:pStyle w:val="TableText"/>
              <w:spacing w:before="46" w:line="220" w:lineRule="auto"/>
              <w:ind w:left="238"/>
            </w:pPr>
            <w:r>
              <w:rPr>
                <w:color w:val="0D0D0D"/>
                <w:spacing w:val="-2"/>
              </w:rPr>
              <w:t>硕士研究生</w:t>
            </w:r>
          </w:p>
        </w:tc>
        <w:tc>
          <w:tcPr>
            <w:tcW w:w="2749" w:type="dxa"/>
            <w:tcBorders>
              <w:top w:val="single" w:sz="4" w:space="0" w:color="000000"/>
            </w:tcBorders>
            <w:vAlign w:val="top"/>
          </w:tcPr>
          <w:p>
            <w:pPr>
              <w:pStyle w:val="TableText"/>
              <w:spacing w:before="47" w:line="221" w:lineRule="auto"/>
              <w:ind w:left="755"/>
            </w:pPr>
            <w:r>
              <w:rPr>
                <w:color w:val="0D0D0D"/>
                <w:spacing w:val="-2"/>
              </w:rPr>
              <w:t>云南农业大学</w:t>
            </w:r>
          </w:p>
        </w:tc>
        <w:tc>
          <w:tcPr>
            <w:tcW w:w="1910" w:type="dxa"/>
            <w:tcBorders>
              <w:top w:val="single" w:sz="4" w:space="0" w:color="000000"/>
            </w:tcBorders>
            <w:vAlign w:val="top"/>
          </w:tcPr>
          <w:p>
            <w:pPr>
              <w:pStyle w:val="TableText"/>
              <w:spacing w:before="47" w:line="221" w:lineRule="auto"/>
              <w:ind w:left="541"/>
            </w:pPr>
            <w:r>
              <w:rPr>
                <w:color w:val="0D0D0D"/>
                <w:spacing w:val="-2"/>
              </w:rPr>
              <w:t>测试分析</w:t>
            </w:r>
          </w:p>
        </w:tc>
      </w:tr>
      <w:tr>
        <w:tblPrEx>
          <w:tblW w:w="8845" w:type="dxa"/>
          <w:tblInd w:w="2" w:type="dxa"/>
          <w:tblLayout w:type="fixed"/>
        </w:tblPrEx>
        <w:trPr>
          <w:trHeight w:val="318"/>
        </w:trPr>
        <w:tc>
          <w:tcPr>
            <w:tcW w:w="1672" w:type="dxa"/>
            <w:vAlign w:val="top"/>
          </w:tcPr>
          <w:p>
            <w:pPr>
              <w:pStyle w:val="TableText"/>
              <w:spacing w:before="54" w:line="220" w:lineRule="auto"/>
              <w:ind w:left="528"/>
            </w:pPr>
            <w:r>
              <w:rPr>
                <w:color w:val="0D0D0D"/>
                <w:spacing w:val="-2"/>
              </w:rPr>
              <w:t>杨章福</w:t>
            </w:r>
          </w:p>
        </w:tc>
        <w:tc>
          <w:tcPr>
            <w:tcW w:w="993" w:type="dxa"/>
            <w:vAlign w:val="top"/>
          </w:tcPr>
          <w:p>
            <w:pPr>
              <w:pStyle w:val="TableText"/>
              <w:spacing w:before="55" w:line="221" w:lineRule="auto"/>
              <w:ind w:left="400"/>
            </w:pPr>
            <w:r>
              <w:rPr>
                <w:color w:val="0D0D0D"/>
              </w:rPr>
              <w:t>男</w:t>
            </w:r>
          </w:p>
        </w:tc>
        <w:tc>
          <w:tcPr>
            <w:tcW w:w="1521" w:type="dxa"/>
            <w:vAlign w:val="top"/>
          </w:tcPr>
          <w:p>
            <w:pPr>
              <w:pStyle w:val="TableText"/>
              <w:spacing w:before="55" w:line="221" w:lineRule="auto"/>
              <w:ind w:left="450"/>
            </w:pPr>
            <w:r>
              <w:rPr>
                <w:color w:val="0D0D0D"/>
                <w:spacing w:val="-2"/>
              </w:rPr>
              <w:t>董事长</w:t>
            </w:r>
          </w:p>
        </w:tc>
        <w:tc>
          <w:tcPr>
            <w:tcW w:w="2749" w:type="dxa"/>
            <w:vAlign w:val="top"/>
          </w:tcPr>
          <w:p>
            <w:pPr>
              <w:pStyle w:val="TableText"/>
              <w:spacing w:before="55" w:line="221" w:lineRule="auto"/>
              <w:ind w:left="229"/>
            </w:pPr>
            <w:r>
              <w:rPr>
                <w:color w:val="0D0D0D"/>
                <w:spacing w:val="-1"/>
              </w:rPr>
              <w:t>云南农家乐农业有限公司</w:t>
            </w:r>
          </w:p>
        </w:tc>
        <w:tc>
          <w:tcPr>
            <w:tcW w:w="1910" w:type="dxa"/>
            <w:vAlign w:val="top"/>
          </w:tcPr>
          <w:p>
            <w:pPr>
              <w:pStyle w:val="TableText"/>
              <w:spacing w:before="54" w:line="221" w:lineRule="auto"/>
              <w:ind w:left="541"/>
            </w:pPr>
            <w:r>
              <w:rPr>
                <w:color w:val="0D0D0D"/>
                <w:spacing w:val="-2"/>
              </w:rPr>
              <w:t>技术指导</w:t>
            </w:r>
          </w:p>
        </w:tc>
      </w:tr>
      <w:tr>
        <w:tblPrEx>
          <w:tblW w:w="8845" w:type="dxa"/>
          <w:tblInd w:w="2" w:type="dxa"/>
          <w:tblLayout w:type="fixed"/>
        </w:tblPrEx>
        <w:trPr>
          <w:trHeight w:val="627"/>
        </w:trPr>
        <w:tc>
          <w:tcPr>
            <w:tcW w:w="1672" w:type="dxa"/>
            <w:vAlign w:val="top"/>
          </w:tcPr>
          <w:p>
            <w:pPr>
              <w:pStyle w:val="TableText"/>
              <w:spacing w:before="209" w:line="221" w:lineRule="auto"/>
              <w:ind w:left="528"/>
            </w:pPr>
            <w:r>
              <w:rPr>
                <w:color w:val="0D0D0D"/>
                <w:spacing w:val="-2"/>
              </w:rPr>
              <w:t>王汝荣</w:t>
            </w:r>
          </w:p>
        </w:tc>
        <w:tc>
          <w:tcPr>
            <w:tcW w:w="993" w:type="dxa"/>
            <w:vAlign w:val="top"/>
          </w:tcPr>
          <w:p>
            <w:pPr>
              <w:pStyle w:val="TableText"/>
              <w:spacing w:before="209" w:line="221" w:lineRule="auto"/>
              <w:ind w:left="400"/>
            </w:pPr>
            <w:r>
              <w:rPr>
                <w:color w:val="0D0D0D"/>
              </w:rPr>
              <w:t>男</w:t>
            </w:r>
          </w:p>
        </w:tc>
        <w:tc>
          <w:tcPr>
            <w:tcW w:w="1521" w:type="dxa"/>
            <w:vAlign w:val="top"/>
          </w:tcPr>
          <w:p>
            <w:pPr>
              <w:pStyle w:val="TableText"/>
              <w:spacing w:before="209" w:line="221" w:lineRule="auto"/>
              <w:ind w:left="450"/>
            </w:pPr>
            <w:r>
              <w:rPr>
                <w:color w:val="0D0D0D"/>
                <w:spacing w:val="-2"/>
              </w:rPr>
              <w:t>董事长</w:t>
            </w:r>
          </w:p>
        </w:tc>
        <w:tc>
          <w:tcPr>
            <w:tcW w:w="2749" w:type="dxa"/>
            <w:vAlign w:val="top"/>
          </w:tcPr>
          <w:p>
            <w:pPr>
              <w:pStyle w:val="TableText"/>
              <w:spacing w:before="54" w:line="247" w:lineRule="auto"/>
              <w:ind w:left="968" w:right="110" w:hanging="841"/>
            </w:pPr>
            <w:r>
              <w:rPr>
                <w:color w:val="0D0D0D"/>
                <w:spacing w:val="-2"/>
              </w:rPr>
              <w:t>宾川县富鑫农产品开发有限</w:t>
            </w:r>
            <w:r>
              <w:rPr>
                <w:color w:val="0D0D0D"/>
                <w:spacing w:val="8"/>
              </w:rPr>
              <w:t xml:space="preserve"> </w:t>
            </w:r>
            <w:r>
              <w:rPr>
                <w:color w:val="0D0D0D"/>
                <w:spacing w:val="-4"/>
              </w:rPr>
              <w:t>责任公司</w:t>
            </w:r>
          </w:p>
        </w:tc>
        <w:tc>
          <w:tcPr>
            <w:tcW w:w="1910" w:type="dxa"/>
            <w:vAlign w:val="top"/>
          </w:tcPr>
          <w:p>
            <w:pPr>
              <w:pStyle w:val="TableText"/>
              <w:spacing w:before="209" w:line="222" w:lineRule="auto"/>
              <w:ind w:left="540"/>
            </w:pPr>
            <w:r>
              <w:rPr>
                <w:color w:val="0D0D0D"/>
                <w:spacing w:val="-2"/>
              </w:rPr>
              <w:t>应用示范</w:t>
            </w:r>
          </w:p>
        </w:tc>
      </w:tr>
      <w:tr>
        <w:tblPrEx>
          <w:tblW w:w="8845" w:type="dxa"/>
          <w:tblInd w:w="2" w:type="dxa"/>
          <w:tblLayout w:type="fixed"/>
        </w:tblPrEx>
        <w:trPr>
          <w:trHeight w:val="316"/>
        </w:trPr>
        <w:tc>
          <w:tcPr>
            <w:tcW w:w="1672" w:type="dxa"/>
            <w:vAlign w:val="top"/>
          </w:tcPr>
          <w:p>
            <w:pPr>
              <w:pStyle w:val="TableText"/>
              <w:spacing w:before="54" w:line="221" w:lineRule="auto"/>
              <w:ind w:left="531"/>
            </w:pPr>
            <w:r>
              <w:rPr>
                <w:color w:val="0D0D0D"/>
                <w:spacing w:val="-3"/>
              </w:rPr>
              <w:t>张小卓</w:t>
            </w:r>
          </w:p>
        </w:tc>
        <w:tc>
          <w:tcPr>
            <w:tcW w:w="993" w:type="dxa"/>
            <w:vAlign w:val="top"/>
          </w:tcPr>
          <w:p>
            <w:pPr>
              <w:pStyle w:val="TableText"/>
              <w:spacing w:before="54" w:line="221" w:lineRule="auto"/>
              <w:ind w:left="400"/>
            </w:pPr>
            <w:r>
              <w:rPr>
                <w:color w:val="0D0D0D"/>
              </w:rPr>
              <w:t>男</w:t>
            </w:r>
          </w:p>
        </w:tc>
        <w:tc>
          <w:tcPr>
            <w:tcW w:w="1521" w:type="dxa"/>
            <w:vAlign w:val="top"/>
          </w:tcPr>
          <w:p>
            <w:pPr>
              <w:pStyle w:val="TableText"/>
              <w:spacing w:before="54" w:line="221" w:lineRule="auto"/>
              <w:ind w:left="237"/>
            </w:pPr>
            <w:r>
              <w:rPr>
                <w:color w:val="0D0D0D"/>
                <w:spacing w:val="-1"/>
              </w:rPr>
              <w:t>研发部经理</w:t>
            </w:r>
          </w:p>
        </w:tc>
        <w:tc>
          <w:tcPr>
            <w:tcW w:w="2749" w:type="dxa"/>
            <w:vAlign w:val="top"/>
          </w:tcPr>
          <w:p>
            <w:pPr>
              <w:pStyle w:val="TableText"/>
              <w:spacing w:before="54" w:line="221" w:lineRule="auto"/>
              <w:ind w:left="229"/>
            </w:pPr>
            <w:r>
              <w:rPr>
                <w:color w:val="0D0D0D"/>
                <w:spacing w:val="-1"/>
              </w:rPr>
              <w:t>云南农家乐农业有限公司</w:t>
            </w:r>
          </w:p>
        </w:tc>
        <w:tc>
          <w:tcPr>
            <w:tcW w:w="1910" w:type="dxa"/>
            <w:vAlign w:val="top"/>
          </w:tcPr>
          <w:p>
            <w:pPr>
              <w:pStyle w:val="TableText"/>
              <w:spacing w:before="54" w:line="220" w:lineRule="auto"/>
              <w:ind w:left="542"/>
            </w:pPr>
            <w:r>
              <w:rPr>
                <w:color w:val="0D0D0D"/>
                <w:spacing w:val="-2"/>
              </w:rPr>
              <w:t>调理剂生产</w:t>
            </w:r>
          </w:p>
        </w:tc>
      </w:tr>
      <w:tr>
        <w:tblPrEx>
          <w:tblW w:w="8845" w:type="dxa"/>
          <w:tblInd w:w="2" w:type="dxa"/>
          <w:tblLayout w:type="fixed"/>
        </w:tblPrEx>
        <w:trPr>
          <w:trHeight w:val="316"/>
        </w:trPr>
        <w:tc>
          <w:tcPr>
            <w:tcW w:w="1672" w:type="dxa"/>
            <w:vAlign w:val="top"/>
          </w:tcPr>
          <w:p>
            <w:pPr>
              <w:pStyle w:val="TableText"/>
              <w:spacing w:before="55" w:line="220" w:lineRule="auto"/>
              <w:ind w:left="631"/>
            </w:pPr>
            <w:r>
              <w:rPr>
                <w:color w:val="0D0D0D"/>
                <w:spacing w:val="-2"/>
              </w:rPr>
              <w:t>包立</w:t>
            </w:r>
          </w:p>
        </w:tc>
        <w:tc>
          <w:tcPr>
            <w:tcW w:w="993" w:type="dxa"/>
            <w:vAlign w:val="top"/>
          </w:tcPr>
          <w:p>
            <w:pPr>
              <w:pStyle w:val="TableText"/>
              <w:spacing w:before="55" w:line="220" w:lineRule="auto"/>
              <w:ind w:left="400"/>
            </w:pPr>
            <w:r>
              <w:rPr>
                <w:color w:val="0D0D0D"/>
              </w:rPr>
              <w:t>男</w:t>
            </w:r>
          </w:p>
        </w:tc>
        <w:tc>
          <w:tcPr>
            <w:tcW w:w="1521" w:type="dxa"/>
            <w:vAlign w:val="top"/>
          </w:tcPr>
          <w:p>
            <w:pPr>
              <w:pStyle w:val="TableText"/>
              <w:spacing w:before="55" w:line="220" w:lineRule="auto"/>
              <w:ind w:left="453"/>
            </w:pPr>
            <w:r>
              <w:rPr>
                <w:color w:val="0D0D0D"/>
                <w:spacing w:val="-2"/>
              </w:rPr>
              <w:t>副教授</w:t>
            </w:r>
          </w:p>
        </w:tc>
        <w:tc>
          <w:tcPr>
            <w:tcW w:w="2749" w:type="dxa"/>
            <w:vAlign w:val="top"/>
          </w:tcPr>
          <w:p>
            <w:pPr>
              <w:pStyle w:val="TableText"/>
              <w:spacing w:before="55" w:line="220" w:lineRule="auto"/>
              <w:ind w:left="755"/>
            </w:pPr>
            <w:r>
              <w:rPr>
                <w:color w:val="0D0D0D"/>
                <w:spacing w:val="-2"/>
              </w:rPr>
              <w:t>云南农业大学</w:t>
            </w:r>
          </w:p>
        </w:tc>
        <w:tc>
          <w:tcPr>
            <w:tcW w:w="1910" w:type="dxa"/>
            <w:vAlign w:val="top"/>
          </w:tcPr>
          <w:p>
            <w:pPr>
              <w:pStyle w:val="TableText"/>
              <w:spacing w:before="55" w:line="220" w:lineRule="auto"/>
              <w:ind w:left="542"/>
            </w:pPr>
            <w:r>
              <w:rPr>
                <w:color w:val="0D0D0D"/>
                <w:spacing w:val="-2"/>
              </w:rPr>
              <w:t>调研采样</w:t>
            </w:r>
          </w:p>
        </w:tc>
      </w:tr>
      <w:tr>
        <w:tblPrEx>
          <w:tblW w:w="8845" w:type="dxa"/>
          <w:tblInd w:w="2" w:type="dxa"/>
          <w:tblLayout w:type="fixed"/>
        </w:tblPrEx>
        <w:trPr>
          <w:trHeight w:val="321"/>
        </w:trPr>
        <w:tc>
          <w:tcPr>
            <w:tcW w:w="1672" w:type="dxa"/>
            <w:vAlign w:val="top"/>
          </w:tcPr>
          <w:p>
            <w:pPr>
              <w:pStyle w:val="TableText"/>
              <w:spacing w:before="56" w:line="221" w:lineRule="auto"/>
              <w:ind w:left="530"/>
            </w:pPr>
            <w:r>
              <w:rPr>
                <w:color w:val="0D0D0D"/>
                <w:spacing w:val="-2"/>
              </w:rPr>
              <w:t>苏友波</w:t>
            </w:r>
          </w:p>
        </w:tc>
        <w:tc>
          <w:tcPr>
            <w:tcW w:w="993" w:type="dxa"/>
            <w:vAlign w:val="top"/>
          </w:tcPr>
          <w:p>
            <w:pPr>
              <w:pStyle w:val="TableText"/>
              <w:spacing w:before="56" w:line="221" w:lineRule="auto"/>
              <w:ind w:left="400"/>
            </w:pPr>
            <w:r>
              <w:rPr>
                <w:color w:val="0D0D0D"/>
              </w:rPr>
              <w:t>男</w:t>
            </w:r>
          </w:p>
        </w:tc>
        <w:tc>
          <w:tcPr>
            <w:tcW w:w="1521" w:type="dxa"/>
            <w:vAlign w:val="top"/>
          </w:tcPr>
          <w:p>
            <w:pPr>
              <w:pStyle w:val="TableText"/>
              <w:spacing w:before="55" w:line="221" w:lineRule="auto"/>
              <w:ind w:left="453"/>
            </w:pPr>
            <w:r>
              <w:rPr>
                <w:color w:val="0D0D0D"/>
                <w:spacing w:val="-2"/>
              </w:rPr>
              <w:t>副教授</w:t>
            </w:r>
          </w:p>
        </w:tc>
        <w:tc>
          <w:tcPr>
            <w:tcW w:w="2749" w:type="dxa"/>
            <w:vAlign w:val="top"/>
          </w:tcPr>
          <w:p>
            <w:pPr>
              <w:pStyle w:val="TableText"/>
              <w:spacing w:before="56" w:line="221" w:lineRule="auto"/>
              <w:ind w:left="755"/>
            </w:pPr>
            <w:r>
              <w:rPr>
                <w:color w:val="0D0D0D"/>
                <w:spacing w:val="-2"/>
              </w:rPr>
              <w:t>云南农业大学</w:t>
            </w:r>
          </w:p>
        </w:tc>
        <w:tc>
          <w:tcPr>
            <w:tcW w:w="1910" w:type="dxa"/>
            <w:vAlign w:val="top"/>
          </w:tcPr>
          <w:p>
            <w:pPr>
              <w:pStyle w:val="TableText"/>
              <w:spacing w:before="56" w:line="220" w:lineRule="auto"/>
              <w:ind w:left="542"/>
            </w:pPr>
            <w:r>
              <w:rPr>
                <w:color w:val="0D0D0D"/>
                <w:spacing w:val="-2"/>
              </w:rPr>
              <w:t>调研采样</w:t>
            </w:r>
          </w:p>
        </w:tc>
      </w:tr>
    </w:tbl>
    <w:p>
      <w:pPr>
        <w:spacing w:before="171" w:line="568" w:lineRule="exact"/>
        <w:ind w:left="278"/>
        <w:rPr>
          <w:rFonts w:ascii="FangSong" w:eastAsia="FangSong" w:hAnsi="FangSong" w:cs="FangSong"/>
          <w:sz w:val="28"/>
          <w:szCs w:val="28"/>
        </w:rPr>
      </w:pPr>
      <w:r>
        <w:rPr>
          <w:rFonts w:ascii="Times New Roman" w:eastAsia="Times New Roman" w:hAnsi="Times New Roman" w:cs="Times New Roman"/>
          <w:b/>
          <w:bCs/>
          <w:color w:val="0D0D0D"/>
          <w:spacing w:val="-2"/>
          <w:position w:val="21"/>
          <w:sz w:val="28"/>
          <w:szCs w:val="28"/>
        </w:rPr>
        <w:t xml:space="preserve">4  </w:t>
      </w:r>
      <w:r>
        <w:rPr>
          <w:rFonts w:ascii="FangSong" w:eastAsia="FangSong" w:hAnsi="FangSong" w:cs="FangSong"/>
          <w:b/>
          <w:bCs/>
          <w:color w:val="0D0D0D"/>
          <w:spacing w:val="-2"/>
          <w:position w:val="21"/>
          <w:sz w:val="28"/>
          <w:szCs w:val="28"/>
        </w:rPr>
        <w:t>标准主要内容的确定依据及内容的说明</w:t>
      </w:r>
    </w:p>
    <w:p>
      <w:pPr>
        <w:spacing w:line="218" w:lineRule="auto"/>
        <w:ind w:left="277"/>
        <w:rPr>
          <w:rFonts w:ascii="FangSong" w:eastAsia="FangSong" w:hAnsi="FangSong" w:cs="FangSong"/>
          <w:sz w:val="24"/>
          <w:szCs w:val="24"/>
        </w:rPr>
      </w:pPr>
      <w:r>
        <w:rPr>
          <w:rFonts w:ascii="Times New Roman" w:eastAsia="Times New Roman" w:hAnsi="Times New Roman" w:cs="Times New Roman"/>
          <w:b/>
          <w:bCs/>
          <w:color w:val="0D0D0D"/>
          <w:spacing w:val="-2"/>
          <w:sz w:val="24"/>
          <w:szCs w:val="24"/>
        </w:rPr>
        <w:t xml:space="preserve">4.1  </w:t>
      </w:r>
      <w:r>
        <w:rPr>
          <w:rFonts w:ascii="FangSong" w:eastAsia="FangSong" w:hAnsi="FangSong" w:cs="FangSong"/>
          <w:b/>
          <w:bCs/>
          <w:color w:val="0D0D0D"/>
          <w:spacing w:val="-2"/>
          <w:sz w:val="24"/>
          <w:szCs w:val="24"/>
        </w:rPr>
        <w:t>标准主要内容的确定依据</w:t>
      </w:r>
    </w:p>
    <w:p>
      <w:pPr>
        <w:pStyle w:val="BodyText"/>
        <w:spacing w:before="183" w:line="220" w:lineRule="auto"/>
        <w:ind w:left="756"/>
      </w:pPr>
      <w:r>
        <w:rPr>
          <w:rFonts w:ascii="Calibri" w:eastAsia="Calibri" w:hAnsi="Calibri" w:cs="Calibri"/>
          <w:color w:val="0D0D0D"/>
          <w:spacing w:val="-2"/>
        </w:rPr>
        <w:t>4.1.1</w:t>
      </w:r>
      <w:r>
        <w:rPr>
          <w:rFonts w:ascii="Calibri" w:eastAsia="Calibri" w:hAnsi="Calibri" w:cs="Calibri"/>
          <w:color w:val="0D0D0D"/>
          <w:spacing w:val="16"/>
        </w:rPr>
        <w:t xml:space="preserve">  </w:t>
      </w:r>
      <w:r>
        <w:rPr>
          <w:color w:val="0D0D0D"/>
          <w:spacing w:val="-2"/>
        </w:rPr>
        <w:t>参考的相关标准</w:t>
      </w:r>
    </w:p>
    <w:p>
      <w:pPr>
        <w:pStyle w:val="BodyText"/>
        <w:spacing w:before="103" w:line="468" w:lineRule="exact"/>
        <w:ind w:left="759"/>
      </w:pPr>
      <w:r>
        <w:rPr>
          <w:rFonts w:ascii="Times New Roman" w:eastAsia="Times New Roman" w:hAnsi="Times New Roman" w:cs="Times New Roman"/>
          <w:color w:val="0D0D0D"/>
          <w:spacing w:val="-1"/>
          <w:position w:val="17"/>
        </w:rPr>
        <w:t>GB</w:t>
      </w:r>
      <w:r>
        <w:rPr>
          <w:rFonts w:ascii="Times New Roman" w:eastAsia="Times New Roman" w:hAnsi="Times New Roman" w:cs="Times New Roman"/>
          <w:color w:val="0D0D0D"/>
          <w:spacing w:val="28"/>
          <w:position w:val="17"/>
        </w:rPr>
        <w:t xml:space="preserve"> </w:t>
      </w:r>
      <w:r>
        <w:rPr>
          <w:rFonts w:ascii="Times New Roman" w:eastAsia="Times New Roman" w:hAnsi="Times New Roman" w:cs="Times New Roman"/>
          <w:color w:val="0D0D0D"/>
          <w:spacing w:val="-1"/>
          <w:position w:val="17"/>
        </w:rPr>
        <w:t xml:space="preserve">15618-2018 </w:t>
      </w:r>
      <w:r>
        <w:rPr>
          <w:color w:val="0D0D0D"/>
          <w:spacing w:val="-1"/>
          <w:position w:val="17"/>
        </w:rPr>
        <w:t>土壤环境质量 农用</w:t>
      </w:r>
      <w:r>
        <w:rPr>
          <w:color w:val="0D0D0D"/>
          <w:spacing w:val="-2"/>
          <w:position w:val="17"/>
        </w:rPr>
        <w:t>地土壤污染风险管控标准（试行）</w:t>
      </w:r>
    </w:p>
    <w:p>
      <w:pPr>
        <w:pStyle w:val="BodyText"/>
        <w:spacing w:before="1" w:line="218" w:lineRule="auto"/>
        <w:ind w:left="759"/>
      </w:pPr>
      <w:r>
        <w:rPr>
          <w:rFonts w:ascii="Times New Roman" w:eastAsia="Times New Roman" w:hAnsi="Times New Roman" w:cs="Times New Roman"/>
          <w:color w:val="0D0D0D"/>
          <w:spacing w:val="-1"/>
        </w:rPr>
        <w:t xml:space="preserve">GB/T 33469  </w:t>
      </w:r>
      <w:r>
        <w:rPr>
          <w:color w:val="0D0D0D"/>
          <w:spacing w:val="-1"/>
        </w:rPr>
        <w:t>耕地质量等级</w:t>
      </w:r>
    </w:p>
    <w:p>
      <w:pPr>
        <w:pStyle w:val="BodyText"/>
        <w:spacing w:before="181" w:line="219" w:lineRule="auto"/>
        <w:ind w:left="759"/>
      </w:pPr>
      <w:r>
        <w:rPr>
          <w:rFonts w:ascii="Times New Roman" w:eastAsia="Times New Roman" w:hAnsi="Times New Roman" w:cs="Times New Roman"/>
          <w:color w:val="0D0D0D"/>
          <w:spacing w:val="-1"/>
        </w:rPr>
        <w:t xml:space="preserve">GB/T 6274-2016  </w:t>
      </w:r>
      <w:r>
        <w:rPr>
          <w:color w:val="0D0D0D"/>
          <w:spacing w:val="-1"/>
        </w:rPr>
        <w:t>肥料和土壤调理剂</w:t>
      </w:r>
    </w:p>
    <w:p>
      <w:pPr>
        <w:pStyle w:val="BodyText"/>
        <w:spacing w:before="183" w:line="468" w:lineRule="exact"/>
        <w:ind w:left="755"/>
      </w:pPr>
      <w:r>
        <w:rPr>
          <w:rFonts w:ascii="Times New Roman" w:eastAsia="Times New Roman" w:hAnsi="Times New Roman" w:cs="Times New Roman"/>
          <w:color w:val="0D0D0D"/>
          <w:spacing w:val="-1"/>
          <w:position w:val="17"/>
        </w:rPr>
        <w:t>DB37/T</w:t>
      </w:r>
      <w:r>
        <w:rPr>
          <w:rFonts w:ascii="Times New Roman" w:eastAsia="Times New Roman" w:hAnsi="Times New Roman" w:cs="Times New Roman"/>
          <w:color w:val="0D0D0D"/>
          <w:spacing w:val="23"/>
          <w:position w:val="17"/>
        </w:rPr>
        <w:t xml:space="preserve"> </w:t>
      </w:r>
      <w:r>
        <w:rPr>
          <w:rFonts w:ascii="Times New Roman" w:eastAsia="Times New Roman" w:hAnsi="Times New Roman" w:cs="Times New Roman"/>
          <w:color w:val="0D0D0D"/>
          <w:spacing w:val="-1"/>
          <w:position w:val="17"/>
        </w:rPr>
        <w:t xml:space="preserve">1303-2009  </w:t>
      </w:r>
      <w:r>
        <w:rPr>
          <w:color w:val="0D0D0D"/>
          <w:spacing w:val="-1"/>
          <w:position w:val="17"/>
        </w:rPr>
        <w:t>土壤检测：土壤全盐量的</w:t>
      </w:r>
      <w:r>
        <w:rPr>
          <w:color w:val="0D0D0D"/>
          <w:spacing w:val="-2"/>
          <w:position w:val="17"/>
        </w:rPr>
        <w:t>测定</w:t>
      </w:r>
    </w:p>
    <w:p>
      <w:pPr>
        <w:pStyle w:val="BodyText"/>
        <w:spacing w:before="1" w:line="218" w:lineRule="auto"/>
        <w:ind w:left="755"/>
      </w:pPr>
      <w:r>
        <w:rPr>
          <w:rFonts w:ascii="Times New Roman" w:eastAsia="Times New Roman" w:hAnsi="Times New Roman" w:cs="Times New Roman"/>
          <w:color w:val="0D0D0D"/>
          <w:spacing w:val="-2"/>
        </w:rPr>
        <w:t>DB51/T</w:t>
      </w:r>
      <w:r>
        <w:rPr>
          <w:rFonts w:ascii="Times New Roman" w:eastAsia="Times New Roman" w:hAnsi="Times New Roman" w:cs="Times New Roman"/>
          <w:color w:val="0D0D0D"/>
          <w:spacing w:val="41"/>
          <w:w w:val="101"/>
        </w:rPr>
        <w:t xml:space="preserve"> </w:t>
      </w:r>
      <w:r>
        <w:rPr>
          <w:rFonts w:ascii="Times New Roman" w:eastAsia="Times New Roman" w:hAnsi="Times New Roman" w:cs="Times New Roman"/>
          <w:color w:val="0D0D0D"/>
          <w:spacing w:val="-2"/>
        </w:rPr>
        <w:t xml:space="preserve">1875-2014  </w:t>
      </w:r>
      <w:r>
        <w:rPr>
          <w:color w:val="0D0D0D"/>
          <w:spacing w:val="-2"/>
        </w:rPr>
        <w:t>土壤碱解氮的测定</w:t>
      </w:r>
    </w:p>
    <w:p>
      <w:pPr>
        <w:pStyle w:val="BodyText"/>
        <w:spacing w:before="182" w:line="220" w:lineRule="auto"/>
        <w:ind w:left="748"/>
      </w:pPr>
      <w:r>
        <w:rPr>
          <w:rFonts w:ascii="Times New Roman" w:eastAsia="Times New Roman" w:hAnsi="Times New Roman" w:cs="Times New Roman"/>
          <w:color w:val="0D0D0D"/>
        </w:rPr>
        <w:t xml:space="preserve">NY/T 889-2004  </w:t>
      </w:r>
      <w:r>
        <w:rPr>
          <w:color w:val="0D0D0D"/>
        </w:rPr>
        <w:t>土壤速效钾的</w:t>
      </w:r>
      <w:r>
        <w:rPr>
          <w:color w:val="0D0D0D"/>
          <w:spacing w:val="-1"/>
        </w:rPr>
        <w:t>测定</w:t>
      </w:r>
    </w:p>
    <w:p>
      <w:pPr>
        <w:pStyle w:val="BodyText"/>
        <w:spacing w:before="182" w:line="465" w:lineRule="exact"/>
        <w:ind w:left="748"/>
      </w:pPr>
      <w:r>
        <w:rPr>
          <w:rFonts w:ascii="Times New Roman" w:eastAsia="Times New Roman" w:hAnsi="Times New Roman" w:cs="Times New Roman"/>
          <w:color w:val="0D0D0D"/>
          <w:spacing w:val="-1"/>
          <w:position w:val="17"/>
        </w:rPr>
        <w:t>NY/T</w:t>
      </w:r>
      <w:r>
        <w:rPr>
          <w:rFonts w:ascii="Times New Roman" w:eastAsia="Times New Roman" w:hAnsi="Times New Roman" w:cs="Times New Roman"/>
          <w:color w:val="0D0D0D"/>
          <w:spacing w:val="23"/>
          <w:position w:val="17"/>
        </w:rPr>
        <w:t xml:space="preserve"> </w:t>
      </w:r>
      <w:r>
        <w:rPr>
          <w:rFonts w:ascii="Times New Roman" w:eastAsia="Times New Roman" w:hAnsi="Times New Roman" w:cs="Times New Roman"/>
          <w:color w:val="0D0D0D"/>
          <w:spacing w:val="-1"/>
          <w:position w:val="17"/>
        </w:rPr>
        <w:t xml:space="preserve">1121.8  </w:t>
      </w:r>
      <w:r>
        <w:rPr>
          <w:color w:val="0D0D0D"/>
          <w:spacing w:val="-1"/>
          <w:position w:val="17"/>
        </w:rPr>
        <w:t>土壤检测 第</w:t>
      </w:r>
      <w:r>
        <w:rPr>
          <w:color w:val="0D0D0D"/>
          <w:spacing w:val="-50"/>
          <w:position w:val="17"/>
        </w:rPr>
        <w:t xml:space="preserve"> </w:t>
      </w:r>
      <w:r>
        <w:rPr>
          <w:rFonts w:ascii="Times New Roman" w:eastAsia="Times New Roman" w:hAnsi="Times New Roman" w:cs="Times New Roman"/>
          <w:color w:val="0D0D0D"/>
          <w:spacing w:val="-1"/>
          <w:position w:val="17"/>
        </w:rPr>
        <w:t>6</w:t>
      </w:r>
      <w:r>
        <w:rPr>
          <w:rFonts w:ascii="Times New Roman" w:eastAsia="Times New Roman" w:hAnsi="Times New Roman" w:cs="Times New Roman"/>
          <w:color w:val="0D0D0D"/>
          <w:spacing w:val="-2"/>
          <w:position w:val="17"/>
        </w:rPr>
        <w:t xml:space="preserve"> </w:t>
      </w:r>
      <w:r>
        <w:rPr>
          <w:color w:val="0D0D0D"/>
          <w:spacing w:val="-2"/>
          <w:position w:val="17"/>
        </w:rPr>
        <w:t>部分：土壤有效硼的测定</w:t>
      </w:r>
    </w:p>
    <w:p>
      <w:pPr>
        <w:pStyle w:val="BodyText"/>
        <w:spacing w:before="1" w:line="219" w:lineRule="auto"/>
        <w:ind w:left="748"/>
      </w:pPr>
      <w:r>
        <w:rPr>
          <w:rFonts w:ascii="Times New Roman" w:eastAsia="Times New Roman" w:hAnsi="Times New Roman" w:cs="Times New Roman"/>
          <w:color w:val="0D0D0D"/>
          <w:spacing w:val="-1"/>
        </w:rPr>
        <w:t>NY/T</w:t>
      </w:r>
      <w:r>
        <w:rPr>
          <w:rFonts w:ascii="Times New Roman" w:eastAsia="Times New Roman" w:hAnsi="Times New Roman" w:cs="Times New Roman"/>
          <w:color w:val="0D0D0D"/>
          <w:spacing w:val="23"/>
        </w:rPr>
        <w:t xml:space="preserve"> </w:t>
      </w:r>
      <w:r>
        <w:rPr>
          <w:rFonts w:ascii="Times New Roman" w:eastAsia="Times New Roman" w:hAnsi="Times New Roman" w:cs="Times New Roman"/>
          <w:color w:val="0D0D0D"/>
          <w:spacing w:val="-1"/>
        </w:rPr>
        <w:t xml:space="preserve">1121.9  </w:t>
      </w:r>
      <w:r>
        <w:rPr>
          <w:color w:val="0D0D0D"/>
          <w:spacing w:val="-1"/>
        </w:rPr>
        <w:t>土壤检测 第</w:t>
      </w:r>
      <w:r>
        <w:rPr>
          <w:color w:val="0D0D0D"/>
          <w:spacing w:val="-50"/>
        </w:rPr>
        <w:t xml:space="preserve"> </w:t>
      </w:r>
      <w:r>
        <w:rPr>
          <w:rFonts w:ascii="Times New Roman" w:eastAsia="Times New Roman" w:hAnsi="Times New Roman" w:cs="Times New Roman"/>
          <w:color w:val="0D0D0D"/>
          <w:spacing w:val="-1"/>
        </w:rPr>
        <w:t xml:space="preserve">6 </w:t>
      </w:r>
      <w:r>
        <w:rPr>
          <w:color w:val="0D0D0D"/>
          <w:spacing w:val="-2"/>
        </w:rPr>
        <w:t>部分：土壤有效钼的测定</w:t>
      </w:r>
    </w:p>
    <w:p>
      <w:pPr>
        <w:pStyle w:val="BodyText"/>
        <w:spacing w:before="183" w:line="220" w:lineRule="auto"/>
        <w:ind w:left="748"/>
      </w:pPr>
      <w:r>
        <w:rPr>
          <w:rFonts w:ascii="Times New Roman" w:eastAsia="Times New Roman" w:hAnsi="Times New Roman" w:cs="Times New Roman"/>
          <w:color w:val="0D0D0D"/>
          <w:spacing w:val="-1"/>
        </w:rPr>
        <w:t>NY/T</w:t>
      </w:r>
      <w:r>
        <w:rPr>
          <w:rFonts w:ascii="Times New Roman" w:eastAsia="Times New Roman" w:hAnsi="Times New Roman" w:cs="Times New Roman"/>
          <w:color w:val="0D0D0D"/>
          <w:spacing w:val="23"/>
          <w:w w:val="101"/>
        </w:rPr>
        <w:t xml:space="preserve"> </w:t>
      </w:r>
      <w:r>
        <w:rPr>
          <w:rFonts w:ascii="Times New Roman" w:eastAsia="Times New Roman" w:hAnsi="Times New Roman" w:cs="Times New Roman"/>
          <w:color w:val="0D0D0D"/>
          <w:spacing w:val="-1"/>
        </w:rPr>
        <w:t xml:space="preserve">1121.13-2006  </w:t>
      </w:r>
      <w:r>
        <w:rPr>
          <w:color w:val="0D0D0D"/>
          <w:spacing w:val="-1"/>
        </w:rPr>
        <w:t>土壤交换性钙、交换</w:t>
      </w:r>
      <w:r>
        <w:rPr>
          <w:color w:val="0D0D0D"/>
          <w:spacing w:val="-2"/>
        </w:rPr>
        <w:t>性镁测定</w:t>
      </w:r>
    </w:p>
    <w:p>
      <w:pPr>
        <w:pStyle w:val="BodyText"/>
        <w:spacing w:before="179" w:line="213" w:lineRule="auto"/>
        <w:ind w:left="748"/>
      </w:pPr>
      <w:r>
        <w:rPr>
          <w:rFonts w:ascii="Times New Roman" w:eastAsia="Times New Roman" w:hAnsi="Times New Roman" w:cs="Times New Roman"/>
          <w:color w:val="0D0D0D"/>
          <w:spacing w:val="-2"/>
        </w:rPr>
        <w:t>NY-T</w:t>
      </w:r>
      <w:r>
        <w:rPr>
          <w:rFonts w:ascii="Times New Roman" w:eastAsia="Times New Roman" w:hAnsi="Times New Roman" w:cs="Times New Roman"/>
          <w:color w:val="0D0D0D"/>
          <w:spacing w:val="23"/>
        </w:rPr>
        <w:t xml:space="preserve"> </w:t>
      </w:r>
      <w:r>
        <w:rPr>
          <w:rFonts w:ascii="Times New Roman" w:eastAsia="Times New Roman" w:hAnsi="Times New Roman" w:cs="Times New Roman"/>
          <w:color w:val="0D0D0D"/>
          <w:spacing w:val="-2"/>
        </w:rPr>
        <w:t xml:space="preserve">1377-2007  </w:t>
      </w:r>
      <w:r>
        <w:rPr>
          <w:color w:val="0D0D0D"/>
          <w:spacing w:val="-2"/>
        </w:rPr>
        <w:t>土壤</w:t>
      </w:r>
      <w:r>
        <w:rPr>
          <w:color w:val="0D0D0D"/>
          <w:spacing w:val="-61"/>
        </w:rPr>
        <w:t xml:space="preserve"> </w:t>
      </w:r>
      <w:r>
        <w:rPr>
          <w:rFonts w:ascii="Times New Roman" w:eastAsia="Times New Roman" w:hAnsi="Times New Roman" w:cs="Times New Roman"/>
          <w:color w:val="0D0D0D"/>
          <w:spacing w:val="-2"/>
        </w:rPr>
        <w:t>pH</w:t>
      </w:r>
      <w:r>
        <w:rPr>
          <w:rFonts w:ascii="Times New Roman" w:eastAsia="Times New Roman" w:hAnsi="Times New Roman" w:cs="Times New Roman"/>
          <w:color w:val="0D0D0D"/>
          <w:spacing w:val="28"/>
        </w:rPr>
        <w:t xml:space="preserve"> </w:t>
      </w:r>
      <w:r>
        <w:rPr>
          <w:color w:val="0D0D0D"/>
          <w:spacing w:val="-2"/>
        </w:rPr>
        <w:t>的测定</w:t>
      </w:r>
    </w:p>
    <w:p>
      <w:pPr>
        <w:pStyle w:val="BodyText"/>
        <w:spacing w:before="271" w:line="219" w:lineRule="auto"/>
        <w:ind w:left="756"/>
      </w:pPr>
      <w:r>
        <w:rPr>
          <w:rFonts w:ascii="Calibri" w:eastAsia="Calibri" w:hAnsi="Calibri" w:cs="Calibri"/>
          <w:color w:val="0D0D0D"/>
        </w:rPr>
        <w:t xml:space="preserve">4.1.2  </w:t>
      </w:r>
      <w:r>
        <w:rPr>
          <w:color w:val="0D0D0D"/>
        </w:rPr>
        <w:t>组合改良剂添加量的确定依据</w:t>
      </w:r>
    </w:p>
    <w:p>
      <w:pPr>
        <w:pStyle w:val="BodyText"/>
        <w:spacing w:before="104" w:line="219" w:lineRule="auto"/>
        <w:ind w:left="769"/>
      </w:pPr>
      <w:r>
        <w:rPr>
          <w:b/>
          <w:bCs/>
          <w:color w:val="0D0D0D"/>
          <w:spacing w:val="-4"/>
        </w:rPr>
        <w:t>（</w:t>
      </w:r>
      <w:r>
        <w:rPr>
          <w:rFonts w:ascii="Times New Roman" w:eastAsia="Times New Roman" w:hAnsi="Times New Roman" w:cs="Times New Roman"/>
          <w:b/>
          <w:bCs/>
          <w:color w:val="0D0D0D"/>
          <w:spacing w:val="-4"/>
        </w:rPr>
        <w:t>1</w:t>
      </w:r>
      <w:r>
        <w:rPr>
          <w:b/>
          <w:bCs/>
          <w:color w:val="0D0D0D"/>
          <w:spacing w:val="-4"/>
        </w:rPr>
        <w:t>）酸化土壤改良剂</w:t>
      </w:r>
    </w:p>
    <w:p>
      <w:pPr>
        <w:pStyle w:val="BodyText"/>
        <w:spacing w:before="183" w:line="359" w:lineRule="auto"/>
        <w:ind w:left="270" w:right="204" w:firstLine="489"/>
        <w:sectPr>
          <w:footerReference w:type="default" r:id="rId10"/>
          <w:pgSz w:w="11907" w:h="16839"/>
          <w:pgMar w:top="1431" w:right="1526" w:bottom="1425" w:left="1529" w:header="0" w:footer="1249" w:gutter="0"/>
          <w:pgNumType w:start="7"/>
          <w:cols w:space="708"/>
        </w:sectPr>
      </w:pPr>
      <w:r>
        <w:rPr>
          <w:color w:val="0D0D0D"/>
        </w:rPr>
        <w:t>根据葡萄酸化土壤田间验证试验表明，添加钙镁磷肥</w:t>
      </w:r>
      <w:r>
        <w:rPr>
          <w:rFonts w:ascii="Times New Roman" w:eastAsia="Times New Roman" w:hAnsi="Times New Roman" w:cs="Times New Roman"/>
          <w:color w:val="0D0D0D"/>
        </w:rPr>
        <w:t>+</w:t>
      </w:r>
      <w:r>
        <w:rPr>
          <w:color w:val="0D0D0D"/>
        </w:rPr>
        <w:t>有机物料组合改</w:t>
      </w:r>
      <w:r>
        <w:rPr>
          <w:color w:val="0D0D0D"/>
          <w:spacing w:val="-1"/>
        </w:rPr>
        <w:t>良剂</w:t>
      </w:r>
      <w:r>
        <w:rPr>
          <w:color w:val="0D0D0D"/>
        </w:rPr>
        <w:t xml:space="preserve"> </w:t>
      </w:r>
      <w:r>
        <w:rPr>
          <w:rFonts w:ascii="Times New Roman" w:eastAsia="Times New Roman" w:hAnsi="Times New Roman" w:cs="Times New Roman"/>
          <w:color w:val="0D0D0D"/>
        </w:rPr>
        <w:t>225  kg/</w:t>
      </w:r>
      <w:r>
        <w:rPr>
          <w:color w:val="0D0D0D"/>
        </w:rPr>
        <w:t>亩和添加生石灰</w:t>
      </w:r>
      <w:r>
        <w:rPr>
          <w:rFonts w:ascii="Times New Roman" w:eastAsia="Times New Roman" w:hAnsi="Times New Roman" w:cs="Times New Roman"/>
          <w:color w:val="0D0D0D"/>
        </w:rPr>
        <w:t>+</w:t>
      </w:r>
      <w:r>
        <w:rPr>
          <w:color w:val="0D0D0D"/>
        </w:rPr>
        <w:t xml:space="preserve">有机物料组合改良剂 </w:t>
      </w:r>
      <w:r>
        <w:rPr>
          <w:rFonts w:ascii="Times New Roman" w:eastAsia="Times New Roman" w:hAnsi="Times New Roman" w:cs="Times New Roman"/>
          <w:color w:val="0D0D0D"/>
        </w:rPr>
        <w:t>250  kg/</w:t>
      </w:r>
      <w:r>
        <w:rPr>
          <w:color w:val="0D0D0D"/>
        </w:rPr>
        <w:t>亩都能将对照的酸化</w:t>
      </w:r>
      <w:r>
        <w:rPr>
          <w:color w:val="0D0D0D"/>
          <w:spacing w:val="-1"/>
        </w:rPr>
        <w:t>土壤</w:t>
      </w:r>
      <w:r>
        <w:rPr>
          <w:color w:val="0D0D0D"/>
        </w:rPr>
        <w:t xml:space="preserve"> </w:t>
      </w:r>
      <w:r>
        <w:rPr>
          <w:rFonts w:ascii="Times New Roman" w:eastAsia="Times New Roman" w:hAnsi="Times New Roman" w:cs="Times New Roman"/>
          <w:color w:val="0D0D0D"/>
          <w:spacing w:val="-3"/>
        </w:rPr>
        <w:t>pH</w:t>
      </w:r>
      <w:r>
        <w:rPr>
          <w:rFonts w:ascii="Times New Roman" w:eastAsia="Times New Roman" w:hAnsi="Times New Roman" w:cs="Times New Roman"/>
          <w:color w:val="0D0D0D"/>
          <w:spacing w:val="19"/>
        </w:rPr>
        <w:t xml:space="preserve"> </w:t>
      </w:r>
      <w:r>
        <w:rPr>
          <w:color w:val="0D0D0D"/>
          <w:spacing w:val="-3"/>
        </w:rPr>
        <w:t>值为</w:t>
      </w:r>
      <w:r>
        <w:rPr>
          <w:color w:val="0D0D0D"/>
          <w:spacing w:val="-49"/>
        </w:rPr>
        <w:t xml:space="preserve"> </w:t>
      </w:r>
      <w:r>
        <w:rPr>
          <w:rFonts w:ascii="Times New Roman" w:eastAsia="Times New Roman" w:hAnsi="Times New Roman" w:cs="Times New Roman"/>
          <w:color w:val="0D0D0D"/>
          <w:spacing w:val="-3"/>
        </w:rPr>
        <w:t>4.93</w:t>
      </w:r>
      <w:r>
        <w:rPr>
          <w:rFonts w:ascii="Times New Roman" w:eastAsia="Times New Roman" w:hAnsi="Times New Roman" w:cs="Times New Roman"/>
          <w:color w:val="0D0D0D"/>
          <w:spacing w:val="17"/>
          <w:w w:val="101"/>
        </w:rPr>
        <w:t xml:space="preserve"> </w:t>
      </w:r>
      <w:r>
        <w:rPr>
          <w:color w:val="0D0D0D"/>
          <w:spacing w:val="-3"/>
        </w:rPr>
        <w:t>提升至中性土壤</w:t>
      </w:r>
      <w:r>
        <w:rPr>
          <w:color w:val="0D0D0D"/>
          <w:spacing w:val="-53"/>
        </w:rPr>
        <w:t xml:space="preserve"> </w:t>
      </w:r>
      <w:r>
        <w:rPr>
          <w:rFonts w:ascii="Times New Roman" w:eastAsia="Times New Roman" w:hAnsi="Times New Roman" w:cs="Times New Roman"/>
          <w:color w:val="0D0D0D"/>
          <w:spacing w:val="-3"/>
        </w:rPr>
        <w:t>pH</w:t>
      </w:r>
      <w:r>
        <w:rPr>
          <w:rFonts w:ascii="Times New Roman" w:eastAsia="Times New Roman" w:hAnsi="Times New Roman" w:cs="Times New Roman"/>
          <w:color w:val="0D0D0D"/>
          <w:spacing w:val="16"/>
          <w:w w:val="101"/>
        </w:rPr>
        <w:t xml:space="preserve"> </w:t>
      </w:r>
      <w:r>
        <w:rPr>
          <w:color w:val="0D0D0D"/>
          <w:spacing w:val="-3"/>
        </w:rPr>
        <w:t>值为</w:t>
      </w:r>
      <w:r>
        <w:rPr>
          <w:color w:val="0D0D0D"/>
          <w:spacing w:val="-43"/>
        </w:rPr>
        <w:t xml:space="preserve"> </w:t>
      </w:r>
      <w:r>
        <w:rPr>
          <w:rFonts w:ascii="Times New Roman" w:eastAsia="Times New Roman" w:hAnsi="Times New Roman" w:cs="Times New Roman"/>
          <w:color w:val="0D0D0D"/>
          <w:spacing w:val="-3"/>
        </w:rPr>
        <w:t>6.55</w:t>
      </w:r>
      <w:r>
        <w:rPr>
          <w:rFonts w:ascii="Times New Roman" w:eastAsia="Times New Roman" w:hAnsi="Times New Roman" w:cs="Times New Roman"/>
          <w:color w:val="0D0D0D"/>
          <w:spacing w:val="20"/>
          <w:w w:val="101"/>
        </w:rPr>
        <w:t xml:space="preserve"> </w:t>
      </w:r>
      <w:r>
        <w:rPr>
          <w:color w:val="0D0D0D"/>
          <w:spacing w:val="-3"/>
        </w:rPr>
        <w:t>和</w:t>
      </w:r>
      <w:r>
        <w:rPr>
          <w:color w:val="0D0D0D"/>
          <w:spacing w:val="-42"/>
        </w:rPr>
        <w:t xml:space="preserve"> </w:t>
      </w:r>
      <w:r>
        <w:rPr>
          <w:rFonts w:ascii="Times New Roman" w:eastAsia="Times New Roman" w:hAnsi="Times New Roman" w:cs="Times New Roman"/>
          <w:color w:val="0D0D0D"/>
          <w:spacing w:val="-3"/>
        </w:rPr>
        <w:t>6.98</w:t>
      </w:r>
      <w:r>
        <w:rPr>
          <w:color w:val="0D0D0D"/>
          <w:spacing w:val="-3"/>
        </w:rPr>
        <w:t xml:space="preserve">，分别提升 </w:t>
      </w:r>
      <w:r>
        <w:rPr>
          <w:rFonts w:ascii="Times New Roman" w:eastAsia="Times New Roman" w:hAnsi="Times New Roman" w:cs="Times New Roman"/>
          <w:color w:val="0D0D0D"/>
          <w:spacing w:val="-3"/>
        </w:rPr>
        <w:t>1.62</w:t>
      </w:r>
      <w:r>
        <w:rPr>
          <w:rFonts w:ascii="Times New Roman" w:eastAsia="Times New Roman" w:hAnsi="Times New Roman" w:cs="Times New Roman"/>
          <w:color w:val="0D0D0D"/>
          <w:spacing w:val="17"/>
          <w:w w:val="101"/>
        </w:rPr>
        <w:t xml:space="preserve"> </w:t>
      </w:r>
      <w:r>
        <w:rPr>
          <w:color w:val="0D0D0D"/>
          <w:spacing w:val="-3"/>
        </w:rPr>
        <w:t>和</w:t>
      </w:r>
      <w:r>
        <w:rPr>
          <w:color w:val="0D0D0D"/>
          <w:spacing w:val="-48"/>
        </w:rPr>
        <w:t xml:space="preserve"> </w:t>
      </w:r>
      <w:r>
        <w:rPr>
          <w:rFonts w:ascii="Times New Roman" w:eastAsia="Times New Roman" w:hAnsi="Times New Roman" w:cs="Times New Roman"/>
          <w:color w:val="0D0D0D"/>
          <w:spacing w:val="-3"/>
        </w:rPr>
        <w:t>2.05</w:t>
      </w:r>
      <w:r>
        <w:rPr>
          <w:rFonts w:ascii="Times New Roman" w:eastAsia="Times New Roman" w:hAnsi="Times New Roman" w:cs="Times New Roman"/>
          <w:color w:val="0D0D0D"/>
          <w:spacing w:val="16"/>
          <w:w w:val="101"/>
        </w:rPr>
        <w:t xml:space="preserve"> </w:t>
      </w:r>
      <w:r>
        <w:rPr>
          <w:color w:val="0D0D0D"/>
          <w:spacing w:val="-3"/>
        </w:rPr>
        <w:t>个单</w:t>
      </w:r>
      <w:r>
        <w:rPr>
          <w:color w:val="0D0D0D"/>
        </w:rPr>
        <w:t xml:space="preserve"> </w:t>
      </w:r>
    </w:p>
    <w:p>
      <w:pPr>
        <w:pStyle w:val="BodyText"/>
        <w:spacing w:before="183" w:line="359" w:lineRule="auto"/>
        <w:ind w:left="270" w:right="204" w:firstLine="489"/>
      </w:pPr>
      <w:r>
        <w:rPr>
          <w:color w:val="0D0D0D"/>
          <w:spacing w:val="1"/>
        </w:rPr>
        <w:t>位，由此分别算出每提升</w:t>
      </w:r>
      <w:r>
        <w:rPr>
          <w:color w:val="0D0D0D"/>
          <w:spacing w:val="34"/>
        </w:rPr>
        <w:t xml:space="preserve"> </w:t>
      </w:r>
      <w:r>
        <w:rPr>
          <w:rFonts w:ascii="Times New Roman" w:eastAsia="Times New Roman" w:hAnsi="Times New Roman" w:cs="Times New Roman"/>
          <w:color w:val="0D0D0D"/>
          <w:spacing w:val="1"/>
        </w:rPr>
        <w:t xml:space="preserve">1  </w:t>
      </w:r>
      <w:r>
        <w:rPr>
          <w:color w:val="0D0D0D"/>
          <w:spacing w:val="1"/>
        </w:rPr>
        <w:t xml:space="preserve">个单位需要的改良剂用量 </w:t>
      </w:r>
      <w:r>
        <w:rPr>
          <w:rFonts w:ascii="Times New Roman" w:eastAsia="Times New Roman" w:hAnsi="Times New Roman" w:cs="Times New Roman"/>
          <w:color w:val="0D0D0D"/>
          <w:spacing w:val="1"/>
        </w:rPr>
        <w:t>225/1.6</w:t>
      </w:r>
      <w:r>
        <w:rPr>
          <w:rFonts w:ascii="Times New Roman" w:eastAsia="Times New Roman" w:hAnsi="Times New Roman" w:cs="Times New Roman"/>
          <w:color w:val="0D0D0D"/>
        </w:rPr>
        <w:t>2≈138.7  kg/</w:t>
      </w:r>
      <w:r>
        <w:rPr>
          <w:color w:val="0D0D0D"/>
        </w:rPr>
        <w:t xml:space="preserve">亩；  </w:t>
      </w:r>
      <w:r>
        <w:rPr>
          <w:rFonts w:ascii="Times New Roman" w:eastAsia="Times New Roman" w:hAnsi="Times New Roman" w:cs="Times New Roman"/>
          <w:color w:val="0D0D0D"/>
          <w:spacing w:val="-1"/>
        </w:rPr>
        <w:t>250/2.05≈121.8  kg/</w:t>
      </w:r>
      <w:r>
        <w:rPr>
          <w:color w:val="0D0D0D"/>
          <w:spacing w:val="-1"/>
        </w:rPr>
        <w:t>亩，根据土壤酸化各分级范围到中性土壤分级范围</w:t>
      </w:r>
      <w:r>
        <w:rPr>
          <w:color w:val="0D0D0D"/>
          <w:spacing w:val="-2"/>
        </w:rPr>
        <w:t>的单位数，</w:t>
      </w:r>
    </w:p>
    <w:p>
      <w:pPr>
        <w:pStyle w:val="BodyText"/>
        <w:spacing w:before="1" w:line="218" w:lineRule="auto"/>
        <w:ind w:left="285"/>
      </w:pPr>
      <w:r>
        <w:rPr>
          <w:color w:val="0D0D0D"/>
          <w:spacing w:val="-2"/>
        </w:rPr>
        <w:t>则推算出土壤酸化各分级范围土壤调理剂的使用量范围表</w:t>
      </w:r>
      <w:r>
        <w:rPr>
          <w:color w:val="0D0D0D"/>
          <w:spacing w:val="-45"/>
        </w:rPr>
        <w:t xml:space="preserve"> </w:t>
      </w:r>
      <w:r>
        <w:rPr>
          <w:rFonts w:ascii="Times New Roman" w:eastAsia="Times New Roman" w:hAnsi="Times New Roman" w:cs="Times New Roman"/>
          <w:color w:val="0D0D0D"/>
          <w:spacing w:val="-2"/>
        </w:rPr>
        <w:t>4-</w:t>
      </w:r>
      <w:r>
        <w:rPr>
          <w:rFonts w:ascii="Times New Roman" w:eastAsia="Times New Roman" w:hAnsi="Times New Roman" w:cs="Times New Roman"/>
          <w:color w:val="0D0D0D"/>
          <w:spacing w:val="-32"/>
        </w:rPr>
        <w:t xml:space="preserve"> </w:t>
      </w:r>
      <w:r>
        <w:rPr>
          <w:rFonts w:ascii="Times New Roman" w:eastAsia="Times New Roman" w:hAnsi="Times New Roman" w:cs="Times New Roman"/>
          <w:color w:val="0D0D0D"/>
          <w:spacing w:val="-2"/>
        </w:rPr>
        <w:t>1</w:t>
      </w:r>
      <w:r>
        <w:rPr>
          <w:color w:val="0D0D0D"/>
          <w:spacing w:val="-2"/>
        </w:rPr>
        <w:t>。</w:t>
      </w:r>
    </w:p>
    <w:p>
      <w:pPr>
        <w:spacing w:line="218" w:lineRule="auto"/>
        <w:sectPr>
          <w:footerReference w:type="default" r:id="rId11"/>
          <w:type w:val="nextPage"/>
          <w:pgSz w:w="11907" w:h="16839"/>
          <w:pgMar w:top="1431" w:right="1526" w:bottom="1425" w:left="1529" w:header="0" w:footer="1249" w:gutter="0"/>
          <w:pgNumType w:start="8"/>
          <w:cols w:space="708"/>
          <w:titlePg w:val="0"/>
        </w:sectPr>
      </w:pPr>
    </w:p>
    <w:p>
      <w:pPr>
        <w:pStyle w:val="BodyText"/>
        <w:spacing w:before="42" w:line="220" w:lineRule="auto"/>
        <w:ind w:left="2955"/>
        <w:rPr>
          <w:sz w:val="21"/>
          <w:szCs w:val="21"/>
        </w:rPr>
      </w:pPr>
      <w:r>
        <w:rPr>
          <w:b/>
          <w:bCs/>
          <w:color w:val="0D0D0D"/>
          <w:spacing w:val="-2"/>
          <w:sz w:val="21"/>
          <w:szCs w:val="21"/>
        </w:rPr>
        <w:t>表</w:t>
      </w:r>
      <w:r>
        <w:rPr>
          <w:color w:val="0D0D0D"/>
          <w:spacing w:val="-38"/>
          <w:sz w:val="21"/>
          <w:szCs w:val="21"/>
        </w:rPr>
        <w:t xml:space="preserve"> </w:t>
      </w:r>
      <w:r>
        <w:rPr>
          <w:rFonts w:ascii="Times New Roman" w:eastAsia="Times New Roman" w:hAnsi="Times New Roman" w:cs="Times New Roman"/>
          <w:b/>
          <w:bCs/>
          <w:color w:val="0D0D0D"/>
          <w:spacing w:val="-2"/>
          <w:sz w:val="21"/>
          <w:szCs w:val="21"/>
        </w:rPr>
        <w:t xml:space="preserve">4-1    </w:t>
      </w:r>
      <w:r>
        <w:rPr>
          <w:b/>
          <w:bCs/>
          <w:color w:val="0D0D0D"/>
          <w:spacing w:val="-2"/>
          <w:sz w:val="21"/>
          <w:szCs w:val="21"/>
        </w:rPr>
        <w:t>土壤调理剂使用量</w:t>
      </w:r>
    </w:p>
    <w:p>
      <w:pPr>
        <w:spacing w:line="128" w:lineRule="exact"/>
      </w:pPr>
    </w:p>
    <w:tbl>
      <w:tblPr>
        <w:tblStyle w:val="TableNormal3"/>
        <w:tblW w:w="7945" w:type="dxa"/>
        <w:tblInd w:w="1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245"/>
        <w:gridCol w:w="1838"/>
        <w:gridCol w:w="2732"/>
        <w:gridCol w:w="2130"/>
      </w:tblGrid>
      <w:tr>
        <w:tblPrEx>
          <w:tblW w:w="7945" w:type="dxa"/>
          <w:tblInd w:w="19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0"/>
        </w:trPr>
        <w:tc>
          <w:tcPr>
            <w:tcW w:w="1245" w:type="dxa"/>
            <w:vMerge w:val="restart"/>
            <w:tcBorders>
              <w:bottom w:val="nil"/>
            </w:tcBorders>
            <w:vAlign w:val="top"/>
          </w:tcPr>
          <w:p>
            <w:pPr>
              <w:pStyle w:val="TableText"/>
              <w:spacing w:before="257" w:line="221" w:lineRule="auto"/>
              <w:ind w:left="214"/>
            </w:pPr>
            <w:r>
              <w:rPr>
                <w:b/>
                <w:bCs/>
                <w:color w:val="0D0D0D"/>
                <w:spacing w:val="-5"/>
              </w:rPr>
              <w:t>改良类型</w:t>
            </w:r>
          </w:p>
        </w:tc>
        <w:tc>
          <w:tcPr>
            <w:tcW w:w="1838" w:type="dxa"/>
            <w:vMerge w:val="restart"/>
            <w:tcBorders>
              <w:bottom w:val="nil"/>
            </w:tcBorders>
            <w:vAlign w:val="top"/>
          </w:tcPr>
          <w:p>
            <w:pPr>
              <w:pStyle w:val="TableText"/>
              <w:spacing w:before="257" w:line="221" w:lineRule="auto"/>
              <w:ind w:left="714"/>
            </w:pPr>
            <w:r>
              <w:rPr>
                <w:b/>
                <w:bCs/>
                <w:color w:val="0D0D0D"/>
                <w:spacing w:val="-5"/>
              </w:rPr>
              <w:t>分级</w:t>
            </w:r>
          </w:p>
        </w:tc>
        <w:tc>
          <w:tcPr>
            <w:tcW w:w="4862" w:type="dxa"/>
            <w:gridSpan w:val="2"/>
            <w:vAlign w:val="top"/>
          </w:tcPr>
          <w:p>
            <w:pPr>
              <w:pStyle w:val="TableText"/>
              <w:spacing w:before="56" w:line="213" w:lineRule="auto"/>
              <w:ind w:left="1452"/>
            </w:pPr>
            <w:r>
              <w:rPr>
                <w:b/>
                <w:bCs/>
                <w:color w:val="0D0D0D"/>
                <w:spacing w:val="-3"/>
              </w:rPr>
              <w:t>酸化土壤调理剂（</w:t>
            </w:r>
            <w:r>
              <w:rPr>
                <w:rFonts w:ascii="Times New Roman" w:eastAsia="Times New Roman" w:hAnsi="Times New Roman" w:cs="Times New Roman"/>
                <w:b/>
                <w:bCs/>
                <w:color w:val="0D0D0D"/>
                <w:spacing w:val="-3"/>
              </w:rPr>
              <w:t>kg/</w:t>
            </w:r>
            <w:r>
              <w:rPr>
                <w:b/>
                <w:bCs/>
                <w:color w:val="0D0D0D"/>
                <w:spacing w:val="-3"/>
              </w:rPr>
              <w:t>亩）</w:t>
            </w:r>
          </w:p>
        </w:tc>
      </w:tr>
      <w:tr>
        <w:tblPrEx>
          <w:tblW w:w="7945" w:type="dxa"/>
          <w:tblInd w:w="194" w:type="dxa"/>
          <w:tblLayout w:type="fixed"/>
        </w:tblPrEx>
        <w:trPr>
          <w:trHeight w:val="395"/>
        </w:trPr>
        <w:tc>
          <w:tcPr>
            <w:tcW w:w="1245" w:type="dxa"/>
            <w:vMerge/>
            <w:tcBorders>
              <w:top w:val="nil"/>
            </w:tcBorders>
            <w:vAlign w:val="top"/>
          </w:tcPr>
          <w:p>
            <w:pPr>
              <w:rPr>
                <w:rFonts w:ascii="Arial"/>
                <w:sz w:val="21"/>
              </w:rPr>
            </w:pPr>
          </w:p>
        </w:tc>
        <w:tc>
          <w:tcPr>
            <w:tcW w:w="1838" w:type="dxa"/>
            <w:vMerge/>
            <w:tcBorders>
              <w:top w:val="nil"/>
            </w:tcBorders>
            <w:vAlign w:val="top"/>
          </w:tcPr>
          <w:p>
            <w:pPr>
              <w:rPr>
                <w:rFonts w:ascii="Arial"/>
                <w:sz w:val="21"/>
              </w:rPr>
            </w:pPr>
          </w:p>
        </w:tc>
        <w:tc>
          <w:tcPr>
            <w:tcW w:w="2732" w:type="dxa"/>
            <w:vAlign w:val="top"/>
          </w:tcPr>
          <w:p>
            <w:pPr>
              <w:pStyle w:val="TableText"/>
              <w:spacing w:before="93" w:line="234" w:lineRule="auto"/>
              <w:ind w:left="467"/>
            </w:pPr>
            <w:r>
              <w:rPr>
                <w:b/>
                <w:bCs/>
                <w:color w:val="0D0D0D"/>
                <w:spacing w:val="-2"/>
              </w:rPr>
              <w:t>钙镁磷肥</w:t>
            </w:r>
            <w:r>
              <w:rPr>
                <w:rFonts w:ascii="Times New Roman" w:eastAsia="Times New Roman" w:hAnsi="Times New Roman" w:cs="Times New Roman"/>
                <w:b/>
                <w:bCs/>
                <w:color w:val="0D0D0D"/>
                <w:spacing w:val="-2"/>
              </w:rPr>
              <w:t>+</w:t>
            </w:r>
            <w:r>
              <w:rPr>
                <w:b/>
                <w:bCs/>
                <w:color w:val="0D0D0D"/>
                <w:spacing w:val="-2"/>
              </w:rPr>
              <w:t>有机物料</w:t>
            </w:r>
          </w:p>
        </w:tc>
        <w:tc>
          <w:tcPr>
            <w:tcW w:w="2130" w:type="dxa"/>
            <w:vAlign w:val="top"/>
          </w:tcPr>
          <w:p>
            <w:pPr>
              <w:pStyle w:val="TableText"/>
              <w:spacing w:before="93" w:line="234" w:lineRule="auto"/>
              <w:ind w:left="272"/>
            </w:pPr>
            <w:r>
              <w:rPr>
                <w:b/>
                <w:bCs/>
                <w:color w:val="0D0D0D"/>
                <w:spacing w:val="-3"/>
              </w:rPr>
              <w:t>生石灰</w:t>
            </w:r>
            <w:r>
              <w:rPr>
                <w:rFonts w:ascii="Times New Roman" w:eastAsia="Times New Roman" w:hAnsi="Times New Roman" w:cs="Times New Roman"/>
                <w:b/>
                <w:bCs/>
                <w:color w:val="0D0D0D"/>
                <w:spacing w:val="-3"/>
              </w:rPr>
              <w:t>+</w:t>
            </w:r>
            <w:r>
              <w:rPr>
                <w:b/>
                <w:bCs/>
                <w:color w:val="0D0D0D"/>
                <w:spacing w:val="-3"/>
              </w:rPr>
              <w:t>有机物料</w:t>
            </w:r>
          </w:p>
        </w:tc>
      </w:tr>
      <w:tr>
        <w:tblPrEx>
          <w:tblW w:w="7945" w:type="dxa"/>
          <w:tblInd w:w="194" w:type="dxa"/>
          <w:tblLayout w:type="fixed"/>
        </w:tblPrEx>
        <w:trPr>
          <w:trHeight w:val="649"/>
        </w:trPr>
        <w:tc>
          <w:tcPr>
            <w:tcW w:w="1245" w:type="dxa"/>
            <w:vMerge w:val="restart"/>
            <w:tcBorders>
              <w:bottom w:val="nil"/>
            </w:tcBorders>
            <w:vAlign w:val="top"/>
          </w:tcPr>
          <w:p>
            <w:pPr>
              <w:spacing w:line="260" w:lineRule="auto"/>
              <w:rPr>
                <w:rFonts w:ascii="Arial"/>
                <w:sz w:val="21"/>
              </w:rPr>
            </w:pPr>
          </w:p>
          <w:p>
            <w:pPr>
              <w:spacing w:line="260" w:lineRule="auto"/>
              <w:rPr>
                <w:rFonts w:ascii="Arial"/>
                <w:sz w:val="21"/>
              </w:rPr>
            </w:pPr>
          </w:p>
          <w:p>
            <w:pPr>
              <w:spacing w:line="261" w:lineRule="auto"/>
              <w:rPr>
                <w:rFonts w:ascii="Arial"/>
                <w:sz w:val="21"/>
              </w:rPr>
            </w:pPr>
          </w:p>
          <w:p>
            <w:pPr>
              <w:pStyle w:val="TableText"/>
              <w:spacing w:before="69" w:line="222" w:lineRule="auto"/>
              <w:ind w:left="208"/>
            </w:pPr>
            <w:r>
              <w:rPr>
                <w:color w:val="0D0D0D"/>
                <w:spacing w:val="-2"/>
              </w:rPr>
              <w:t>土壤酸化</w:t>
            </w:r>
          </w:p>
        </w:tc>
        <w:tc>
          <w:tcPr>
            <w:tcW w:w="1838" w:type="dxa"/>
            <w:vAlign w:val="top"/>
          </w:tcPr>
          <w:p>
            <w:pPr>
              <w:pStyle w:val="TableText"/>
              <w:spacing w:before="65" w:line="351" w:lineRule="exact"/>
              <w:ind w:left="503"/>
            </w:pPr>
            <w:r>
              <w:rPr>
                <w:color w:val="0D0D0D"/>
                <w:spacing w:val="-2"/>
                <w:position w:val="10"/>
              </w:rPr>
              <w:t>轻微酸化</w:t>
            </w:r>
          </w:p>
          <w:p>
            <w:pPr>
              <w:spacing w:line="186" w:lineRule="auto"/>
              <w:ind w:left="620"/>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4.5-5.5</w:t>
            </w:r>
          </w:p>
        </w:tc>
        <w:tc>
          <w:tcPr>
            <w:tcW w:w="2732" w:type="dxa"/>
            <w:vAlign w:val="top"/>
          </w:tcPr>
          <w:p>
            <w:pPr>
              <w:spacing w:before="259" w:line="187" w:lineRule="auto"/>
              <w:ind w:left="858"/>
              <w:rPr>
                <w:rFonts w:ascii="Times New Roman" w:eastAsia="Times New Roman" w:hAnsi="Times New Roman" w:cs="Times New Roman"/>
                <w:sz w:val="21"/>
                <w:szCs w:val="21"/>
              </w:rPr>
            </w:pPr>
            <w:r>
              <w:rPr>
                <w:rFonts w:ascii="Times New Roman" w:eastAsia="Times New Roman" w:hAnsi="Times New Roman" w:cs="Times New Roman"/>
                <w:color w:val="0D0D0D"/>
                <w:spacing w:val="-3"/>
                <w:sz w:val="21"/>
                <w:szCs w:val="21"/>
              </w:rPr>
              <w:t>145.6~284.3</w:t>
            </w:r>
          </w:p>
        </w:tc>
        <w:tc>
          <w:tcPr>
            <w:tcW w:w="2130" w:type="dxa"/>
            <w:vAlign w:val="top"/>
          </w:tcPr>
          <w:p>
            <w:pPr>
              <w:spacing w:before="259" w:line="187" w:lineRule="auto"/>
              <w:ind w:left="556"/>
              <w:rPr>
                <w:rFonts w:ascii="Times New Roman" w:eastAsia="Times New Roman" w:hAnsi="Times New Roman" w:cs="Times New Roman"/>
                <w:sz w:val="21"/>
                <w:szCs w:val="21"/>
              </w:rPr>
            </w:pPr>
            <w:r>
              <w:rPr>
                <w:rFonts w:ascii="Times New Roman" w:eastAsia="Times New Roman" w:hAnsi="Times New Roman" w:cs="Times New Roman"/>
                <w:color w:val="0D0D0D"/>
                <w:spacing w:val="-3"/>
                <w:sz w:val="21"/>
                <w:szCs w:val="21"/>
              </w:rPr>
              <w:t>180.3~302.1</w:t>
            </w:r>
          </w:p>
        </w:tc>
      </w:tr>
      <w:tr>
        <w:tblPrEx>
          <w:tblW w:w="7945" w:type="dxa"/>
          <w:tblInd w:w="194" w:type="dxa"/>
          <w:tblLayout w:type="fixed"/>
        </w:tblPrEx>
        <w:trPr>
          <w:trHeight w:val="630"/>
        </w:trPr>
        <w:tc>
          <w:tcPr>
            <w:tcW w:w="1245" w:type="dxa"/>
            <w:vMerge/>
            <w:tcBorders>
              <w:top w:val="nil"/>
              <w:bottom w:val="nil"/>
            </w:tcBorders>
            <w:vAlign w:val="top"/>
          </w:tcPr>
          <w:p>
            <w:pPr>
              <w:rPr>
                <w:rFonts w:ascii="Arial"/>
                <w:sz w:val="21"/>
              </w:rPr>
            </w:pPr>
          </w:p>
        </w:tc>
        <w:tc>
          <w:tcPr>
            <w:tcW w:w="1838" w:type="dxa"/>
            <w:vAlign w:val="top"/>
          </w:tcPr>
          <w:p>
            <w:pPr>
              <w:pStyle w:val="TableText"/>
              <w:spacing w:before="56" w:line="351" w:lineRule="exact"/>
              <w:ind w:left="713"/>
            </w:pPr>
            <w:r>
              <w:rPr>
                <w:color w:val="0D0D0D"/>
                <w:spacing w:val="-2"/>
                <w:position w:val="10"/>
              </w:rPr>
              <w:t>酸化</w:t>
            </w:r>
          </w:p>
          <w:p>
            <w:pPr>
              <w:spacing w:line="186" w:lineRule="auto"/>
              <w:ind w:left="620"/>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4.0-4.5</w:t>
            </w:r>
          </w:p>
        </w:tc>
        <w:tc>
          <w:tcPr>
            <w:tcW w:w="2732" w:type="dxa"/>
            <w:vAlign w:val="top"/>
          </w:tcPr>
          <w:p>
            <w:pPr>
              <w:spacing w:before="251" w:line="187" w:lineRule="auto"/>
              <w:ind w:left="838"/>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284.3~353.7</w:t>
            </w:r>
          </w:p>
        </w:tc>
        <w:tc>
          <w:tcPr>
            <w:tcW w:w="2130" w:type="dxa"/>
            <w:vAlign w:val="top"/>
          </w:tcPr>
          <w:p>
            <w:pPr>
              <w:spacing w:before="251" w:line="187" w:lineRule="auto"/>
              <w:ind w:left="619"/>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302.1~363</w:t>
            </w:r>
          </w:p>
        </w:tc>
      </w:tr>
      <w:tr>
        <w:tblPrEx>
          <w:tblW w:w="7945" w:type="dxa"/>
          <w:tblInd w:w="194" w:type="dxa"/>
          <w:tblLayout w:type="fixed"/>
        </w:tblPrEx>
        <w:trPr>
          <w:trHeight w:val="632"/>
        </w:trPr>
        <w:tc>
          <w:tcPr>
            <w:tcW w:w="1245" w:type="dxa"/>
            <w:vMerge/>
            <w:tcBorders>
              <w:top w:val="nil"/>
            </w:tcBorders>
            <w:vAlign w:val="top"/>
          </w:tcPr>
          <w:p>
            <w:pPr>
              <w:rPr>
                <w:rFonts w:ascii="Arial"/>
                <w:sz w:val="21"/>
              </w:rPr>
            </w:pPr>
          </w:p>
        </w:tc>
        <w:tc>
          <w:tcPr>
            <w:tcW w:w="1838" w:type="dxa"/>
            <w:vAlign w:val="top"/>
          </w:tcPr>
          <w:p>
            <w:pPr>
              <w:pStyle w:val="TableText"/>
              <w:spacing w:before="55" w:line="312" w:lineRule="exact"/>
              <w:ind w:left="503"/>
            </w:pPr>
            <w:r>
              <w:rPr>
                <w:color w:val="0D0D0D"/>
                <w:spacing w:val="-2"/>
                <w:position w:val="7"/>
              </w:rPr>
              <w:t>严重酸化</w:t>
            </w:r>
          </w:p>
          <w:p>
            <w:pPr>
              <w:pStyle w:val="TableText"/>
              <w:spacing w:line="223" w:lineRule="auto"/>
              <w:ind w:left="700"/>
              <w:rPr>
                <w:rFonts w:ascii="Times New Roman" w:eastAsia="Times New Roman" w:hAnsi="Times New Roman" w:cs="Times New Roman"/>
              </w:rPr>
            </w:pPr>
            <w:r>
              <w:rPr>
                <w:color w:val="0D0D0D"/>
                <w:spacing w:val="-6"/>
              </w:rPr>
              <w:t>＜</w:t>
            </w:r>
            <w:r>
              <w:rPr>
                <w:rFonts w:ascii="Times New Roman" w:eastAsia="Times New Roman" w:hAnsi="Times New Roman" w:cs="Times New Roman"/>
                <w:color w:val="0D0D0D"/>
                <w:spacing w:val="-6"/>
              </w:rPr>
              <w:t>4.0</w:t>
            </w:r>
          </w:p>
        </w:tc>
        <w:tc>
          <w:tcPr>
            <w:tcW w:w="2732" w:type="dxa"/>
            <w:vAlign w:val="top"/>
          </w:tcPr>
          <w:p>
            <w:pPr>
              <w:pStyle w:val="TableText"/>
              <w:spacing w:before="211" w:line="237" w:lineRule="auto"/>
              <w:ind w:left="1050"/>
              <w:rPr>
                <w:rFonts w:ascii="Times New Roman" w:eastAsia="Times New Roman" w:hAnsi="Times New Roman" w:cs="Times New Roman"/>
              </w:rPr>
            </w:pPr>
            <w:r>
              <w:rPr>
                <w:color w:val="0D0D0D"/>
                <w:spacing w:val="13"/>
              </w:rPr>
              <w:t>&gt;</w:t>
            </w:r>
            <w:r>
              <w:rPr>
                <w:rFonts w:ascii="Times New Roman" w:eastAsia="Times New Roman" w:hAnsi="Times New Roman" w:cs="Times New Roman"/>
                <w:color w:val="0D0D0D"/>
                <w:spacing w:val="13"/>
              </w:rPr>
              <w:t>353.7</w:t>
            </w:r>
          </w:p>
        </w:tc>
        <w:tc>
          <w:tcPr>
            <w:tcW w:w="2130" w:type="dxa"/>
            <w:vAlign w:val="top"/>
          </w:tcPr>
          <w:p>
            <w:pPr>
              <w:pStyle w:val="TableText"/>
              <w:spacing w:before="211" w:line="237" w:lineRule="auto"/>
              <w:ind w:left="824"/>
              <w:rPr>
                <w:rFonts w:ascii="Times New Roman" w:eastAsia="Times New Roman" w:hAnsi="Times New Roman" w:cs="Times New Roman"/>
              </w:rPr>
            </w:pPr>
            <w:r>
              <w:rPr>
                <w:color w:val="0D0D0D"/>
                <w:spacing w:val="20"/>
              </w:rPr>
              <w:t>&gt;</w:t>
            </w:r>
            <w:r>
              <w:rPr>
                <w:rFonts w:ascii="Times New Roman" w:eastAsia="Times New Roman" w:hAnsi="Times New Roman" w:cs="Times New Roman"/>
                <w:color w:val="0D0D0D"/>
                <w:spacing w:val="20"/>
              </w:rPr>
              <w:t>363</w:t>
            </w:r>
          </w:p>
        </w:tc>
      </w:tr>
    </w:tbl>
    <w:p>
      <w:pPr>
        <w:pStyle w:val="BodyText"/>
        <w:spacing w:before="33" w:line="427" w:lineRule="exact"/>
        <w:ind w:right="29"/>
        <w:jc w:val="right"/>
        <w:rPr>
          <w:sz w:val="22"/>
          <w:szCs w:val="22"/>
        </w:rPr>
      </w:pPr>
      <w:r>
        <w:rPr>
          <w:b/>
          <w:bCs/>
          <w:color w:val="0D0D0D"/>
          <w:spacing w:val="-5"/>
          <w:position w:val="15"/>
          <w:sz w:val="22"/>
          <w:szCs w:val="22"/>
        </w:rPr>
        <w:t>酸化土壤组合改良剂配比：钙镁磷肥：有机物料（蘑菇渣）</w:t>
      </w:r>
      <w:r>
        <w:rPr>
          <w:color w:val="0D0D0D"/>
          <w:spacing w:val="-5"/>
          <w:position w:val="15"/>
          <w:sz w:val="22"/>
          <w:szCs w:val="22"/>
        </w:rPr>
        <w:t xml:space="preserve"> </w:t>
      </w:r>
      <w:r>
        <w:rPr>
          <w:rFonts w:ascii="Times New Roman" w:eastAsia="Times New Roman" w:hAnsi="Times New Roman" w:cs="Times New Roman"/>
          <w:b/>
          <w:bCs/>
          <w:color w:val="0D0D0D"/>
          <w:spacing w:val="-5"/>
          <w:position w:val="15"/>
          <w:sz w:val="22"/>
          <w:szCs w:val="22"/>
        </w:rPr>
        <w:t>=1</w:t>
      </w:r>
      <w:r>
        <w:rPr>
          <w:b/>
          <w:bCs/>
          <w:color w:val="0D0D0D"/>
          <w:spacing w:val="-5"/>
          <w:position w:val="15"/>
          <w:sz w:val="22"/>
          <w:szCs w:val="22"/>
        </w:rPr>
        <w:t>：</w:t>
      </w:r>
      <w:r>
        <w:rPr>
          <w:rFonts w:ascii="Times New Roman" w:eastAsia="Times New Roman" w:hAnsi="Times New Roman" w:cs="Times New Roman"/>
          <w:b/>
          <w:bCs/>
          <w:color w:val="0D0D0D"/>
          <w:spacing w:val="-5"/>
          <w:position w:val="15"/>
          <w:sz w:val="22"/>
          <w:szCs w:val="22"/>
        </w:rPr>
        <w:t>2</w:t>
      </w:r>
      <w:r>
        <w:rPr>
          <w:b/>
          <w:bCs/>
          <w:color w:val="0D0D0D"/>
          <w:spacing w:val="-5"/>
          <w:position w:val="15"/>
          <w:sz w:val="22"/>
          <w:szCs w:val="22"/>
        </w:rPr>
        <w:t>；石灰：有机物</w:t>
      </w:r>
    </w:p>
    <w:p>
      <w:pPr>
        <w:pStyle w:val="BodyText"/>
        <w:spacing w:line="220" w:lineRule="auto"/>
        <w:ind w:left="3038"/>
        <w:rPr>
          <w:sz w:val="22"/>
          <w:szCs w:val="22"/>
        </w:rPr>
      </w:pPr>
      <w:r>
        <w:rPr>
          <w:b/>
          <w:bCs/>
          <w:color w:val="0D0D0D"/>
          <w:spacing w:val="-12"/>
          <w:sz w:val="22"/>
          <w:szCs w:val="22"/>
        </w:rPr>
        <w:t>料（蘑菇渣）</w:t>
      </w:r>
      <w:r>
        <w:rPr>
          <w:color w:val="0D0D0D"/>
          <w:spacing w:val="27"/>
          <w:sz w:val="22"/>
          <w:szCs w:val="22"/>
        </w:rPr>
        <w:t xml:space="preserve"> </w:t>
      </w:r>
      <w:r>
        <w:rPr>
          <w:rFonts w:ascii="Times New Roman" w:eastAsia="Times New Roman" w:hAnsi="Times New Roman" w:cs="Times New Roman"/>
          <w:b/>
          <w:bCs/>
          <w:color w:val="0D0D0D"/>
          <w:spacing w:val="-12"/>
          <w:sz w:val="22"/>
          <w:szCs w:val="22"/>
        </w:rPr>
        <w:t>=1</w:t>
      </w:r>
      <w:r>
        <w:rPr>
          <w:b/>
          <w:bCs/>
          <w:color w:val="0D0D0D"/>
          <w:spacing w:val="-12"/>
          <w:sz w:val="22"/>
          <w:szCs w:val="22"/>
        </w:rPr>
        <w:t>：</w:t>
      </w:r>
      <w:r>
        <w:rPr>
          <w:rFonts w:ascii="Times New Roman" w:eastAsia="Times New Roman" w:hAnsi="Times New Roman" w:cs="Times New Roman"/>
          <w:b/>
          <w:bCs/>
          <w:color w:val="0D0D0D"/>
          <w:spacing w:val="-12"/>
          <w:sz w:val="22"/>
          <w:szCs w:val="22"/>
        </w:rPr>
        <w:t>1.5</w:t>
      </w:r>
      <w:r>
        <w:rPr>
          <w:b/>
          <w:bCs/>
          <w:color w:val="0D0D0D"/>
          <w:spacing w:val="-12"/>
          <w:sz w:val="22"/>
          <w:szCs w:val="22"/>
        </w:rPr>
        <w:t>。</w:t>
      </w:r>
    </w:p>
    <w:p>
      <w:pPr>
        <w:pStyle w:val="BodyText"/>
        <w:spacing w:before="170" w:line="219" w:lineRule="auto"/>
        <w:ind w:left="512"/>
      </w:pPr>
      <w:r>
        <w:rPr>
          <w:b/>
          <w:bCs/>
          <w:color w:val="0D0D0D"/>
          <w:spacing w:val="-4"/>
        </w:rPr>
        <w:t>（</w:t>
      </w:r>
      <w:r>
        <w:rPr>
          <w:rFonts w:ascii="Times New Roman" w:eastAsia="Times New Roman" w:hAnsi="Times New Roman" w:cs="Times New Roman"/>
          <w:b/>
          <w:bCs/>
          <w:color w:val="0D0D0D"/>
          <w:spacing w:val="-4"/>
        </w:rPr>
        <w:t>2</w:t>
      </w:r>
      <w:r>
        <w:rPr>
          <w:b/>
          <w:bCs/>
          <w:color w:val="0D0D0D"/>
          <w:spacing w:val="-4"/>
        </w:rPr>
        <w:t>）次生盐渍化土壤改良剂</w:t>
      </w:r>
    </w:p>
    <w:p>
      <w:pPr>
        <w:pStyle w:val="BodyText"/>
        <w:spacing w:before="183" w:line="359" w:lineRule="auto"/>
        <w:ind w:left="23" w:right="12" w:firstLine="479"/>
      </w:pPr>
      <w:r>
        <w:rPr>
          <w:color w:val="0D0D0D"/>
          <w:spacing w:val="-6"/>
        </w:rPr>
        <w:t>根据葡萄次生盐渍化土壤田间验证试验表明，</w:t>
      </w:r>
      <w:r>
        <w:rPr>
          <w:color w:val="0D0D0D"/>
          <w:spacing w:val="77"/>
        </w:rPr>
        <w:t xml:space="preserve"> </w:t>
      </w:r>
      <w:r>
        <w:rPr>
          <w:color w:val="0D0D0D"/>
          <w:spacing w:val="-6"/>
        </w:rPr>
        <w:t>分别添加生物炭</w:t>
      </w:r>
      <w:r>
        <w:rPr>
          <w:rFonts w:ascii="Times New Roman" w:eastAsia="Times New Roman" w:hAnsi="Times New Roman" w:cs="Times New Roman"/>
          <w:color w:val="0D0D0D"/>
          <w:spacing w:val="-6"/>
        </w:rPr>
        <w:t>+</w:t>
      </w:r>
      <w:r>
        <w:rPr>
          <w:color w:val="0D0D0D"/>
          <w:spacing w:val="-6"/>
        </w:rPr>
        <w:t>牛粪组合改</w:t>
      </w:r>
      <w:r>
        <w:rPr>
          <w:color w:val="0D0D0D"/>
        </w:rPr>
        <w:t xml:space="preserve"> </w:t>
      </w:r>
      <w:r>
        <w:rPr>
          <w:color w:val="0D0D0D"/>
          <w:spacing w:val="-1"/>
        </w:rPr>
        <w:t>良剂和添加草炭</w:t>
      </w:r>
      <w:r>
        <w:rPr>
          <w:rFonts w:ascii="Times New Roman" w:eastAsia="Times New Roman" w:hAnsi="Times New Roman" w:cs="Times New Roman"/>
          <w:color w:val="0D0D0D"/>
          <w:spacing w:val="-1"/>
        </w:rPr>
        <w:t>+</w:t>
      </w:r>
      <w:r>
        <w:rPr>
          <w:color w:val="0D0D0D"/>
          <w:spacing w:val="-1"/>
        </w:rPr>
        <w:t>牛粪组合改良剂</w:t>
      </w:r>
      <w:r>
        <w:rPr>
          <w:color w:val="0D0D0D"/>
          <w:spacing w:val="-25"/>
        </w:rPr>
        <w:t xml:space="preserve"> </w:t>
      </w:r>
      <w:r>
        <w:rPr>
          <w:rFonts w:ascii="Times New Roman" w:eastAsia="Times New Roman" w:hAnsi="Times New Roman" w:cs="Times New Roman"/>
          <w:color w:val="0D0D0D"/>
          <w:spacing w:val="-1"/>
        </w:rPr>
        <w:t>5320  kg/</w:t>
      </w:r>
      <w:r>
        <w:rPr>
          <w:color w:val="0D0D0D"/>
          <w:spacing w:val="-1"/>
        </w:rPr>
        <w:t>亩都能将对照的重盐渍化土壤全盐量</w:t>
      </w:r>
      <w:r>
        <w:rPr>
          <w:color w:val="0D0D0D"/>
        </w:rPr>
        <w:t xml:space="preserve"> </w:t>
      </w:r>
      <w:r>
        <w:rPr>
          <w:rFonts w:ascii="Times New Roman" w:eastAsia="Times New Roman" w:hAnsi="Times New Roman" w:cs="Times New Roman"/>
          <w:color w:val="0D0D0D"/>
          <w:spacing w:val="-3"/>
        </w:rPr>
        <w:t>1.9%</w:t>
      </w:r>
      <w:r>
        <w:rPr>
          <w:color w:val="0D0D0D"/>
          <w:spacing w:val="-3"/>
        </w:rPr>
        <w:t>降低至中盐渍化土壤</w:t>
      </w:r>
      <w:r>
        <w:rPr>
          <w:color w:val="0D0D0D"/>
          <w:spacing w:val="-37"/>
        </w:rPr>
        <w:t xml:space="preserve"> </w:t>
      </w:r>
      <w:r>
        <w:rPr>
          <w:rFonts w:ascii="Times New Roman" w:eastAsia="Times New Roman" w:hAnsi="Times New Roman" w:cs="Times New Roman"/>
          <w:color w:val="0D0D0D"/>
          <w:spacing w:val="-3"/>
        </w:rPr>
        <w:t>0.7%</w:t>
      </w:r>
      <w:r>
        <w:rPr>
          <w:color w:val="0D0D0D"/>
          <w:spacing w:val="-3"/>
        </w:rPr>
        <w:t>和轻盐渍化土壤</w:t>
      </w:r>
      <w:r>
        <w:rPr>
          <w:color w:val="0D0D0D"/>
          <w:spacing w:val="-36"/>
        </w:rPr>
        <w:t xml:space="preserve"> </w:t>
      </w:r>
      <w:r>
        <w:rPr>
          <w:rFonts w:ascii="Times New Roman" w:eastAsia="Times New Roman" w:hAnsi="Times New Roman" w:cs="Times New Roman"/>
          <w:color w:val="0D0D0D"/>
          <w:spacing w:val="-3"/>
        </w:rPr>
        <w:t>0.5%</w:t>
      </w:r>
      <w:r>
        <w:rPr>
          <w:color w:val="0D0D0D"/>
          <w:spacing w:val="-3"/>
        </w:rPr>
        <w:t xml:space="preserve">，分别降低 </w:t>
      </w:r>
      <w:r>
        <w:rPr>
          <w:rFonts w:ascii="Times New Roman" w:eastAsia="Times New Roman" w:hAnsi="Times New Roman" w:cs="Times New Roman"/>
          <w:color w:val="0D0D0D"/>
          <w:spacing w:val="-3"/>
        </w:rPr>
        <w:t>1</w:t>
      </w:r>
      <w:r>
        <w:rPr>
          <w:rFonts w:ascii="Times New Roman" w:eastAsia="Times New Roman" w:hAnsi="Times New Roman" w:cs="Times New Roman"/>
          <w:color w:val="0D0D0D"/>
          <w:spacing w:val="-4"/>
        </w:rPr>
        <w:t>.2</w:t>
      </w:r>
      <w:r>
        <w:rPr>
          <w:rFonts w:ascii="Times New Roman" w:eastAsia="Times New Roman" w:hAnsi="Times New Roman" w:cs="Times New Roman"/>
          <w:color w:val="0D0D0D"/>
          <w:spacing w:val="25"/>
        </w:rPr>
        <w:t xml:space="preserve"> </w:t>
      </w:r>
      <w:r>
        <w:rPr>
          <w:color w:val="0D0D0D"/>
          <w:spacing w:val="-4"/>
        </w:rPr>
        <w:t xml:space="preserve">和 </w:t>
      </w:r>
      <w:r>
        <w:rPr>
          <w:rFonts w:ascii="Times New Roman" w:eastAsia="Times New Roman" w:hAnsi="Times New Roman" w:cs="Times New Roman"/>
          <w:color w:val="0D0D0D"/>
          <w:spacing w:val="-4"/>
        </w:rPr>
        <w:t>1.4</w:t>
      </w:r>
      <w:r>
        <w:rPr>
          <w:rFonts w:ascii="Times New Roman" w:eastAsia="Times New Roman" w:hAnsi="Times New Roman" w:cs="Times New Roman"/>
          <w:color w:val="0D0D0D"/>
          <w:spacing w:val="24"/>
        </w:rPr>
        <w:t xml:space="preserve"> </w:t>
      </w:r>
      <w:r>
        <w:rPr>
          <w:color w:val="0D0D0D"/>
          <w:spacing w:val="-4"/>
        </w:rPr>
        <w:t>个单</w:t>
      </w:r>
      <w:r>
        <w:rPr>
          <w:color w:val="0D0D0D"/>
        </w:rPr>
        <w:t xml:space="preserve"> </w:t>
      </w:r>
      <w:r>
        <w:rPr>
          <w:color w:val="0D0D0D"/>
          <w:spacing w:val="-1"/>
        </w:rPr>
        <w:t>位，由此分别推算出每降低</w:t>
      </w:r>
      <w:r>
        <w:rPr>
          <w:color w:val="0D0D0D"/>
          <w:spacing w:val="-31"/>
        </w:rPr>
        <w:t xml:space="preserve"> </w:t>
      </w:r>
      <w:r>
        <w:rPr>
          <w:rFonts w:ascii="Times New Roman" w:eastAsia="Times New Roman" w:hAnsi="Times New Roman" w:cs="Times New Roman"/>
          <w:color w:val="0D0D0D"/>
          <w:spacing w:val="-1"/>
        </w:rPr>
        <w:t xml:space="preserve">1 </w:t>
      </w:r>
      <w:r>
        <w:rPr>
          <w:color w:val="0D0D0D"/>
          <w:spacing w:val="-1"/>
        </w:rPr>
        <w:t>个单位需要的改良剂用量</w:t>
      </w:r>
      <w:r>
        <w:rPr>
          <w:color w:val="0D0D0D"/>
          <w:spacing w:val="-48"/>
        </w:rPr>
        <w:t xml:space="preserve"> </w:t>
      </w:r>
      <w:r>
        <w:rPr>
          <w:rFonts w:ascii="Times New Roman" w:eastAsia="Times New Roman" w:hAnsi="Times New Roman" w:cs="Times New Roman"/>
          <w:color w:val="0D0D0D"/>
          <w:spacing w:val="-1"/>
        </w:rPr>
        <w:t>5320/1.2≈4433.3 kg</w:t>
      </w:r>
      <w:r>
        <w:rPr>
          <w:rFonts w:ascii="Times New Roman" w:eastAsia="Times New Roman" w:hAnsi="Times New Roman" w:cs="Times New Roman"/>
          <w:color w:val="0D0D0D"/>
          <w:spacing w:val="-2"/>
        </w:rPr>
        <w:t>/</w:t>
      </w:r>
      <w:r>
        <w:rPr>
          <w:color w:val="0D0D0D"/>
          <w:spacing w:val="-2"/>
        </w:rPr>
        <w:t>亩、</w:t>
      </w:r>
      <w:r>
        <w:rPr>
          <w:color w:val="0D0D0D"/>
        </w:rPr>
        <w:t xml:space="preserve"> </w:t>
      </w:r>
      <w:r>
        <w:rPr>
          <w:rFonts w:ascii="Times New Roman" w:eastAsia="Times New Roman" w:hAnsi="Times New Roman" w:cs="Times New Roman"/>
          <w:color w:val="0D0D0D"/>
          <w:spacing w:val="-2"/>
        </w:rPr>
        <w:t>5320/1.4=3800 kg/</w:t>
      </w:r>
      <w:r>
        <w:rPr>
          <w:color w:val="0D0D0D"/>
          <w:spacing w:val="-2"/>
        </w:rPr>
        <w:t>亩，</w:t>
      </w:r>
      <w:r>
        <w:rPr>
          <w:color w:val="0D0D0D"/>
          <w:spacing w:val="-27"/>
        </w:rPr>
        <w:t xml:space="preserve"> </w:t>
      </w:r>
      <w:r>
        <w:rPr>
          <w:color w:val="0D0D0D"/>
          <w:spacing w:val="-2"/>
        </w:rPr>
        <w:t>根据土壤盐渍化</w:t>
      </w:r>
      <w:r>
        <w:rPr>
          <w:color w:val="0D0D0D"/>
          <w:spacing w:val="-3"/>
        </w:rPr>
        <w:t>各分级范围到非盐渍化土壤分级范围的单</w:t>
      </w:r>
    </w:p>
    <w:p>
      <w:pPr>
        <w:pStyle w:val="BodyText"/>
        <w:spacing w:before="1" w:line="218" w:lineRule="auto"/>
        <w:ind w:left="23"/>
      </w:pPr>
      <w:r>
        <w:rPr>
          <w:color w:val="0D0D0D"/>
        </w:rPr>
        <w:t>位数，则推算出土壤盐渍化各级范围所需土</w:t>
      </w:r>
      <w:r>
        <w:rPr>
          <w:color w:val="0D0D0D"/>
          <w:spacing w:val="-1"/>
        </w:rPr>
        <w:t>壤调理剂的使用量范围表</w:t>
      </w:r>
      <w:r>
        <w:rPr>
          <w:color w:val="0D0D0D"/>
          <w:spacing w:val="-56"/>
        </w:rPr>
        <w:t xml:space="preserve"> </w:t>
      </w:r>
      <w:r>
        <w:rPr>
          <w:rFonts w:ascii="Times New Roman" w:eastAsia="Times New Roman" w:hAnsi="Times New Roman" w:cs="Times New Roman"/>
          <w:color w:val="0D0D0D"/>
          <w:spacing w:val="-1"/>
        </w:rPr>
        <w:t>4-2</w:t>
      </w:r>
      <w:r>
        <w:rPr>
          <w:color w:val="0D0D0D"/>
          <w:spacing w:val="-1"/>
        </w:rPr>
        <w:t>。</w:t>
      </w:r>
    </w:p>
    <w:p>
      <w:pPr>
        <w:pStyle w:val="BodyText"/>
        <w:spacing w:before="174" w:line="220" w:lineRule="auto"/>
        <w:ind w:left="2955"/>
        <w:rPr>
          <w:sz w:val="21"/>
          <w:szCs w:val="21"/>
        </w:rPr>
      </w:pPr>
      <w:r>
        <w:rPr>
          <w:b/>
          <w:bCs/>
          <w:color w:val="0D0D0D"/>
          <w:spacing w:val="-2"/>
          <w:sz w:val="21"/>
          <w:szCs w:val="21"/>
        </w:rPr>
        <w:t>表</w:t>
      </w:r>
      <w:r>
        <w:rPr>
          <w:color w:val="0D0D0D"/>
          <w:spacing w:val="-38"/>
          <w:sz w:val="21"/>
          <w:szCs w:val="21"/>
        </w:rPr>
        <w:t xml:space="preserve"> </w:t>
      </w:r>
      <w:r>
        <w:rPr>
          <w:rFonts w:ascii="Times New Roman" w:eastAsia="Times New Roman" w:hAnsi="Times New Roman" w:cs="Times New Roman"/>
          <w:b/>
          <w:bCs/>
          <w:color w:val="0D0D0D"/>
          <w:spacing w:val="-2"/>
          <w:sz w:val="21"/>
          <w:szCs w:val="21"/>
        </w:rPr>
        <w:t xml:space="preserve">4-2    </w:t>
      </w:r>
      <w:r>
        <w:rPr>
          <w:b/>
          <w:bCs/>
          <w:color w:val="0D0D0D"/>
          <w:spacing w:val="-2"/>
          <w:sz w:val="21"/>
          <w:szCs w:val="21"/>
        </w:rPr>
        <w:t>土壤调理剂使用量</w:t>
      </w:r>
    </w:p>
    <w:tbl>
      <w:tblPr>
        <w:tblStyle w:val="TableNormal3"/>
        <w:tblW w:w="7542" w:type="dxa"/>
        <w:tblInd w:w="3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43"/>
        <w:gridCol w:w="1744"/>
        <w:gridCol w:w="1919"/>
        <w:gridCol w:w="2536"/>
      </w:tblGrid>
      <w:tr>
        <w:tblPrEx>
          <w:tblW w:w="7542" w:type="dxa"/>
          <w:tblInd w:w="3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324"/>
        </w:trPr>
        <w:tc>
          <w:tcPr>
            <w:tcW w:w="1343" w:type="dxa"/>
            <w:vMerge w:val="restart"/>
            <w:tcBorders>
              <w:bottom w:val="nil"/>
            </w:tcBorders>
            <w:vAlign w:val="top"/>
          </w:tcPr>
          <w:p>
            <w:pPr>
              <w:pStyle w:val="TableText"/>
              <w:spacing w:before="219" w:line="221" w:lineRule="auto"/>
              <w:ind w:left="262"/>
            </w:pPr>
            <w:r>
              <w:rPr>
                <w:b/>
                <w:bCs/>
                <w:color w:val="0D0D0D"/>
                <w:spacing w:val="-5"/>
              </w:rPr>
              <w:t>改良类型</w:t>
            </w:r>
          </w:p>
        </w:tc>
        <w:tc>
          <w:tcPr>
            <w:tcW w:w="1744" w:type="dxa"/>
            <w:vMerge w:val="restart"/>
            <w:tcBorders>
              <w:bottom w:val="nil"/>
            </w:tcBorders>
            <w:vAlign w:val="top"/>
          </w:tcPr>
          <w:p>
            <w:pPr>
              <w:pStyle w:val="TableText"/>
              <w:spacing w:before="219" w:line="235" w:lineRule="auto"/>
              <w:ind w:left="352"/>
            </w:pPr>
            <w:r>
              <w:rPr>
                <w:b/>
                <w:bCs/>
                <w:color w:val="0D0D0D"/>
                <w:spacing w:val="-3"/>
              </w:rPr>
              <w:t>分级（</w:t>
            </w:r>
            <w:r>
              <w:rPr>
                <w:rFonts w:ascii="Times New Roman" w:eastAsia="Times New Roman" w:hAnsi="Times New Roman" w:cs="Times New Roman"/>
                <w:b/>
                <w:bCs/>
                <w:color w:val="0D0D0D"/>
                <w:spacing w:val="-3"/>
              </w:rPr>
              <w:t>%</w:t>
            </w:r>
            <w:r>
              <w:rPr>
                <w:b/>
                <w:bCs/>
                <w:color w:val="0D0D0D"/>
                <w:spacing w:val="-3"/>
              </w:rPr>
              <w:t>）</w:t>
            </w:r>
          </w:p>
        </w:tc>
        <w:tc>
          <w:tcPr>
            <w:tcW w:w="4455" w:type="dxa"/>
            <w:gridSpan w:val="2"/>
            <w:vAlign w:val="top"/>
          </w:tcPr>
          <w:p>
            <w:pPr>
              <w:pStyle w:val="TableText"/>
              <w:spacing w:before="57" w:line="214" w:lineRule="auto"/>
              <w:ind w:left="933"/>
            </w:pPr>
            <w:r>
              <w:rPr>
                <w:b/>
                <w:bCs/>
                <w:color w:val="0D0D0D"/>
                <w:spacing w:val="-3"/>
              </w:rPr>
              <w:t>盐渍化土壤调理剂（</w:t>
            </w:r>
            <w:r>
              <w:rPr>
                <w:rFonts w:ascii="Times New Roman" w:eastAsia="Times New Roman" w:hAnsi="Times New Roman" w:cs="Times New Roman"/>
                <w:b/>
                <w:bCs/>
                <w:color w:val="0D0D0D"/>
                <w:spacing w:val="-3"/>
              </w:rPr>
              <w:t>kg/</w:t>
            </w:r>
            <w:r>
              <w:rPr>
                <w:b/>
                <w:bCs/>
                <w:color w:val="0D0D0D"/>
                <w:spacing w:val="-3"/>
              </w:rPr>
              <w:t>亩）</w:t>
            </w:r>
          </w:p>
        </w:tc>
      </w:tr>
      <w:tr>
        <w:tblPrEx>
          <w:tblW w:w="7542" w:type="dxa"/>
          <w:tblInd w:w="396" w:type="dxa"/>
          <w:tblLayout w:type="fixed"/>
        </w:tblPrEx>
        <w:trPr>
          <w:trHeight w:val="316"/>
        </w:trPr>
        <w:tc>
          <w:tcPr>
            <w:tcW w:w="1343" w:type="dxa"/>
            <w:vMerge/>
            <w:tcBorders>
              <w:top w:val="nil"/>
            </w:tcBorders>
            <w:vAlign w:val="top"/>
          </w:tcPr>
          <w:p>
            <w:pPr>
              <w:rPr>
                <w:rFonts w:ascii="Arial"/>
                <w:sz w:val="21"/>
              </w:rPr>
            </w:pPr>
          </w:p>
        </w:tc>
        <w:tc>
          <w:tcPr>
            <w:tcW w:w="1744" w:type="dxa"/>
            <w:vMerge/>
            <w:tcBorders>
              <w:top w:val="nil"/>
            </w:tcBorders>
            <w:vAlign w:val="top"/>
          </w:tcPr>
          <w:p>
            <w:pPr>
              <w:rPr>
                <w:rFonts w:ascii="Arial"/>
                <w:sz w:val="21"/>
              </w:rPr>
            </w:pPr>
          </w:p>
        </w:tc>
        <w:tc>
          <w:tcPr>
            <w:tcW w:w="1919" w:type="dxa"/>
            <w:vAlign w:val="top"/>
          </w:tcPr>
          <w:p>
            <w:pPr>
              <w:pStyle w:val="TableText"/>
              <w:spacing w:before="51" w:line="224" w:lineRule="auto"/>
              <w:ind w:left="379"/>
            </w:pPr>
            <w:r>
              <w:rPr>
                <w:b/>
                <w:bCs/>
                <w:color w:val="0D0D0D"/>
                <w:spacing w:val="-3"/>
              </w:rPr>
              <w:t>生物炭</w:t>
            </w:r>
            <w:r>
              <w:rPr>
                <w:rFonts w:ascii="Times New Roman" w:eastAsia="Times New Roman" w:hAnsi="Times New Roman" w:cs="Times New Roman"/>
                <w:b/>
                <w:bCs/>
                <w:color w:val="0D0D0D"/>
                <w:spacing w:val="-3"/>
              </w:rPr>
              <w:t>+</w:t>
            </w:r>
            <w:r>
              <w:rPr>
                <w:b/>
                <w:bCs/>
                <w:color w:val="0D0D0D"/>
                <w:spacing w:val="-3"/>
              </w:rPr>
              <w:t>牛粪</w:t>
            </w:r>
          </w:p>
        </w:tc>
        <w:tc>
          <w:tcPr>
            <w:tcW w:w="2536" w:type="dxa"/>
            <w:vAlign w:val="top"/>
          </w:tcPr>
          <w:p>
            <w:pPr>
              <w:pStyle w:val="TableText"/>
              <w:spacing w:before="51" w:line="224" w:lineRule="auto"/>
              <w:ind w:left="793"/>
            </w:pPr>
            <w:r>
              <w:rPr>
                <w:b/>
                <w:bCs/>
                <w:color w:val="0D0D0D"/>
                <w:spacing w:val="-3"/>
              </w:rPr>
              <w:t>草炭</w:t>
            </w:r>
            <w:r>
              <w:rPr>
                <w:rFonts w:ascii="Times New Roman" w:eastAsia="Times New Roman" w:hAnsi="Times New Roman" w:cs="Times New Roman"/>
                <w:b/>
                <w:bCs/>
                <w:color w:val="0D0D0D"/>
                <w:spacing w:val="-3"/>
              </w:rPr>
              <w:t>+</w:t>
            </w:r>
            <w:r>
              <w:rPr>
                <w:b/>
                <w:bCs/>
                <w:color w:val="0D0D0D"/>
                <w:spacing w:val="-3"/>
              </w:rPr>
              <w:t>牛粪</w:t>
            </w:r>
          </w:p>
        </w:tc>
      </w:tr>
      <w:tr>
        <w:tblPrEx>
          <w:tblW w:w="7542" w:type="dxa"/>
          <w:tblInd w:w="396" w:type="dxa"/>
          <w:tblLayout w:type="fixed"/>
        </w:tblPrEx>
        <w:trPr>
          <w:trHeight w:val="733"/>
        </w:trPr>
        <w:tc>
          <w:tcPr>
            <w:tcW w:w="1343" w:type="dxa"/>
            <w:vMerge w:val="restart"/>
            <w:tcBorders>
              <w:bottom w:val="nil"/>
            </w:tcBorders>
            <w:vAlign w:val="top"/>
          </w:tcPr>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spacing w:line="259" w:lineRule="auto"/>
              <w:rPr>
                <w:rFonts w:ascii="Arial"/>
                <w:sz w:val="21"/>
              </w:rPr>
            </w:pPr>
          </w:p>
          <w:p>
            <w:pPr>
              <w:pStyle w:val="TableText"/>
              <w:spacing w:before="68" w:line="248" w:lineRule="auto"/>
              <w:ind w:left="466" w:right="142" w:hanging="316"/>
            </w:pPr>
            <w:r>
              <w:rPr>
                <w:color w:val="0D0D0D"/>
                <w:spacing w:val="-2"/>
              </w:rPr>
              <w:t>土壤次生盐</w:t>
            </w:r>
            <w:r>
              <w:rPr>
                <w:color w:val="0D0D0D"/>
                <w:spacing w:val="3"/>
              </w:rPr>
              <w:t xml:space="preserve"> </w:t>
            </w:r>
            <w:r>
              <w:rPr>
                <w:color w:val="0D0D0D"/>
                <w:spacing w:val="-2"/>
              </w:rPr>
              <w:t>渍化</w:t>
            </w:r>
          </w:p>
        </w:tc>
        <w:tc>
          <w:tcPr>
            <w:tcW w:w="1744" w:type="dxa"/>
            <w:vAlign w:val="top"/>
          </w:tcPr>
          <w:p>
            <w:pPr>
              <w:pStyle w:val="TableText"/>
              <w:spacing w:before="103" w:line="256" w:lineRule="auto"/>
              <w:ind w:left="655" w:right="340" w:hanging="300"/>
              <w:rPr>
                <w:rFonts w:ascii="Times New Roman" w:eastAsia="Times New Roman" w:hAnsi="Times New Roman" w:cs="Times New Roman"/>
              </w:rPr>
            </w:pPr>
            <w:r>
              <w:rPr>
                <w:color w:val="0D0D0D"/>
                <w:spacing w:val="-2"/>
              </w:rPr>
              <w:t>非盐渍化土</w:t>
            </w:r>
            <w:r>
              <w:rPr>
                <w:color w:val="0D0D0D"/>
                <w:spacing w:val="2"/>
              </w:rPr>
              <w:t xml:space="preserve"> </w:t>
            </w:r>
            <w:r>
              <w:rPr>
                <w:color w:val="0D0D0D"/>
                <w:spacing w:val="-6"/>
              </w:rPr>
              <w:t>＜</w:t>
            </w:r>
            <w:r>
              <w:rPr>
                <w:rFonts w:ascii="Times New Roman" w:eastAsia="Times New Roman" w:hAnsi="Times New Roman" w:cs="Times New Roman"/>
                <w:color w:val="0D0D0D"/>
                <w:spacing w:val="-6"/>
              </w:rPr>
              <w:t>0.3</w:t>
            </w:r>
          </w:p>
        </w:tc>
        <w:tc>
          <w:tcPr>
            <w:tcW w:w="1919" w:type="dxa"/>
            <w:vAlign w:val="top"/>
          </w:tcPr>
          <w:p>
            <w:pPr>
              <w:spacing w:line="324" w:lineRule="auto"/>
              <w:rPr>
                <w:rFonts w:ascii="Arial"/>
                <w:sz w:val="21"/>
              </w:rPr>
            </w:pPr>
          </w:p>
          <w:p>
            <w:pPr>
              <w:spacing w:before="61" w:line="100" w:lineRule="exact"/>
              <w:ind w:left="860"/>
              <w:rPr>
                <w:rFonts w:ascii="Times New Roman" w:eastAsia="Times New Roman" w:hAnsi="Times New Roman" w:cs="Times New Roman"/>
                <w:sz w:val="21"/>
                <w:szCs w:val="21"/>
              </w:rPr>
            </w:pPr>
            <w:r>
              <w:rPr>
                <w:rFonts w:ascii="Times New Roman" w:eastAsia="Times New Roman" w:hAnsi="Times New Roman" w:cs="Times New Roman"/>
                <w:color w:val="0D0D0D"/>
                <w:spacing w:val="-2"/>
                <w:position w:val="-2"/>
                <w:sz w:val="21"/>
                <w:szCs w:val="21"/>
              </w:rPr>
              <w:t>---</w:t>
            </w:r>
          </w:p>
        </w:tc>
        <w:tc>
          <w:tcPr>
            <w:tcW w:w="2536" w:type="dxa"/>
            <w:vAlign w:val="top"/>
          </w:tcPr>
          <w:p>
            <w:pPr>
              <w:spacing w:line="324" w:lineRule="auto"/>
              <w:rPr>
                <w:rFonts w:ascii="Arial"/>
                <w:sz w:val="21"/>
              </w:rPr>
            </w:pPr>
          </w:p>
          <w:p>
            <w:pPr>
              <w:spacing w:before="61" w:line="100" w:lineRule="exact"/>
              <w:ind w:left="1169"/>
              <w:rPr>
                <w:rFonts w:ascii="Times New Roman" w:eastAsia="Times New Roman" w:hAnsi="Times New Roman" w:cs="Times New Roman"/>
                <w:sz w:val="21"/>
                <w:szCs w:val="21"/>
              </w:rPr>
            </w:pPr>
            <w:r>
              <w:rPr>
                <w:rFonts w:ascii="Times New Roman" w:eastAsia="Times New Roman" w:hAnsi="Times New Roman" w:cs="Times New Roman"/>
                <w:color w:val="0D0D0D"/>
                <w:spacing w:val="-2"/>
                <w:position w:val="-2"/>
                <w:sz w:val="21"/>
                <w:szCs w:val="21"/>
              </w:rPr>
              <w:t>---</w:t>
            </w:r>
          </w:p>
        </w:tc>
      </w:tr>
      <w:tr>
        <w:tblPrEx>
          <w:tblW w:w="7542" w:type="dxa"/>
          <w:tblInd w:w="396" w:type="dxa"/>
          <w:tblLayout w:type="fixed"/>
        </w:tblPrEx>
        <w:trPr>
          <w:trHeight w:val="628"/>
        </w:trPr>
        <w:tc>
          <w:tcPr>
            <w:tcW w:w="1343" w:type="dxa"/>
            <w:vMerge/>
            <w:tcBorders>
              <w:top w:val="nil"/>
              <w:bottom w:val="nil"/>
            </w:tcBorders>
            <w:vAlign w:val="top"/>
          </w:tcPr>
          <w:p>
            <w:pPr>
              <w:rPr>
                <w:rFonts w:ascii="Arial"/>
                <w:sz w:val="21"/>
              </w:rPr>
            </w:pPr>
          </w:p>
        </w:tc>
        <w:tc>
          <w:tcPr>
            <w:tcW w:w="1744" w:type="dxa"/>
            <w:vAlign w:val="top"/>
          </w:tcPr>
          <w:p>
            <w:pPr>
              <w:pStyle w:val="TableText"/>
              <w:spacing w:before="53" w:line="251" w:lineRule="auto"/>
              <w:ind w:left="580" w:right="340" w:hanging="227"/>
              <w:rPr>
                <w:rFonts w:ascii="Times New Roman" w:eastAsia="Times New Roman" w:hAnsi="Times New Roman" w:cs="Times New Roman"/>
              </w:rPr>
            </w:pPr>
            <w:r>
              <w:rPr>
                <w:color w:val="0D0D0D"/>
                <w:spacing w:val="-1"/>
              </w:rPr>
              <w:t>轻盐渍化土</w:t>
            </w:r>
            <w:r>
              <w:rPr>
                <w:color w:val="0D0D0D"/>
              </w:rPr>
              <w:t xml:space="preserve"> </w:t>
            </w:r>
            <w:r>
              <w:rPr>
                <w:rFonts w:ascii="Times New Roman" w:eastAsia="Times New Roman" w:hAnsi="Times New Roman" w:cs="Times New Roman"/>
                <w:color w:val="0D0D0D"/>
                <w:spacing w:val="-1"/>
              </w:rPr>
              <w:t>0.3-0.5</w:t>
            </w:r>
          </w:p>
        </w:tc>
        <w:tc>
          <w:tcPr>
            <w:tcW w:w="1919" w:type="dxa"/>
            <w:vAlign w:val="top"/>
          </w:tcPr>
          <w:p>
            <w:pPr>
              <w:pStyle w:val="TableText"/>
              <w:spacing w:before="208" w:line="237" w:lineRule="auto"/>
              <w:ind w:left="717"/>
              <w:rPr>
                <w:rFonts w:ascii="Times New Roman" w:eastAsia="Times New Roman" w:hAnsi="Times New Roman" w:cs="Times New Roman"/>
              </w:rPr>
            </w:pPr>
            <w:r>
              <w:rPr>
                <w:color w:val="0D0D0D"/>
                <w:spacing w:val="-6"/>
              </w:rPr>
              <w:t>＜</w:t>
            </w:r>
            <w:r>
              <w:rPr>
                <w:rFonts w:ascii="Times New Roman" w:eastAsia="Times New Roman" w:hAnsi="Times New Roman" w:cs="Times New Roman"/>
                <w:color w:val="0D0D0D"/>
                <w:spacing w:val="-6"/>
              </w:rPr>
              <w:t>887</w:t>
            </w:r>
          </w:p>
        </w:tc>
        <w:tc>
          <w:tcPr>
            <w:tcW w:w="2536" w:type="dxa"/>
            <w:vAlign w:val="top"/>
          </w:tcPr>
          <w:p>
            <w:pPr>
              <w:pStyle w:val="TableText"/>
              <w:spacing w:before="208" w:line="237" w:lineRule="auto"/>
              <w:ind w:left="1025"/>
              <w:rPr>
                <w:rFonts w:ascii="Times New Roman" w:eastAsia="Times New Roman" w:hAnsi="Times New Roman" w:cs="Times New Roman"/>
              </w:rPr>
            </w:pPr>
            <w:r>
              <w:rPr>
                <w:color w:val="0D0D0D"/>
                <w:spacing w:val="-6"/>
              </w:rPr>
              <w:t>＜</w:t>
            </w:r>
            <w:r>
              <w:rPr>
                <w:rFonts w:ascii="Times New Roman" w:eastAsia="Times New Roman" w:hAnsi="Times New Roman" w:cs="Times New Roman"/>
                <w:color w:val="0D0D0D"/>
                <w:spacing w:val="-6"/>
              </w:rPr>
              <w:t>760</w:t>
            </w:r>
          </w:p>
        </w:tc>
      </w:tr>
      <w:tr>
        <w:tblPrEx>
          <w:tblW w:w="7542" w:type="dxa"/>
          <w:tblInd w:w="396" w:type="dxa"/>
          <w:tblLayout w:type="fixed"/>
        </w:tblPrEx>
        <w:trPr>
          <w:trHeight w:val="628"/>
        </w:trPr>
        <w:tc>
          <w:tcPr>
            <w:tcW w:w="1343" w:type="dxa"/>
            <w:vMerge/>
            <w:tcBorders>
              <w:top w:val="nil"/>
              <w:bottom w:val="nil"/>
            </w:tcBorders>
            <w:vAlign w:val="top"/>
          </w:tcPr>
          <w:p>
            <w:pPr>
              <w:rPr>
                <w:rFonts w:ascii="Arial"/>
                <w:sz w:val="21"/>
              </w:rPr>
            </w:pPr>
          </w:p>
        </w:tc>
        <w:tc>
          <w:tcPr>
            <w:tcW w:w="1744" w:type="dxa"/>
            <w:vAlign w:val="top"/>
          </w:tcPr>
          <w:p>
            <w:pPr>
              <w:pStyle w:val="TableText"/>
              <w:spacing w:before="54" w:line="251" w:lineRule="auto"/>
              <w:ind w:left="580" w:right="340" w:hanging="208"/>
              <w:rPr>
                <w:rFonts w:ascii="Times New Roman" w:eastAsia="Times New Roman" w:hAnsi="Times New Roman" w:cs="Times New Roman"/>
              </w:rPr>
            </w:pPr>
            <w:r>
              <w:rPr>
                <w:color w:val="0D0D0D"/>
                <w:spacing w:val="-5"/>
              </w:rPr>
              <w:t>中盐渍化土</w:t>
            </w:r>
            <w:r>
              <w:rPr>
                <w:color w:val="0D0D0D"/>
              </w:rPr>
              <w:t xml:space="preserve"> </w:t>
            </w:r>
            <w:r>
              <w:rPr>
                <w:rFonts w:ascii="Times New Roman" w:eastAsia="Times New Roman" w:hAnsi="Times New Roman" w:cs="Times New Roman"/>
                <w:color w:val="0D0D0D"/>
                <w:spacing w:val="-3"/>
              </w:rPr>
              <w:t>0.5-</w:t>
            </w:r>
            <w:r>
              <w:rPr>
                <w:rFonts w:ascii="Times New Roman" w:eastAsia="Times New Roman" w:hAnsi="Times New Roman" w:cs="Times New Roman"/>
                <w:color w:val="0D0D0D"/>
                <w:spacing w:val="-29"/>
              </w:rPr>
              <w:t xml:space="preserve"> </w:t>
            </w:r>
            <w:r>
              <w:rPr>
                <w:rFonts w:ascii="Times New Roman" w:eastAsia="Times New Roman" w:hAnsi="Times New Roman" w:cs="Times New Roman"/>
                <w:color w:val="0D0D0D"/>
                <w:spacing w:val="-3"/>
              </w:rPr>
              <w:t>1.0</w:t>
            </w:r>
          </w:p>
        </w:tc>
        <w:tc>
          <w:tcPr>
            <w:tcW w:w="1919" w:type="dxa"/>
            <w:vAlign w:val="top"/>
          </w:tcPr>
          <w:p>
            <w:pPr>
              <w:spacing w:before="244" w:line="233" w:lineRule="auto"/>
              <w:ind w:left="543"/>
              <w:rPr>
                <w:rFonts w:ascii="Times New Roman" w:eastAsia="Times New Roman" w:hAnsi="Times New Roman" w:cs="Times New Roman"/>
                <w:sz w:val="21"/>
                <w:szCs w:val="21"/>
              </w:rPr>
            </w:pPr>
            <w:r>
              <w:rPr>
                <w:rFonts w:ascii="Times New Roman" w:eastAsia="Times New Roman" w:hAnsi="Times New Roman" w:cs="Times New Roman"/>
                <w:color w:val="0D0D0D"/>
                <w:spacing w:val="-2"/>
                <w:sz w:val="21"/>
                <w:szCs w:val="21"/>
              </w:rPr>
              <w:t>887~3103</w:t>
            </w:r>
          </w:p>
        </w:tc>
        <w:tc>
          <w:tcPr>
            <w:tcW w:w="2536" w:type="dxa"/>
            <w:vAlign w:val="top"/>
          </w:tcPr>
          <w:p>
            <w:pPr>
              <w:spacing w:before="244" w:line="233" w:lineRule="auto"/>
              <w:ind w:left="849"/>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760~2660</w:t>
            </w:r>
          </w:p>
        </w:tc>
      </w:tr>
      <w:tr>
        <w:tblPrEx>
          <w:tblW w:w="7542" w:type="dxa"/>
          <w:tblInd w:w="396" w:type="dxa"/>
          <w:tblLayout w:type="fixed"/>
        </w:tblPrEx>
        <w:trPr>
          <w:trHeight w:val="630"/>
        </w:trPr>
        <w:tc>
          <w:tcPr>
            <w:tcW w:w="1343" w:type="dxa"/>
            <w:vMerge/>
            <w:tcBorders>
              <w:top w:val="nil"/>
              <w:bottom w:val="nil"/>
            </w:tcBorders>
            <w:vAlign w:val="top"/>
          </w:tcPr>
          <w:p>
            <w:pPr>
              <w:rPr>
                <w:rFonts w:ascii="Arial"/>
                <w:sz w:val="21"/>
              </w:rPr>
            </w:pPr>
          </w:p>
        </w:tc>
        <w:tc>
          <w:tcPr>
            <w:tcW w:w="1744" w:type="dxa"/>
            <w:vAlign w:val="top"/>
          </w:tcPr>
          <w:p>
            <w:pPr>
              <w:pStyle w:val="TableText"/>
              <w:spacing w:before="57" w:line="251" w:lineRule="auto"/>
              <w:ind w:left="597" w:right="340" w:hanging="244"/>
              <w:rPr>
                <w:rFonts w:ascii="Times New Roman" w:eastAsia="Times New Roman" w:hAnsi="Times New Roman" w:cs="Times New Roman"/>
              </w:rPr>
            </w:pPr>
            <w:r>
              <w:rPr>
                <w:color w:val="0D0D0D"/>
                <w:spacing w:val="-1"/>
              </w:rPr>
              <w:t>重盐渍化土</w:t>
            </w:r>
            <w:r>
              <w:rPr>
                <w:color w:val="0D0D0D"/>
              </w:rPr>
              <w:t xml:space="preserve"> </w:t>
            </w:r>
            <w:r>
              <w:rPr>
                <w:rFonts w:ascii="Times New Roman" w:eastAsia="Times New Roman" w:hAnsi="Times New Roman" w:cs="Times New Roman"/>
                <w:color w:val="0D0D0D"/>
                <w:spacing w:val="-4"/>
              </w:rPr>
              <w:t>1.0-2.0</w:t>
            </w:r>
          </w:p>
        </w:tc>
        <w:tc>
          <w:tcPr>
            <w:tcW w:w="1919" w:type="dxa"/>
            <w:vAlign w:val="top"/>
          </w:tcPr>
          <w:p>
            <w:pPr>
              <w:spacing w:before="247" w:line="233" w:lineRule="auto"/>
              <w:ind w:left="488"/>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3103~7537</w:t>
            </w:r>
          </w:p>
        </w:tc>
        <w:tc>
          <w:tcPr>
            <w:tcW w:w="2536" w:type="dxa"/>
            <w:vAlign w:val="top"/>
          </w:tcPr>
          <w:p>
            <w:pPr>
              <w:spacing w:before="247" w:line="234" w:lineRule="auto"/>
              <w:ind w:left="792"/>
              <w:rPr>
                <w:rFonts w:ascii="Times New Roman" w:eastAsia="Times New Roman" w:hAnsi="Times New Roman" w:cs="Times New Roman"/>
                <w:sz w:val="21"/>
                <w:szCs w:val="21"/>
              </w:rPr>
            </w:pPr>
            <w:r>
              <w:rPr>
                <w:rFonts w:ascii="Times New Roman" w:eastAsia="Times New Roman" w:hAnsi="Times New Roman" w:cs="Times New Roman"/>
                <w:color w:val="0D0D0D"/>
                <w:spacing w:val="-1"/>
                <w:sz w:val="21"/>
                <w:szCs w:val="21"/>
              </w:rPr>
              <w:t>2660~6460</w:t>
            </w:r>
          </w:p>
        </w:tc>
      </w:tr>
    </w:tbl>
    <w:p>
      <w:pPr>
        <w:sectPr>
          <w:footerReference w:type="default" r:id="rId12"/>
          <w:pgSz w:w="11907" w:h="16839"/>
          <w:pgMar w:top="1427" w:right="1785" w:bottom="1426" w:left="1785" w:header="0" w:footer="1249" w:gutter="0"/>
          <w:pgNumType w:start="9"/>
          <w:cols w:space="708"/>
        </w:sectPr>
      </w:pPr>
    </w:p>
    <w:tbl>
      <w:tblPr>
        <w:tblStyle w:val="TableNormal4"/>
        <w:tblW w:w="7542" w:type="dxa"/>
        <w:tblInd w:w="3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
      <w:tblGrid>
        <w:gridCol w:w="1343"/>
        <w:gridCol w:w="1744"/>
        <w:gridCol w:w="1919"/>
        <w:gridCol w:w="2536"/>
      </w:tblGrid>
      <w:tr>
        <w:tblPrEx>
          <w:tblW w:w="7542" w:type="dxa"/>
          <w:tblInd w:w="39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PrEx>
        <w:trPr>
          <w:trHeight w:val="632"/>
        </w:trPr>
        <w:tc>
          <w:tcPr>
            <w:tcW w:w="1343" w:type="dxa"/>
            <w:tcBorders>
              <w:top w:val="nil"/>
            </w:tcBorders>
            <w:vAlign w:val="top"/>
          </w:tcPr>
          <w:p>
            <w:pPr>
              <w:rPr>
                <w:rFonts w:ascii="Arial"/>
                <w:sz w:val="21"/>
              </w:rPr>
            </w:pPr>
          </w:p>
        </w:tc>
        <w:tc>
          <w:tcPr>
            <w:tcW w:w="1744" w:type="dxa"/>
            <w:vAlign w:val="top"/>
          </w:tcPr>
          <w:p>
            <w:pPr>
              <w:pStyle w:val="TableText"/>
              <w:spacing w:before="55" w:line="311" w:lineRule="exact"/>
              <w:ind w:left="668"/>
            </w:pPr>
            <w:r>
              <w:rPr>
                <w:color w:val="0D0D0D"/>
                <w:spacing w:val="-2"/>
                <w:position w:val="7"/>
              </w:rPr>
              <w:t>盐土</w:t>
            </w:r>
          </w:p>
          <w:p>
            <w:pPr>
              <w:pStyle w:val="TableText"/>
              <w:spacing w:line="224" w:lineRule="auto"/>
              <w:ind w:left="659"/>
              <w:rPr>
                <w:rFonts w:ascii="Times New Roman" w:eastAsia="Times New Roman" w:hAnsi="Times New Roman" w:cs="Times New Roman"/>
              </w:rPr>
            </w:pPr>
            <w:r>
              <w:rPr>
                <w:color w:val="0D0D0D"/>
                <w:spacing w:val="20"/>
              </w:rPr>
              <w:t>&gt;</w:t>
            </w:r>
            <w:r>
              <w:rPr>
                <w:rFonts w:ascii="Times New Roman" w:eastAsia="Times New Roman" w:hAnsi="Times New Roman" w:cs="Times New Roman"/>
                <w:color w:val="0D0D0D"/>
                <w:spacing w:val="20"/>
              </w:rPr>
              <w:t>2.0</w:t>
            </w:r>
          </w:p>
        </w:tc>
        <w:tc>
          <w:tcPr>
            <w:tcW w:w="1919" w:type="dxa"/>
            <w:vAlign w:val="top"/>
          </w:tcPr>
          <w:p>
            <w:pPr>
              <w:pStyle w:val="TableText"/>
              <w:spacing w:before="211" w:line="237" w:lineRule="auto"/>
              <w:ind w:left="667"/>
              <w:rPr>
                <w:rFonts w:ascii="Times New Roman" w:eastAsia="Times New Roman" w:hAnsi="Times New Roman" w:cs="Times New Roman"/>
              </w:rPr>
            </w:pPr>
            <w:r>
              <w:rPr>
                <w:color w:val="0D0D0D"/>
                <w:spacing w:val="16"/>
              </w:rPr>
              <w:t>&gt;</w:t>
            </w:r>
            <w:r>
              <w:rPr>
                <w:rFonts w:ascii="Times New Roman" w:eastAsia="Times New Roman" w:hAnsi="Times New Roman" w:cs="Times New Roman"/>
                <w:color w:val="0D0D0D"/>
                <w:spacing w:val="16"/>
              </w:rPr>
              <w:t>7537</w:t>
            </w:r>
          </w:p>
        </w:tc>
        <w:tc>
          <w:tcPr>
            <w:tcW w:w="2536" w:type="dxa"/>
            <w:vAlign w:val="top"/>
          </w:tcPr>
          <w:p>
            <w:pPr>
              <w:pStyle w:val="TableText"/>
              <w:spacing w:before="211" w:line="237" w:lineRule="auto"/>
              <w:ind w:left="976"/>
              <w:rPr>
                <w:rFonts w:ascii="Times New Roman" w:eastAsia="Times New Roman" w:hAnsi="Times New Roman" w:cs="Times New Roman"/>
              </w:rPr>
            </w:pPr>
            <w:r>
              <w:rPr>
                <w:color w:val="0D0D0D"/>
                <w:spacing w:val="16"/>
              </w:rPr>
              <w:t>&gt;</w:t>
            </w:r>
            <w:r>
              <w:rPr>
                <w:rFonts w:ascii="Times New Roman" w:eastAsia="Times New Roman" w:hAnsi="Times New Roman" w:cs="Times New Roman"/>
                <w:color w:val="0D0D0D"/>
                <w:spacing w:val="16"/>
              </w:rPr>
              <w:t>6460</w:t>
            </w:r>
          </w:p>
        </w:tc>
      </w:tr>
    </w:tbl>
    <w:p>
      <w:pPr>
        <w:pStyle w:val="BodyText"/>
        <w:spacing w:before="53" w:line="206" w:lineRule="auto"/>
        <w:ind w:left="951"/>
        <w:rPr>
          <w:rFonts w:ascii="FangSong" w:eastAsia="FangSong" w:hAnsi="FangSong" w:cs="FangSong"/>
        </w:rPr>
      </w:pPr>
      <w:r>
        <w:rPr>
          <w:b/>
          <w:bCs/>
          <w:color w:val="0D0D0D"/>
          <w:spacing w:val="-2"/>
          <w:sz w:val="22"/>
          <w:szCs w:val="22"/>
        </w:rPr>
        <w:t>盐渍化土壤组合改良剂配比：生物炭：牛粪</w:t>
      </w:r>
      <w:r>
        <w:rPr>
          <w:rFonts w:ascii="Times New Roman" w:eastAsia="Times New Roman" w:hAnsi="Times New Roman" w:cs="Times New Roman"/>
          <w:b/>
          <w:bCs/>
          <w:color w:val="0D0D0D"/>
          <w:spacing w:val="-2"/>
          <w:sz w:val="22"/>
          <w:szCs w:val="22"/>
        </w:rPr>
        <w:t>=1</w:t>
      </w:r>
      <w:r>
        <w:rPr>
          <w:b/>
          <w:bCs/>
          <w:color w:val="0D0D0D"/>
          <w:spacing w:val="-2"/>
          <w:sz w:val="22"/>
          <w:szCs w:val="22"/>
        </w:rPr>
        <w:t>：</w:t>
      </w:r>
      <w:r>
        <w:rPr>
          <w:rFonts w:ascii="Times New Roman" w:eastAsia="Times New Roman" w:hAnsi="Times New Roman" w:cs="Times New Roman"/>
          <w:b/>
          <w:bCs/>
          <w:color w:val="0D0D0D"/>
          <w:spacing w:val="-2"/>
          <w:sz w:val="22"/>
          <w:szCs w:val="22"/>
        </w:rPr>
        <w:t>3</w:t>
      </w:r>
      <w:r>
        <w:rPr>
          <w:b/>
          <w:bCs/>
          <w:color w:val="0D0D0D"/>
          <w:spacing w:val="-2"/>
          <w:sz w:val="22"/>
          <w:szCs w:val="22"/>
        </w:rPr>
        <w:t>；草炭：牛粪</w:t>
      </w:r>
      <w:r>
        <w:rPr>
          <w:rFonts w:ascii="Times New Roman" w:eastAsia="Times New Roman" w:hAnsi="Times New Roman" w:cs="Times New Roman"/>
          <w:b/>
          <w:bCs/>
          <w:color w:val="0D0D0D"/>
          <w:spacing w:val="-2"/>
          <w:sz w:val="22"/>
          <w:szCs w:val="22"/>
        </w:rPr>
        <w:t>=1</w:t>
      </w:r>
      <w:r>
        <w:rPr>
          <w:b/>
          <w:bCs/>
          <w:color w:val="0D0D0D"/>
          <w:spacing w:val="-2"/>
          <w:sz w:val="22"/>
          <w:szCs w:val="22"/>
        </w:rPr>
        <w:t>：</w:t>
      </w:r>
      <w:r>
        <w:rPr>
          <w:rFonts w:ascii="Times New Roman" w:eastAsia="Times New Roman" w:hAnsi="Times New Roman" w:cs="Times New Roman"/>
          <w:b/>
          <w:bCs/>
          <w:color w:val="0D0D0D"/>
          <w:spacing w:val="-2"/>
          <w:sz w:val="22"/>
          <w:szCs w:val="22"/>
        </w:rPr>
        <w:t>3</w:t>
      </w:r>
      <w:r>
        <w:rPr>
          <w:rFonts w:ascii="FangSong" w:eastAsia="FangSong" w:hAnsi="FangSong" w:cs="FangSong"/>
          <w:b/>
          <w:bCs/>
          <w:color w:val="0D0D0D"/>
          <w:spacing w:val="-2"/>
        </w:rPr>
        <w:t>。</w:t>
      </w:r>
    </w:p>
    <w:p>
      <w:pPr>
        <w:spacing w:line="360" w:lineRule="auto"/>
        <w:rPr>
          <w:rFonts w:ascii="Arial"/>
          <w:sz w:val="21"/>
        </w:rPr>
      </w:pPr>
    </w:p>
    <w:p>
      <w:pPr>
        <w:pStyle w:val="BodyText"/>
        <w:spacing w:before="79" w:line="219" w:lineRule="auto"/>
        <w:ind w:left="512"/>
      </w:pPr>
      <w:r>
        <w:rPr>
          <w:b/>
          <w:bCs/>
          <w:color w:val="0D0D0D"/>
          <w:spacing w:val="-3"/>
        </w:rPr>
        <w:t>（</w:t>
      </w:r>
      <w:r>
        <w:rPr>
          <w:rFonts w:ascii="Times New Roman" w:eastAsia="Times New Roman" w:hAnsi="Times New Roman" w:cs="Times New Roman"/>
          <w:b/>
          <w:bCs/>
          <w:color w:val="0D0D0D"/>
          <w:spacing w:val="-3"/>
        </w:rPr>
        <w:t>3</w:t>
      </w:r>
      <w:r>
        <w:rPr>
          <w:b/>
          <w:bCs/>
          <w:color w:val="0D0D0D"/>
          <w:spacing w:val="-3"/>
        </w:rPr>
        <w:t>）养分失调土壤改良剂</w:t>
      </w:r>
    </w:p>
    <w:p>
      <w:pPr>
        <w:pStyle w:val="BodyText"/>
        <w:spacing w:before="183" w:line="466" w:lineRule="exact"/>
        <w:ind w:right="15"/>
        <w:jc w:val="right"/>
      </w:pPr>
      <w:r>
        <w:rPr>
          <w:color w:val="0D0D0D"/>
          <w:position w:val="16"/>
        </w:rPr>
        <w:t>根据葡萄养分失调土壤田间验证试验表明，添加硼锌铁镁肥</w:t>
      </w:r>
      <w:r>
        <w:rPr>
          <w:rFonts w:ascii="Times New Roman" w:eastAsia="Times New Roman" w:hAnsi="Times New Roman" w:cs="Times New Roman"/>
          <w:color w:val="0D0D0D"/>
          <w:position w:val="16"/>
        </w:rPr>
        <w:t>+</w:t>
      </w:r>
      <w:r>
        <w:rPr>
          <w:color w:val="0D0D0D"/>
          <w:position w:val="16"/>
        </w:rPr>
        <w:t>有机物料组合</w:t>
      </w:r>
    </w:p>
    <w:p>
      <w:pPr>
        <w:pStyle w:val="BodyText"/>
        <w:spacing w:line="212" w:lineRule="auto"/>
        <w:ind w:left="32"/>
        <w:rPr>
          <w:rFonts w:ascii="Times New Roman" w:eastAsia="Times New Roman" w:hAnsi="Times New Roman" w:cs="Times New Roman"/>
        </w:rPr>
      </w:pPr>
      <w:r>
        <w:rPr>
          <w:color w:val="0D0D0D"/>
          <w:spacing w:val="6"/>
        </w:rPr>
        <w:t xml:space="preserve">改良剂 </w:t>
      </w:r>
      <w:r>
        <w:rPr>
          <w:rFonts w:ascii="Times New Roman" w:eastAsia="Times New Roman" w:hAnsi="Times New Roman" w:cs="Times New Roman"/>
          <w:color w:val="0D0D0D"/>
          <w:spacing w:val="6"/>
        </w:rPr>
        <w:t xml:space="preserve">403.2  </w:t>
      </w:r>
      <w:r>
        <w:rPr>
          <w:rFonts w:ascii="Times New Roman" w:eastAsia="Times New Roman" w:hAnsi="Times New Roman" w:cs="Times New Roman"/>
          <w:color w:val="0D0D0D"/>
        </w:rPr>
        <w:t>kg</w:t>
      </w:r>
      <w:r>
        <w:rPr>
          <w:rFonts w:ascii="Times New Roman" w:eastAsia="Times New Roman" w:hAnsi="Times New Roman" w:cs="Times New Roman"/>
          <w:color w:val="0D0D0D"/>
          <w:spacing w:val="6"/>
        </w:rPr>
        <w:t>/</w:t>
      </w:r>
      <w:r>
        <w:rPr>
          <w:color w:val="0D0D0D"/>
          <w:spacing w:val="6"/>
        </w:rPr>
        <w:t xml:space="preserve">亩能将对照养分失调土壤中大量元素碱解氮含量从一级 </w:t>
      </w:r>
      <w:r>
        <w:rPr>
          <w:rFonts w:ascii="Times New Roman" w:eastAsia="Times New Roman" w:hAnsi="Times New Roman" w:cs="Times New Roman"/>
          <w:color w:val="0D0D0D"/>
          <w:spacing w:val="6"/>
        </w:rPr>
        <w:t>240</w:t>
      </w:r>
    </w:p>
    <w:p>
      <w:pPr>
        <w:spacing w:line="212" w:lineRule="auto"/>
        <w:rPr>
          <w:rFonts w:ascii="Times New Roman" w:eastAsia="Times New Roman" w:hAnsi="Times New Roman" w:cs="Times New Roman"/>
        </w:rPr>
      </w:pPr>
      <w:r>
        <w:rPr>
          <w:rFonts w:ascii="Times New Roman" w:eastAsia="Times New Roman" w:hAnsi="Times New Roman" w:cs="Times New Roman"/>
        </w:rPr>
        <w:br/>
      </w:r>
      <w:r>
        <w:rPr>
          <w:rFonts w:ascii="Times New Roman" w:eastAsia="Times New Roman" w:hAnsi="Times New Roman" w:cs="Times New Roman"/>
        </w:rPr>
        <w:br/>
      </w:r>
    </w:p>
    <w:p>
      <w:pPr>
        <w:kinsoku/>
        <w:autoSpaceDE/>
        <w:autoSpaceDN/>
        <w:adjustRightInd/>
        <w:snapToGrid/>
        <w:spacing w:after="0" w:line="240" w:lineRule="auto"/>
        <w:jc w:val="left"/>
        <w:textAlignment w:val="auto"/>
        <w:rPr>
          <w:rFonts w:ascii="SimSun" w:eastAsia="SimSun" w:hAnsi="SimSun" w:cs="SimSun"/>
          <w:b/>
          <w:bCs/>
          <w:noProof w:val="0"/>
          <w:snapToGrid/>
          <w:kern w:val="0"/>
          <w:sz w:val="30"/>
          <w:szCs w:val="30"/>
        </w:rPr>
      </w:pPr>
      <w:r>
        <w:rPr>
          <w:rFonts w:ascii="SimSun" w:eastAsia="SimSun" w:hAnsi="SimSun" w:cs="SimSun"/>
          <w:b/>
          <w:bCs/>
          <w:noProof w:val="0"/>
          <w:snapToGrid/>
          <w:kern w:val="0"/>
          <w:sz w:val="30"/>
          <w:szCs w:val="30"/>
        </w:rPr>
        <w:t>以上内容仅为本文档的试下载部分，为可阅读页数的一半内容。如要下载或阅读全文，请访问：</w:t>
      </w:r>
      <w:hyperlink r:id="rId13" w:history="1">
        <w:r>
          <w:rPr>
            <w:rFonts w:ascii="SimSun" w:eastAsia="SimSun" w:hAnsi="SimSun" w:cs="SimSun"/>
            <w:b/>
            <w:bCs/>
            <w:noProof w:val="0"/>
            <w:snapToGrid/>
            <w:color w:val="0000EE"/>
            <w:kern w:val="0"/>
            <w:sz w:val="30"/>
            <w:szCs w:val="30"/>
            <w:u w:val="single" w:color="0000EE"/>
          </w:rPr>
          <w:t>https://d.book118.com/058013023113006023</w:t>
        </w:r>
      </w:hyperlink>
    </w:p>
    <w:p>
      <w:pPr>
        <w:spacing w:line="212" w:lineRule="auto"/>
        <w:rPr>
          <w:rFonts w:ascii="Times New Roman" w:eastAsia="Times New Roman" w:hAnsi="Times New Roman" w:cs="Times New Roman"/>
        </w:rPr>
      </w:pPr>
    </w:p>
    <w:sectPr>
      <w:footerReference w:type="default" r:id="rId14"/>
      <w:type w:val="nextPage"/>
      <w:pgSz w:w="11907" w:h="16839"/>
      <w:pgMar w:top="1427" w:right="1785" w:bottom="1426" w:left="1785" w:header="0" w:footer="1249" w:gutter="0"/>
      <w:pgNumType w:start="10"/>
      <w:cols w:space="708"/>
      <w:titlePg w:val="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T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4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FFFF0000"/>
  </w:font>
  <w:font w:name="Microsoft JhengHei">
    <w:panose1 w:val="020B0604030504040204"/>
    <w:charset w:val="88"/>
    <w:family w:val="auto"/>
    <w:pitch w:val="default"/>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43"/>
      <w:rPr>
        <w:sz w:val="18"/>
        <w:szCs w:val="18"/>
      </w:rPr>
    </w:pPr>
    <w:r>
      <w:rPr>
        <w:sz w:val="18"/>
        <w:szCs w:val="18"/>
      </w:rPr>
      <w:t>1</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43"/>
      <w:rPr>
        <w:sz w:val="18"/>
        <w:szCs w:val="18"/>
      </w:rPr>
    </w:pPr>
    <w:r>
      <w:rPr>
        <w:sz w:val="18"/>
        <w:szCs w:val="18"/>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43"/>
      <w:rPr>
        <w:sz w:val="18"/>
        <w:szCs w:val="18"/>
      </w:rPr>
    </w:pPr>
    <w:r>
      <w:rPr>
        <w:sz w:val="18"/>
        <w:szCs w:val="18"/>
      </w:rPr>
      <w:t>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032"/>
      <w:rPr>
        <w:sz w:val="18"/>
        <w:szCs w:val="18"/>
      </w:rPr>
    </w:pPr>
    <w:r>
      <w:rPr>
        <w:sz w:val="18"/>
        <w:szCs w:val="18"/>
      </w:rPr>
      <w:t>2</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032"/>
      <w:rPr>
        <w:sz w:val="18"/>
        <w:szCs w:val="18"/>
      </w:rPr>
    </w:pPr>
    <w:r>
      <w:rPr>
        <w:sz w:val="18"/>
        <w:szCs w:val="18"/>
      </w:rPr>
      <w:t>2</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290"/>
      <w:rPr>
        <w:sz w:val="18"/>
        <w:szCs w:val="18"/>
      </w:rPr>
    </w:pPr>
    <w:r>
      <w:rPr>
        <w:sz w:val="18"/>
        <w:szCs w:val="18"/>
      </w:rPr>
      <w:t>3</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290"/>
      <w:rPr>
        <w:sz w:val="18"/>
        <w:szCs w:val="18"/>
      </w:rPr>
    </w:pPr>
    <w:r>
      <w:rPr>
        <w:sz w:val="18"/>
        <w:szCs w:val="18"/>
      </w:rPr>
      <w:t>3</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286"/>
      <w:rPr>
        <w:sz w:val="18"/>
        <w:szCs w:val="18"/>
      </w:rPr>
    </w:pPr>
    <w:r>
      <w:rPr>
        <w:sz w:val="18"/>
        <w:szCs w:val="18"/>
      </w:rPr>
      <w:t>4</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0" w:lineRule="auto"/>
      <w:ind w:left="4286"/>
      <w:rPr>
        <w:sz w:val="18"/>
        <w:szCs w:val="18"/>
      </w:rPr>
    </w:pPr>
    <w:r>
      <w:rPr>
        <w:sz w:val="18"/>
        <w:szCs w:val="18"/>
      </w:rPr>
      <w:t>4</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BodyText"/>
      <w:spacing w:line="171" w:lineRule="auto"/>
      <w:ind w:left="4043"/>
      <w:rPr>
        <w:sz w:val="18"/>
        <w:szCs w:val="18"/>
      </w:rPr>
    </w:pPr>
    <w:r>
      <w:rPr>
        <w:sz w:val="18"/>
        <w:szCs w:val="18"/>
      </w:rPr>
      <w:t>1</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defaultTabStop w:val="720"/>
  <w:characterSpacingControl w:val="doNotCompress"/>
  <w:compat>
    <w:spaceForUL/>
    <w:ulTrailSpace/>
    <w:compatSetting w:name="compatibilityMode" w:uri="http://schemas.microsoft.com/office/word" w:val="14"/>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napToGrid w:val="0"/>
        <w:color w:val="000000"/>
        <w:kern w:val="0"/>
        <w:sz w:val="21"/>
        <w:szCs w:val="21"/>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emiHidden/>
    <w:qFormat/>
    <w:pPr>
      <w:kinsoku w:val="0"/>
      <w:autoSpaceDE w:val="0"/>
      <w:autoSpaceDN w:val="0"/>
      <w:adjustRightInd w:val="0"/>
      <w:snapToGrid w:val="0"/>
      <w:spacing w:line="240" w:lineRule="auto"/>
      <w:jc w:val="left"/>
      <w:textAlignment w:val="baseline"/>
    </w:pPr>
    <w:rPr>
      <w:noProof/>
      <w:snapToGrid w:val="0"/>
      <w:color w:val="000000"/>
      <w:kern w:val="0"/>
    </w:rPr>
  </w:style>
  <w:style w:type="character" w:default="1" w:styleId="DefaultParagraphFont">
    <w:name w:val="Default Paragraph Font"/>
    <w:uiPriority w:val="1"/>
    <w:semiHidden/>
    <w:unhideWhenUsed/>
  </w:style>
  <w:style w:type="table" w:customStyle="1" w:styleId="TableNormal">
    <w:name w:val="Table Normal"/>
    <w:semiHidden/>
    <w:unhideWhenUsed/>
    <w:qFormat/>
    <w:tblPr>
      <w:tblCellMar>
        <w:top w:w="0" w:type="dxa"/>
        <w:left w:w="0" w:type="dxa"/>
        <w:bottom w:w="0" w:type="dxa"/>
        <w:right w:w="0" w:type="dxa"/>
      </w:tblCellMar>
    </w:tblPr>
  </w:style>
  <w:style w:type="paragraph" w:styleId="BodyText">
    <w:name w:val="Body Text"/>
    <w:basedOn w:val="Normal"/>
    <w:semiHidden/>
    <w:qFormat/>
    <w:rPr>
      <w:rFonts w:ascii="SimSun" w:eastAsia="SimSun" w:hAnsi="SimSun" w:cs="SimSun"/>
      <w:sz w:val="24"/>
      <w:szCs w:val="24"/>
      <w:lang w:val="en-US" w:eastAsia="en-US" w:bidi="ar-SA"/>
    </w:rPr>
  </w:style>
  <w:style w:type="paragraph" w:customStyle="1" w:styleId="TableText">
    <w:name w:val="Table Text"/>
    <w:basedOn w:val="Normal"/>
    <w:semiHidden/>
    <w:qFormat/>
    <w:rPr>
      <w:rFonts w:ascii="SimSun" w:eastAsia="SimSun" w:hAnsi="SimSun" w:cs="SimSun"/>
      <w:sz w:val="21"/>
      <w:szCs w:val="21"/>
      <w:lang w:val="en-US" w:eastAsia="en-US" w:bidi="ar-SA"/>
    </w:rPr>
  </w:style>
  <w:style w:type="table" w:customStyle="1" w:styleId="TableNormal0">
    <w:name w:val="Table Normal_0"/>
    <w:semiHidden/>
    <w:unhideWhenUsed/>
    <w:qFormat/>
    <w:tblPr>
      <w:tblCellMar>
        <w:top w:w="0" w:type="dxa"/>
        <w:left w:w="0" w:type="dxa"/>
        <w:bottom w:w="0" w:type="dxa"/>
        <w:right w:w="0" w:type="dxa"/>
      </w:tblCellMar>
    </w:tblPr>
  </w:style>
  <w:style w:type="table" w:customStyle="1" w:styleId="TableNormal1">
    <w:name w:val="Table Normal_1"/>
    <w:semiHidden/>
    <w:unhideWhenUsed/>
    <w:qFormat/>
    <w:tblPr>
      <w:tblCellMar>
        <w:top w:w="0" w:type="dxa"/>
        <w:left w:w="0" w:type="dxa"/>
        <w:bottom w:w="0" w:type="dxa"/>
        <w:right w:w="0" w:type="dxa"/>
      </w:tblCellMar>
    </w:tblPr>
  </w:style>
  <w:style w:type="table" w:customStyle="1" w:styleId="TableNormal2">
    <w:name w:val="Table Normal_2"/>
    <w:semiHidden/>
    <w:unhideWhenUsed/>
    <w:qFormat/>
    <w:tblPr>
      <w:tblCellMar>
        <w:top w:w="0" w:type="dxa"/>
        <w:left w:w="0" w:type="dxa"/>
        <w:bottom w:w="0" w:type="dxa"/>
        <w:right w:w="0" w:type="dxa"/>
      </w:tblCellMar>
    </w:tblPr>
  </w:style>
  <w:style w:type="table" w:customStyle="1" w:styleId="TableNormal3">
    <w:name w:val="Table Normal_3"/>
    <w:semiHidden/>
    <w:unhideWhenUsed/>
    <w:qFormat/>
    <w:tblPr>
      <w:tblCellMar>
        <w:top w:w="0" w:type="dxa"/>
        <w:left w:w="0" w:type="dxa"/>
        <w:bottom w:w="0" w:type="dxa"/>
        <w:right w:w="0" w:type="dxa"/>
      </w:tblCellMar>
    </w:tblPr>
  </w:style>
  <w:style w:type="table" w:customStyle="1" w:styleId="TableNormal4">
    <w:name w:val="Table Normal_4"/>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7.xml" /><Relationship Id="rId11" Type="http://schemas.openxmlformats.org/officeDocument/2006/relationships/footer" Target="footer8.xml" /><Relationship Id="rId12" Type="http://schemas.openxmlformats.org/officeDocument/2006/relationships/footer" Target="footer9.xml" /><Relationship Id="rId13" Type="http://schemas.openxmlformats.org/officeDocument/2006/relationships/hyperlink" Target="https://d.book118.com/058013023113006023" TargetMode="External" /><Relationship Id="rId14" Type="http://schemas.openxmlformats.org/officeDocument/2006/relationships/footer" Target="footer10.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footer" Target="footer4.xml" /><Relationship Id="rId8" Type="http://schemas.openxmlformats.org/officeDocument/2006/relationships/footer" Target="footer5.xml" /><Relationship Id="rId9" Type="http://schemas.openxmlformats.org/officeDocument/2006/relationships/footer" Target="footer6.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pdfbuilder</dc:subject>
  <dc:creator>Kingsoft-PDF</dc:creator>
  <cp:revision>0</cp:revision>
  <dcterms:created xsi:type="dcterms:W3CDTF">2024-01-05T19:54:44Z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2024-01-05T19:54:47Z</vt:filetime>
  </property>
  <property fmtid="{D5CDD505-2E9C-101B-9397-08002B2CF9AE}" pid="3" name="CRO">
    <vt:lpwstr>wqlLaW5nc29mdCBQREYgdG8gV1BTIDkw</vt:lpwstr>
  </property>
  <property fmtid="{D5CDD505-2E9C-101B-9397-08002B2CF9AE}" pid="4" name="UsrData">
    <vt:lpwstr>6597ee0498caa6001fd5a492wl</vt:lpwstr>
  </property>
</Properties>
</file>