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1、[题干]足月儿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A.生后1个月补充维生素D400IU/d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B.生后2周补充维生素D400IU/d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C.生后2周补充维生素D800IU/d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D.生后1个月补充维生素D800IU/d。E,生后1个月肌注维生素D400IU/d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2、太阳中风表虚证治中，治疗“阳浮而阴弱”的主要药物是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A.生姜、大枣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B.桂枝、生姜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C.桂枝、芍药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D.芍药、大枣。E,芍药、甘草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【解析】太阳中风表虚证治中，治疗“阳浮而阴弱”的主要药物是桂枝、芍药。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3、[单选题]哮喘持续状态合并混合性酸中毒时，首要处理为()。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A.机械通气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B.注射支气管舒张剂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C.同时注射支气管舒张剂和皮质激素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D.充分补液，补充丢失的水分。E,补充碳酸氢钠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4、[题干]下列哪项不是痢疾的主要病理变化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A.脾虚湿盛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B.湿热壅滞肠中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C.肠道传导失司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D.气血壅滞肠中。E,寒湿滞留肠中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5、[题干]结核性脑膜炎的典型脑脊液改变如下，但除外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A.压力升高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B.外观毛玻璃样C、细胞数(50～500)×106/L，以淋巴细胞为主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D.蛋白质、糖含量升高。E,涂片抗酸染色可阳性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6、[单选题]以肺组织含气量由多到少为序，叩诊音的排序是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A.鼓音-过清音-清音-浊音-实音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https://d.book118.com/058013114021006037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058013114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