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2024年公共安全设备行业分析报告及未来五到十年行业发展趋势报告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92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行业的外部环境及发展趋势分析</w:t>
        </w:r>
        <w:r>
          <w:tab/>
        </w:r>
        <w:r>
          <w:fldChar w:fldCharType="begin"/>
        </w:r>
        <w:r>
          <w:instrText xml:space="preserve"> PAGEREF _Toc17692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15805" w:history="1">
        <w:r>
          <w:rPr>
            <w:rFonts w:eastAsia="微软雅黑" w:hint="eastAsia"/>
            <w:snapToGrid/>
            <w:lang w:val="en-US" w:eastAsia="en-US"/>
          </w:rPr>
          <w:t>(一)、国际政治经济发展对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_Toc15805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928" w:history="1">
        <w:r>
          <w:rPr>
            <w:rFonts w:eastAsia="微软雅黑" w:hint="eastAsia"/>
            <w:snapToGrid/>
            <w:lang w:val="en-US" w:eastAsia="zh-CN"/>
          </w:rPr>
          <w:t>(二)、国内政治经济发展对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_Toc14928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615" w:history="1">
        <w:r>
          <w:rPr>
            <w:rFonts w:eastAsia="微软雅黑" w:hint="eastAsia"/>
            <w:snapToGrid/>
            <w:lang w:val="en-US" w:eastAsia="zh-CN"/>
          </w:rPr>
          <w:t>(三)、国内突出经济问题对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_Toc19615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93" w:history="1">
        <w:r>
          <w:rPr>
            <w:rFonts w:eastAsia="微软雅黑" w:hint="eastAsia"/>
            <w:snapToGrid/>
            <w:lang w:val="en-US" w:eastAsia="en-US"/>
          </w:rPr>
          <w:t>二、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行业成功突围策略</w:t>
        </w:r>
        <w:r>
          <w:tab/>
        </w:r>
        <w:r>
          <w:fldChar w:fldCharType="begin"/>
        </w:r>
        <w:r>
          <w:instrText xml:space="preserve"> PAGEREF _Toc2893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83" w:history="1">
        <w:r>
          <w:rPr>
            <w:rFonts w:eastAsia="微软雅黑" w:hint="eastAsia"/>
            <w:snapToGrid/>
            <w:lang w:val="en-US" w:eastAsia="en-US"/>
          </w:rPr>
          <w:t>(一)、寻找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行业准差异化消费者兴趣诉求点</w:t>
        </w:r>
        <w:r>
          <w:tab/>
        </w:r>
        <w:r>
          <w:fldChar w:fldCharType="begin"/>
        </w:r>
        <w:r>
          <w:instrText xml:space="preserve"> PAGEREF _Toc1383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63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行业精准定位与无声消费教育</w:t>
        </w:r>
        <w:r>
          <w:tab/>
        </w:r>
        <w:r>
          <w:fldChar w:fldCharType="begin"/>
        </w:r>
        <w:r>
          <w:instrText xml:space="preserve"> PAGEREF _Toc28633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872" w:history="1">
        <w:r>
          <w:rPr>
            <w:rFonts w:eastAsia="微软雅黑" w:hint="eastAsia"/>
            <w:snapToGrid/>
            <w:lang w:val="en-US" w:eastAsia="zh-CN"/>
          </w:rPr>
          <w:t>(三)、从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行业硬文广告传播到深度合作</w:t>
        </w:r>
        <w:r>
          <w:tab/>
        </w:r>
        <w:r>
          <w:fldChar w:fldCharType="begin"/>
        </w:r>
        <w:r>
          <w:instrText xml:space="preserve"> PAGEREF _Toc29872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245" w:history="1">
        <w:r>
          <w:rPr>
            <w:rFonts w:eastAsia="微软雅黑" w:hint="eastAsia"/>
            <w:snapToGrid/>
            <w:lang w:val="en-US" w:eastAsia="zh-CN"/>
          </w:rPr>
          <w:t>(四)、公益营销竞争激烈</w:t>
        </w:r>
        <w:r>
          <w:tab/>
        </w:r>
        <w:r>
          <w:fldChar w:fldCharType="begin"/>
        </w:r>
        <w:r>
          <w:instrText xml:space="preserve"> PAGEREF _Toc28245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973" w:history="1">
        <w:r>
          <w:rPr>
            <w:rFonts w:eastAsia="微软雅黑" w:hint="eastAsia"/>
            <w:snapToGrid/>
            <w:lang w:val="en-US" w:eastAsia="zh-CN"/>
          </w:rPr>
          <w:t>(五)、电子商务提升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行业广告效果</w:t>
        </w:r>
        <w:r>
          <w:tab/>
        </w:r>
        <w:r>
          <w:fldChar w:fldCharType="begin"/>
        </w:r>
        <w:r>
          <w:instrText xml:space="preserve"> PAGEREF _Toc10973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450" w:history="1">
        <w:r>
          <w:rPr>
            <w:rFonts w:eastAsia="微软雅黑" w:hint="eastAsia"/>
            <w:snapToGrid/>
            <w:lang w:val="en-US" w:eastAsia="zh-CN"/>
          </w:rPr>
          <w:t>(六)、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行业渠道以多种形式传播</w:t>
        </w:r>
        <w:r>
          <w:tab/>
        </w:r>
        <w:r>
          <w:fldChar w:fldCharType="begin"/>
        </w:r>
        <w:r>
          <w:instrText xml:space="preserve"> PAGEREF _Toc29450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346" w:history="1">
        <w:r>
          <w:rPr>
            <w:rFonts w:eastAsia="微软雅黑" w:hint="eastAsia"/>
            <w:snapToGrid/>
            <w:lang w:val="en-US" w:eastAsia="zh-CN"/>
          </w:rPr>
          <w:t>(七)、强调市场细分，深耕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产业</w:t>
        </w:r>
        <w:r>
          <w:tab/>
        </w:r>
        <w:r>
          <w:fldChar w:fldCharType="begin"/>
        </w:r>
        <w:r>
          <w:instrText xml:space="preserve"> PAGEREF _Toc29346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4126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行业企业战略实施要点</w:t>
        </w:r>
        <w:r>
          <w:tab/>
        </w:r>
        <w:r>
          <w:fldChar w:fldCharType="begin"/>
        </w:r>
        <w:r>
          <w:instrText xml:space="preserve"> PAGEREF _Toc14126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874" w:history="1">
        <w:r>
          <w:rPr>
            <w:rFonts w:eastAsia="微软雅黑" w:hint="eastAsia"/>
            <w:snapToGrid/>
            <w:lang w:val="en-US" w:eastAsia="en-US"/>
          </w:rPr>
          <w:t>(一)、打造自主品牌</w:t>
        </w:r>
        <w:r>
          <w:tab/>
        </w:r>
        <w:r>
          <w:fldChar w:fldCharType="begin"/>
        </w:r>
        <w:r>
          <w:instrText xml:space="preserve"> PAGEREF _Toc31874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374" w:history="1">
        <w:r>
          <w:rPr>
            <w:rFonts w:eastAsia="微软雅黑" w:hint="eastAsia"/>
            <w:snapToGrid/>
            <w:lang w:val="en-US" w:eastAsia="zh-CN"/>
          </w:rPr>
          <w:t>(二)、重塑企业价值链</w:t>
        </w:r>
        <w:r>
          <w:tab/>
        </w:r>
        <w:r>
          <w:fldChar w:fldCharType="begin"/>
        </w:r>
        <w:r>
          <w:instrText xml:space="preserve"> PAGEREF _Toc7374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2165" w:history="1">
        <w:r>
          <w:rPr>
            <w:rFonts w:eastAsia="微软雅黑" w:hint="eastAsia"/>
            <w:snapToGrid/>
            <w:lang w:val="en-US" w:eastAsia="zh-CN"/>
          </w:rPr>
          <w:t>1、规范研发设计流程</w:t>
        </w:r>
        <w:r>
          <w:tab/>
        </w:r>
        <w:r>
          <w:fldChar w:fldCharType="begin"/>
        </w:r>
        <w:r>
          <w:instrText xml:space="preserve"> PAGEREF _Toc12165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897" w:history="1">
        <w:r>
          <w:rPr>
            <w:rFonts w:eastAsia="微软雅黑" w:hint="eastAsia"/>
            <w:snapToGrid/>
            <w:lang w:val="en-US" w:eastAsia="zh-CN"/>
          </w:rPr>
          <w:t>2、优化生产制造</w:t>
        </w:r>
        <w:r>
          <w:tab/>
        </w:r>
        <w:r>
          <w:fldChar w:fldCharType="begin"/>
        </w:r>
        <w:r>
          <w:instrText xml:space="preserve"> PAGEREF _Toc3897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227" w:history="1">
        <w:r>
          <w:rPr>
            <w:rFonts w:eastAsia="微软雅黑" w:hint="eastAsia"/>
            <w:snapToGrid/>
            <w:lang w:val="en-US" w:eastAsia="zh-CN"/>
          </w:rPr>
          <w:t>(三)、重视市场营销</w:t>
        </w:r>
        <w:r>
          <w:tab/>
        </w:r>
        <w:r>
          <w:fldChar w:fldCharType="begin"/>
        </w:r>
        <w:r>
          <w:instrText xml:space="preserve"> PAGEREF _Toc4227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223" w:history="1">
        <w:r>
          <w:rPr>
            <w:rFonts w:eastAsia="微软雅黑" w:hint="eastAsia"/>
            <w:snapToGrid/>
            <w:lang w:val="en-US" w:eastAsia="zh-CN"/>
          </w:rPr>
          <w:t>(四)、整合线上线下平台</w:t>
        </w:r>
        <w:r>
          <w:tab/>
        </w:r>
        <w:r>
          <w:fldChar w:fldCharType="begin"/>
        </w:r>
        <w:r>
          <w:instrText xml:space="preserve"> PAGEREF _Toc13223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905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行业发展趋势</w:t>
        </w:r>
        <w:r>
          <w:tab/>
        </w:r>
        <w:r>
          <w:fldChar w:fldCharType="begin"/>
        </w:r>
        <w:r>
          <w:instrText xml:space="preserve"> PAGEREF _Toc31905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1551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_Toc21551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402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_Toc6402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581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_Toc32581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0424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_Toc10424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714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_Toc26714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268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_Toc17268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935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_Toc14935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371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_Toc31371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1253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行业企业转型思考(2024-2029)</w:t>
        </w:r>
        <w:r>
          <w:tab/>
        </w:r>
        <w:r>
          <w:fldChar w:fldCharType="begin"/>
        </w:r>
        <w:r>
          <w:instrText xml:space="preserve"> PAGEREF _Toc21253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055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行业的内生延伸——选择与定位</w:t>
        </w:r>
        <w:r>
          <w:tab/>
        </w:r>
        <w:r>
          <w:fldChar w:fldCharType="begin"/>
        </w:r>
        <w:r>
          <w:instrText xml:space="preserve"> PAGEREF _Toc10055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177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行业跨行业转型延伸</w:t>
        </w:r>
        <w:r>
          <w:tab/>
        </w:r>
        <w:r>
          <w:fldChar w:fldCharType="begin"/>
        </w:r>
        <w:r>
          <w:instrText xml:space="preserve"> PAGEREF _Toc22177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47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行业企业资本计划分析</w:t>
        </w:r>
        <w:r>
          <w:tab/>
        </w:r>
        <w:r>
          <w:fldChar w:fldCharType="begin"/>
        </w:r>
        <w:r>
          <w:instrText xml:space="preserve"> PAGEREF _Toc13471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713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行业的融资问题</w:t>
        </w:r>
        <w:r>
          <w:tab/>
        </w:r>
        <w:r>
          <w:fldChar w:fldCharType="begin"/>
        </w:r>
        <w:r>
          <w:instrText xml:space="preserve"> PAGEREF _Toc17713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92" w:history="1">
        <w:r>
          <w:rPr>
            <w:rFonts w:eastAsia="微软雅黑" w:hint="eastAsia"/>
            <w:snapToGrid/>
            <w:lang w:val="en-US" w:eastAsia="zh-CN"/>
          </w:rPr>
          <w:t>(五)、加强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行业人才引进，优化人才结构</w:t>
        </w:r>
        <w:r>
          <w:tab/>
        </w:r>
        <w:r>
          <w:fldChar w:fldCharType="begin"/>
        </w:r>
        <w:r>
          <w:instrText xml:space="preserve"> PAGEREF _Toc1992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18255" w:history="1">
        <w:r>
          <w:rPr>
            <w:rFonts w:eastAsia="微软雅黑" w:hint="eastAsia"/>
            <w:snapToGrid/>
            <w:lang w:val="en-US" w:eastAsia="en-US"/>
          </w:rPr>
          <w:t>七、2024-2029年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行业企业市场突围战略分析</w:t>
        </w:r>
        <w:r>
          <w:tab/>
        </w:r>
        <w:r>
          <w:fldChar w:fldCharType="begin"/>
        </w:r>
        <w:r>
          <w:instrText xml:space="preserve"> PAGEREF _Toc18255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01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行业树立“战略突破”理念</w:t>
        </w:r>
        <w:r>
          <w:tab/>
        </w:r>
        <w:r>
          <w:fldChar w:fldCharType="begin"/>
        </w:r>
        <w:r>
          <w:instrText xml:space="preserve"> PAGEREF _Toc1601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153" w:history="1">
        <w:r>
          <w:rPr>
            <w:rFonts w:eastAsia="微软雅黑" w:hint="eastAsia"/>
            <w:snapToGrid/>
            <w:lang w:val="en-US" w:eastAsia="zh-CN"/>
          </w:rPr>
          <w:t>(二)、确定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行业市场定位、产品定位和品牌定位</w:t>
        </w:r>
        <w:r>
          <w:tab/>
        </w:r>
        <w:r>
          <w:fldChar w:fldCharType="begin"/>
        </w:r>
        <w:r>
          <w:instrText xml:space="preserve"> PAGEREF _Toc22153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7973" w:history="1">
        <w:r>
          <w:rPr>
            <w:rFonts w:eastAsia="微软雅黑" w:hint="eastAsia"/>
            <w:snapToGrid/>
            <w:lang w:val="en-US" w:eastAsia="zh-CN"/>
          </w:rPr>
          <w:t>1、市场定位</w:t>
        </w:r>
        <w:r>
          <w:tab/>
        </w:r>
        <w:r>
          <w:fldChar w:fldCharType="begin"/>
        </w:r>
        <w:r>
          <w:instrText xml:space="preserve"> PAGEREF _Toc27973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7801" w:history="1">
        <w:r>
          <w:rPr>
            <w:rFonts w:eastAsia="微软雅黑" w:hint="eastAsia"/>
            <w:snapToGrid/>
            <w:lang w:val="en-US" w:eastAsia="zh-CN"/>
          </w:rPr>
          <w:t>2、产品定位</w:t>
        </w:r>
        <w:r>
          <w:tab/>
        </w:r>
        <w:r>
          <w:fldChar w:fldCharType="begin"/>
        </w:r>
        <w:r>
          <w:instrText xml:space="preserve"> PAGEREF _Toc17801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528" w:history="1">
        <w:r>
          <w:rPr>
            <w:rFonts w:eastAsia="微软雅黑" w:hint="eastAsia"/>
            <w:snapToGrid/>
            <w:lang w:val="en-US" w:eastAsia="zh-CN"/>
          </w:rPr>
          <w:t>3、品牌定位</w:t>
        </w:r>
        <w:r>
          <w:tab/>
        </w:r>
        <w:r>
          <w:fldChar w:fldCharType="begin"/>
        </w:r>
        <w:r>
          <w:instrText xml:space="preserve"> PAGEREF _Toc3528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736" w:history="1">
        <w:r>
          <w:rPr>
            <w:rFonts w:eastAsia="微软雅黑" w:hint="eastAsia"/>
            <w:snapToGrid/>
            <w:lang w:val="en-US" w:eastAsia="zh-CN"/>
          </w:rPr>
          <w:t>(三)、创新寻求突破</w:t>
        </w:r>
        <w:r>
          <w:tab/>
        </w:r>
        <w:r>
          <w:fldChar w:fldCharType="begin"/>
        </w:r>
        <w:r>
          <w:instrText xml:space="preserve"> PAGEREF _Toc3736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2894" w:history="1">
        <w:r>
          <w:rPr>
            <w:rFonts w:eastAsia="微软雅黑" w:hint="eastAsia"/>
            <w:snapToGrid/>
            <w:lang w:val="en-US" w:eastAsia="zh-CN"/>
          </w:rPr>
          <w:t>1、基于消费升级的科技创新模式</w:t>
        </w:r>
        <w:r>
          <w:tab/>
        </w:r>
        <w:r>
          <w:fldChar w:fldCharType="begin"/>
        </w:r>
        <w:r>
          <w:instrText xml:space="preserve"> PAGEREF _Toc22894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7223" w:history="1">
        <w:r>
          <w:rPr>
            <w:rFonts w:eastAsia="微软雅黑" w:hint="eastAsia"/>
            <w:snapToGrid/>
            <w:lang w:val="en-US" w:eastAsia="zh-CN"/>
          </w:rPr>
          <w:t>2、创新推动行业更高质量发展</w:t>
        </w:r>
        <w:r>
          <w:tab/>
        </w:r>
        <w:r>
          <w:fldChar w:fldCharType="begin"/>
        </w:r>
        <w:r>
          <w:instrText xml:space="preserve"> PAGEREF _Toc17223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0506" w:history="1">
        <w:r>
          <w:rPr>
            <w:rFonts w:eastAsia="微软雅黑" w:hint="eastAsia"/>
            <w:snapToGrid/>
            <w:lang w:val="en-US" w:eastAsia="zh-CN"/>
          </w:rPr>
          <w:t>3、尝试业态创新和品牌创新</w:t>
        </w:r>
        <w:r>
          <w:tab/>
        </w:r>
        <w:r>
          <w:fldChar w:fldCharType="begin"/>
        </w:r>
        <w:r>
          <w:instrText xml:space="preserve"> PAGEREF _Toc20506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642" w:history="1">
        <w:r>
          <w:rPr>
            <w:rFonts w:eastAsia="微软雅黑" w:hint="eastAsia"/>
            <w:snapToGrid/>
            <w:lang w:val="en-US" w:eastAsia="zh-CN"/>
          </w:rPr>
          <w:t>4、自主创新打造品牌</w:t>
        </w:r>
        <w:r>
          <w:tab/>
        </w:r>
        <w:r>
          <w:fldChar w:fldCharType="begin"/>
        </w:r>
        <w:r>
          <w:instrText xml:space="preserve"> PAGEREF _Toc3642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913" w:history="1">
        <w:r>
          <w:rPr>
            <w:rFonts w:eastAsia="微软雅黑" w:hint="eastAsia"/>
            <w:snapToGrid/>
            <w:lang w:val="en-US" w:eastAsia="zh-CN"/>
          </w:rPr>
          <w:t>(四)、制定宣传计划</w:t>
        </w:r>
        <w:r>
          <w:tab/>
        </w:r>
        <w:r>
          <w:fldChar w:fldCharType="begin"/>
        </w:r>
        <w:r>
          <w:instrText xml:space="preserve"> PAGEREF _Toc6913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03" w:history="1">
        <w:r>
          <w:rPr>
            <w:rFonts w:eastAsia="微软雅黑" w:hint="eastAsia"/>
            <w:snapToGrid/>
            <w:lang w:val="en-US" w:eastAsia="zh-CN"/>
          </w:rPr>
          <w:t>1、学会做低成本的传播工具</w:t>
        </w:r>
        <w:r>
          <w:tab/>
        </w:r>
        <w:r>
          <w:fldChar w:fldCharType="begin"/>
        </w:r>
        <w:r>
          <w:instrText xml:space="preserve"> PAGEREF _Toc103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8802" w:history="1">
        <w:r>
          <w:rPr>
            <w:rFonts w:eastAsia="微软雅黑" w:hint="eastAsia"/>
            <w:snapToGrid/>
            <w:lang w:val="en-US" w:eastAsia="zh-CN"/>
          </w:rPr>
          <w:t>2、学会以优秀的品牌视觉设计突出品牌特色</w:t>
        </w:r>
        <w:r>
          <w:tab/>
        </w:r>
        <w:r>
          <w:fldChar w:fldCharType="begin"/>
        </w:r>
        <w:r>
          <w:instrText xml:space="preserve"> PAGEREF _Toc18802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7984" w:history="1">
        <w:r>
          <w:rPr>
            <w:rFonts w:eastAsia="微软雅黑" w:hint="eastAsia"/>
            <w:snapToGrid/>
            <w:lang w:val="en-US" w:eastAsia="zh-CN"/>
          </w:rPr>
          <w:t>3、学会使用网络营销</w:t>
        </w:r>
        <w:r>
          <w:tab/>
        </w:r>
        <w:r>
          <w:fldChar w:fldCharType="begin"/>
        </w:r>
        <w:r>
          <w:instrText xml:space="preserve"> PAGEREF _Toc27984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191" w:history="1">
        <w:r>
          <w:rPr>
            <w:rFonts w:eastAsia="微软雅黑" w:hint="eastAsia"/>
            <w:snapToGrid/>
            <w:lang w:val="en-US" w:eastAsia="en-US"/>
          </w:rPr>
          <w:t>八、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行业未来发展机会</w:t>
        </w:r>
        <w:r>
          <w:tab/>
        </w:r>
        <w:r>
          <w:fldChar w:fldCharType="begin"/>
        </w:r>
        <w:r>
          <w:instrText xml:space="preserve"> PAGEREF _Toc1191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205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行业中通过产品差异化获得商机</w:t>
        </w:r>
        <w:r>
          <w:tab/>
        </w:r>
        <w:r>
          <w:fldChar w:fldCharType="begin"/>
        </w:r>
        <w:r>
          <w:instrText xml:space="preserve"> PAGEREF _Toc30205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584" w:history="1">
        <w:r>
          <w:rPr>
            <w:rFonts w:eastAsia="微软雅黑" w:hint="eastAsia"/>
            <w:snapToGrid/>
            <w:lang w:val="en-US" w:eastAsia="zh-CN"/>
          </w:rPr>
          <w:t>(二)、借助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行业市场差异赢得商机</w:t>
        </w:r>
        <w:r>
          <w:tab/>
        </w:r>
        <w:r>
          <w:fldChar w:fldCharType="begin"/>
        </w:r>
        <w:r>
          <w:instrText xml:space="preserve"> PAGEREF _Toc31584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376" w:history="1">
        <w:r>
          <w:rPr>
            <w:rFonts w:eastAsia="微软雅黑" w:hint="eastAsia"/>
            <w:snapToGrid/>
            <w:lang w:val="en-US" w:eastAsia="zh-CN"/>
          </w:rPr>
          <w:t>(三)、借助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行业服务差异化抓住商机</w:t>
        </w:r>
        <w:r>
          <w:tab/>
        </w:r>
        <w:r>
          <w:fldChar w:fldCharType="begin"/>
        </w:r>
        <w:r>
          <w:instrText xml:space="preserve"> PAGEREF _Toc8376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41" w:history="1">
        <w:r>
          <w:rPr>
            <w:rFonts w:eastAsia="微软雅黑" w:hint="eastAsia"/>
            <w:snapToGrid/>
            <w:lang w:val="en-US" w:eastAsia="zh-CN"/>
          </w:rPr>
          <w:t>(四)、借助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行业客户差异化把握商机</w:t>
        </w:r>
        <w:r>
          <w:tab/>
        </w:r>
        <w:r>
          <w:fldChar w:fldCharType="begin"/>
        </w:r>
        <w:r>
          <w:instrText xml:space="preserve"> PAGEREF _Toc2841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50" w:history="1">
        <w:r>
          <w:rPr>
            <w:rFonts w:eastAsia="微软雅黑" w:hint="eastAsia"/>
            <w:snapToGrid/>
            <w:lang w:val="en-US" w:eastAsia="zh-CN"/>
          </w:rPr>
          <w:t>(五)、借助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行业渠道差异来寻求商机</w:t>
        </w:r>
        <w:r>
          <w:tab/>
        </w:r>
        <w:r>
          <w:fldChar w:fldCharType="begin"/>
        </w:r>
        <w:r>
          <w:instrText xml:space="preserve"> PAGEREF _Toc3050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7185" w:history="1">
        <w:r>
          <w:rPr>
            <w:rFonts w:eastAsia="微软雅黑" w:hint="eastAsia"/>
            <w:snapToGrid/>
            <w:lang w:val="en-US" w:eastAsia="en-US"/>
          </w:rPr>
          <w:t>九、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行业发展模式分析</w:t>
        </w:r>
        <w:r>
          <w:tab/>
        </w:r>
        <w:r>
          <w:fldChar w:fldCharType="begin"/>
        </w:r>
        <w:r>
          <w:instrText xml:space="preserve"> PAGEREF _Toc7185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869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行业地域有明显差异</w:t>
        </w:r>
        <w:r>
          <w:tab/>
        </w:r>
        <w:r>
          <w:fldChar w:fldCharType="begin"/>
        </w:r>
        <w:r>
          <w:instrText xml:space="preserve"> PAGEREF _Toc31869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718" w:history="1">
        <w:r>
          <w:rPr>
            <w:rFonts w:eastAsia="微软雅黑" w:hint="eastAsia"/>
            <w:snapToGrid/>
            <w:lang w:val="en-US" w:eastAsia="en-US"/>
          </w:rPr>
          <w:t>十、2024-2029年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_Toc3718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632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_Toc19632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152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_Toc19152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802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_Toc9802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305" w:history="1">
        <w:r>
          <w:rPr>
            <w:rFonts w:eastAsia="微软雅黑" w:hint="eastAsia"/>
            <w:snapToGrid/>
            <w:lang w:val="en-US" w:eastAsia="zh-CN"/>
          </w:rPr>
          <w:t>(四</w:t>
        </w:r>
        <w:r>
          <w:rPr>
            <w:rFonts w:eastAsia="微软雅黑" w:hint="eastAsia"/>
            <w:snapToGrid/>
            <w:lang w:val="en-US" w:eastAsia="zh-CN"/>
          </w:rPr>
          <w:t>)、不断提高产品质量，建立覆盖完善的服务体系</w:t>
        </w:r>
        <w:r>
          <w:tab/>
        </w:r>
        <w:r>
          <w:fldChar w:fldCharType="begin"/>
        </w:r>
        <w:r>
          <w:instrText xml:space="preserve"> PAGEREF _Toc21305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48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_Toc2948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109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_Toc28109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109" w:history="1">
        <w:r>
          <w:rPr>
            <w:rFonts w:eastAsia="微软雅黑" w:hint="eastAsia"/>
            <w:snapToGrid/>
            <w:lang w:val="en-US" w:eastAsia="en-US"/>
          </w:rPr>
          <w:t>十一、</w:t>
        </w:r>
        <w:r>
          <w:rPr>
            <w:rFonts w:eastAsia="微软雅黑" w:hint="eastAsia"/>
            <w:snapToGrid/>
            <w:lang w:val="en-US" w:eastAsia="en-US"/>
          </w:rPr>
          <w:t>公共安全设备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_Toc3109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023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_Toc28023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45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_Toc12453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45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公共安全设备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_Toc7453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3145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_Toc13145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9382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_Toc9382 \h </w:instrText>
        </w:r>
        <w:r>
          <w:fldChar w:fldCharType="separate"/>
        </w:r>
        <w:r>
          <w:t>35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https://d.book118.com/058021100065006023</w:t>
        </w:r>
      </w:hyperlink>
    </w:p>
    <w:p>
      <w:pPr>
        <w:pStyle w:val="TOC3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580211000650060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