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垃圾焚烧处理项目规划设计蓝图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02" w:history="1">
        <w:r>
          <w:rPr>
            <w:rFonts w:ascii="仿宋" w:eastAsia="仿宋" w:hAnsi="仿宋" w:cs="仿宋" w:hint="eastAsia"/>
            <w:lang w:eastAsia="zh-CN"/>
          </w:rPr>
          <w:t>序言</w:t>
        </w:r>
        <w:r>
          <w:tab/>
        </w:r>
        <w:r>
          <w:fldChar w:fldCharType="begin"/>
        </w:r>
        <w:r>
          <w:instrText xml:space="preserve"> PAGEREF _Toc16302 \h </w:instrText>
        </w:r>
        <w:r>
          <w:fldChar w:fldCharType="separate"/>
        </w:r>
        <w:r>
          <w:t>3</w:t>
        </w:r>
        <w:r>
          <w:fldChar w:fldCharType="end"/>
        </w:r>
      </w:hyperlink>
    </w:p>
    <w:p>
      <w:pPr>
        <w:pStyle w:val="TOC1"/>
        <w:tabs>
          <w:tab w:val="right" w:leader="dot" w:pos="8306"/>
        </w:tabs>
      </w:pPr>
      <w:hyperlink w:anchor="_Toc31790" w:history="1">
        <w:r>
          <w:rPr>
            <w:rFonts w:ascii="仿宋" w:eastAsia="仿宋" w:hAnsi="仿宋" w:cs="仿宋" w:hint="eastAsia"/>
            <w:lang w:eastAsia="zh-CN"/>
          </w:rPr>
          <w:t>一、垃圾焚烧处理项目绩效评估</w:t>
        </w:r>
        <w:r>
          <w:tab/>
        </w:r>
        <w:r>
          <w:fldChar w:fldCharType="begin"/>
        </w:r>
        <w:r>
          <w:instrText xml:space="preserve"> PAGEREF _Toc31790 \h </w:instrText>
        </w:r>
        <w:r>
          <w:fldChar w:fldCharType="separate"/>
        </w:r>
        <w:r>
          <w:t>3</w:t>
        </w:r>
        <w:r>
          <w:fldChar w:fldCharType="end"/>
        </w:r>
      </w:hyperlink>
    </w:p>
    <w:p>
      <w:pPr>
        <w:pStyle w:val="TOC2"/>
        <w:tabs>
          <w:tab w:val="right" w:leader="dot" w:pos="8306"/>
        </w:tabs>
      </w:pPr>
      <w:hyperlink w:anchor="_Toc22646" w:history="1">
        <w:r>
          <w:rPr>
            <w:rFonts w:ascii="仿宋" w:eastAsia="仿宋" w:hAnsi="仿宋" w:cs="仿宋" w:hint="eastAsia"/>
            <w:lang w:eastAsia="zh-CN"/>
          </w:rPr>
          <w:t>(一)、绩效评估指标</w:t>
        </w:r>
        <w:r>
          <w:tab/>
        </w:r>
        <w:r>
          <w:fldChar w:fldCharType="begin"/>
        </w:r>
        <w:r>
          <w:instrText xml:space="preserve"> PAGEREF _Toc22646 \h </w:instrText>
        </w:r>
        <w:r>
          <w:fldChar w:fldCharType="separate"/>
        </w:r>
        <w:r>
          <w:t>3</w:t>
        </w:r>
        <w:r>
          <w:fldChar w:fldCharType="end"/>
        </w:r>
      </w:hyperlink>
    </w:p>
    <w:p>
      <w:pPr>
        <w:pStyle w:val="TOC2"/>
        <w:tabs>
          <w:tab w:val="right" w:leader="dot" w:pos="8306"/>
        </w:tabs>
      </w:pPr>
      <w:hyperlink w:anchor="_Toc31223" w:history="1">
        <w:r>
          <w:rPr>
            <w:rFonts w:ascii="仿宋" w:eastAsia="仿宋" w:hAnsi="仿宋" w:cs="仿宋" w:hint="eastAsia"/>
            <w:lang w:eastAsia="zh-CN"/>
          </w:rPr>
          <w:t>(二)、绩效评估方法</w:t>
        </w:r>
        <w:r>
          <w:tab/>
        </w:r>
        <w:r>
          <w:fldChar w:fldCharType="begin"/>
        </w:r>
        <w:r>
          <w:instrText xml:space="preserve"> PAGEREF _Toc31223 \h </w:instrText>
        </w:r>
        <w:r>
          <w:fldChar w:fldCharType="separate"/>
        </w:r>
        <w:r>
          <w:t>4</w:t>
        </w:r>
        <w:r>
          <w:fldChar w:fldCharType="end"/>
        </w:r>
      </w:hyperlink>
    </w:p>
    <w:p>
      <w:pPr>
        <w:pStyle w:val="TOC2"/>
        <w:tabs>
          <w:tab w:val="right" w:leader="dot" w:pos="8306"/>
        </w:tabs>
      </w:pPr>
      <w:hyperlink w:anchor="_Toc28501" w:history="1">
        <w:r>
          <w:rPr>
            <w:rFonts w:ascii="仿宋" w:eastAsia="仿宋" w:hAnsi="仿宋" w:cs="仿宋" w:hint="eastAsia"/>
            <w:lang w:eastAsia="zh-CN"/>
          </w:rPr>
          <w:t>(三)、绩效评估周期</w:t>
        </w:r>
        <w:r>
          <w:tab/>
        </w:r>
        <w:r>
          <w:fldChar w:fldCharType="begin"/>
        </w:r>
        <w:r>
          <w:instrText xml:space="preserve"> PAGEREF _Toc28501 \h </w:instrText>
        </w:r>
        <w:r>
          <w:fldChar w:fldCharType="separate"/>
        </w:r>
        <w:r>
          <w:t>5</w:t>
        </w:r>
        <w:r>
          <w:fldChar w:fldCharType="end"/>
        </w:r>
      </w:hyperlink>
    </w:p>
    <w:p>
      <w:pPr>
        <w:pStyle w:val="TOC1"/>
        <w:tabs>
          <w:tab w:val="right" w:leader="dot" w:pos="8306"/>
        </w:tabs>
      </w:pPr>
      <w:hyperlink w:anchor="_Toc19147" w:history="1">
        <w:r>
          <w:rPr>
            <w:rFonts w:ascii="仿宋" w:eastAsia="仿宋" w:hAnsi="仿宋" w:cs="仿宋" w:hint="eastAsia"/>
            <w:lang w:eastAsia="zh-CN"/>
          </w:rPr>
          <w:t>二、市场分析、调研</w:t>
        </w:r>
        <w:r>
          <w:tab/>
        </w:r>
        <w:r>
          <w:fldChar w:fldCharType="begin"/>
        </w:r>
        <w:r>
          <w:instrText xml:space="preserve"> PAGEREF _Toc19147 \h </w:instrText>
        </w:r>
        <w:r>
          <w:fldChar w:fldCharType="separate"/>
        </w:r>
        <w:r>
          <w:t>6</w:t>
        </w:r>
        <w:r>
          <w:fldChar w:fldCharType="end"/>
        </w:r>
      </w:hyperlink>
    </w:p>
    <w:p>
      <w:pPr>
        <w:pStyle w:val="TOC2"/>
        <w:tabs>
          <w:tab w:val="right" w:leader="dot" w:pos="8306"/>
        </w:tabs>
      </w:pPr>
      <w:hyperlink w:anchor="_Toc27182" w:history="1">
        <w:r>
          <w:rPr>
            <w:rFonts w:ascii="仿宋" w:eastAsia="仿宋" w:hAnsi="仿宋" w:cs="仿宋" w:hint="eastAsia"/>
            <w:lang w:eastAsia="zh-CN"/>
          </w:rPr>
          <w:t>(一)、垃圾焚烧处理行业分析</w:t>
        </w:r>
        <w:r>
          <w:tab/>
        </w:r>
        <w:r>
          <w:fldChar w:fldCharType="begin"/>
        </w:r>
        <w:r>
          <w:instrText xml:space="preserve"> PAGEREF _Toc27182 \h </w:instrText>
        </w:r>
        <w:r>
          <w:fldChar w:fldCharType="separate"/>
        </w:r>
        <w:r>
          <w:t>6</w:t>
        </w:r>
        <w:r>
          <w:fldChar w:fldCharType="end"/>
        </w:r>
      </w:hyperlink>
    </w:p>
    <w:p>
      <w:pPr>
        <w:pStyle w:val="TOC2"/>
        <w:tabs>
          <w:tab w:val="right" w:leader="dot" w:pos="8306"/>
        </w:tabs>
      </w:pPr>
      <w:hyperlink w:anchor="_Toc2406" w:history="1">
        <w:r>
          <w:rPr>
            <w:rFonts w:ascii="仿宋" w:eastAsia="仿宋" w:hAnsi="仿宋" w:cs="仿宋" w:hint="eastAsia"/>
            <w:lang w:eastAsia="zh-CN"/>
          </w:rPr>
          <w:t>(二)、垃圾焚烧处理市场分析预测</w:t>
        </w:r>
        <w:r>
          <w:tab/>
        </w:r>
        <w:r>
          <w:fldChar w:fldCharType="begin"/>
        </w:r>
        <w:r>
          <w:instrText xml:space="preserve"> PAGEREF _Toc2406 \h </w:instrText>
        </w:r>
        <w:r>
          <w:fldChar w:fldCharType="separate"/>
        </w:r>
        <w:r>
          <w:t>7</w:t>
        </w:r>
        <w:r>
          <w:fldChar w:fldCharType="end"/>
        </w:r>
      </w:hyperlink>
    </w:p>
    <w:p>
      <w:pPr>
        <w:pStyle w:val="TOC1"/>
        <w:tabs>
          <w:tab w:val="right" w:leader="dot" w:pos="8306"/>
        </w:tabs>
      </w:pPr>
      <w:hyperlink w:anchor="_Toc15242" w:history="1">
        <w:r>
          <w:rPr>
            <w:rFonts w:ascii="仿宋" w:eastAsia="仿宋" w:hAnsi="仿宋" w:cs="仿宋" w:hint="eastAsia"/>
            <w:lang w:eastAsia="zh-CN"/>
          </w:rPr>
          <w:t>三、垃圾焚烧处理项目土建工程</w:t>
        </w:r>
        <w:r>
          <w:tab/>
        </w:r>
        <w:r>
          <w:fldChar w:fldCharType="begin"/>
        </w:r>
        <w:r>
          <w:instrText xml:space="preserve"> PAGEREF _Toc15242 \h </w:instrText>
        </w:r>
        <w:r>
          <w:fldChar w:fldCharType="separate"/>
        </w:r>
        <w:r>
          <w:t>8</w:t>
        </w:r>
        <w:r>
          <w:fldChar w:fldCharType="end"/>
        </w:r>
      </w:hyperlink>
    </w:p>
    <w:p>
      <w:pPr>
        <w:pStyle w:val="TOC2"/>
        <w:tabs>
          <w:tab w:val="right" w:leader="dot" w:pos="8306"/>
        </w:tabs>
      </w:pPr>
      <w:hyperlink w:anchor="_Toc7657" w:history="1">
        <w:r>
          <w:rPr>
            <w:rFonts w:ascii="仿宋" w:eastAsia="仿宋" w:hAnsi="仿宋" w:cs="仿宋" w:hint="eastAsia"/>
            <w:lang w:eastAsia="zh-CN"/>
          </w:rPr>
          <w:t>(一)、建筑工程设计原则</w:t>
        </w:r>
        <w:r>
          <w:tab/>
        </w:r>
        <w:r>
          <w:fldChar w:fldCharType="begin"/>
        </w:r>
        <w:r>
          <w:instrText xml:space="preserve"> PAGEREF _Toc7657 \h </w:instrText>
        </w:r>
        <w:r>
          <w:fldChar w:fldCharType="separate"/>
        </w:r>
        <w:r>
          <w:t>8</w:t>
        </w:r>
        <w:r>
          <w:fldChar w:fldCharType="end"/>
        </w:r>
      </w:hyperlink>
    </w:p>
    <w:p>
      <w:pPr>
        <w:pStyle w:val="TOC2"/>
        <w:tabs>
          <w:tab w:val="right" w:leader="dot" w:pos="8306"/>
        </w:tabs>
      </w:pPr>
      <w:hyperlink w:anchor="_Toc21467" w:history="1">
        <w:r>
          <w:rPr>
            <w:rFonts w:ascii="仿宋" w:eastAsia="仿宋" w:hAnsi="仿宋" w:cs="仿宋" w:hint="eastAsia"/>
            <w:lang w:eastAsia="zh-CN"/>
          </w:rPr>
          <w:t>(二)、土建工程设计年限及安全等级</w:t>
        </w:r>
        <w:r>
          <w:tab/>
        </w:r>
        <w:r>
          <w:fldChar w:fldCharType="begin"/>
        </w:r>
        <w:r>
          <w:instrText xml:space="preserve"> PAGEREF _Toc21467 \h </w:instrText>
        </w:r>
        <w:r>
          <w:fldChar w:fldCharType="separate"/>
        </w:r>
        <w:r>
          <w:t>9</w:t>
        </w:r>
        <w:r>
          <w:fldChar w:fldCharType="end"/>
        </w:r>
      </w:hyperlink>
    </w:p>
    <w:p>
      <w:pPr>
        <w:pStyle w:val="TOC2"/>
        <w:tabs>
          <w:tab w:val="right" w:leader="dot" w:pos="8306"/>
        </w:tabs>
      </w:pPr>
      <w:hyperlink w:anchor="_Toc1160" w:history="1">
        <w:r>
          <w:rPr>
            <w:rFonts w:ascii="仿宋" w:eastAsia="仿宋" w:hAnsi="仿宋" w:cs="仿宋" w:hint="eastAsia"/>
            <w:lang w:eastAsia="zh-CN"/>
          </w:rPr>
          <w:t>(三)、建筑工程设计总体要求</w:t>
        </w:r>
        <w:r>
          <w:tab/>
        </w:r>
        <w:r>
          <w:fldChar w:fldCharType="begin"/>
        </w:r>
        <w:r>
          <w:instrText xml:space="preserve"> PAGEREF _Toc1160 \h </w:instrText>
        </w:r>
        <w:r>
          <w:fldChar w:fldCharType="separate"/>
        </w:r>
        <w:r>
          <w:t>10</w:t>
        </w:r>
        <w:r>
          <w:fldChar w:fldCharType="end"/>
        </w:r>
      </w:hyperlink>
    </w:p>
    <w:p>
      <w:pPr>
        <w:pStyle w:val="TOC2"/>
        <w:tabs>
          <w:tab w:val="right" w:leader="dot" w:pos="8306"/>
        </w:tabs>
      </w:pPr>
      <w:hyperlink w:anchor="_Toc32230" w:history="1">
        <w:r>
          <w:rPr>
            <w:rFonts w:ascii="仿宋" w:eastAsia="仿宋" w:hAnsi="仿宋" w:cs="仿宋" w:hint="eastAsia"/>
            <w:lang w:eastAsia="zh-CN"/>
          </w:rPr>
          <w:t>(四)、土建工程建设指标</w:t>
        </w:r>
        <w:r>
          <w:tab/>
        </w:r>
        <w:r>
          <w:fldChar w:fldCharType="begin"/>
        </w:r>
        <w:r>
          <w:instrText xml:space="preserve"> PAGEREF _Toc32230 \h </w:instrText>
        </w:r>
        <w:r>
          <w:fldChar w:fldCharType="separate"/>
        </w:r>
        <w:r>
          <w:t>11</w:t>
        </w:r>
        <w:r>
          <w:fldChar w:fldCharType="end"/>
        </w:r>
      </w:hyperlink>
    </w:p>
    <w:p>
      <w:pPr>
        <w:pStyle w:val="TOC1"/>
        <w:tabs>
          <w:tab w:val="right" w:leader="dot" w:pos="8306"/>
        </w:tabs>
      </w:pPr>
      <w:hyperlink w:anchor="_Toc9935" w:history="1">
        <w:r>
          <w:rPr>
            <w:rFonts w:ascii="仿宋" w:eastAsia="仿宋" w:hAnsi="仿宋" w:cs="仿宋" w:hint="eastAsia"/>
            <w:lang w:eastAsia="zh-CN"/>
          </w:rPr>
          <w:t>四、垃圾焚烧处理项目建设单位说明</w:t>
        </w:r>
        <w:r>
          <w:tab/>
        </w:r>
        <w:r>
          <w:fldChar w:fldCharType="begin"/>
        </w:r>
        <w:r>
          <w:instrText xml:space="preserve"> PAGEREF _Toc9935 \h </w:instrText>
        </w:r>
        <w:r>
          <w:fldChar w:fldCharType="separate"/>
        </w:r>
        <w:r>
          <w:t>11</w:t>
        </w:r>
        <w:r>
          <w:fldChar w:fldCharType="end"/>
        </w:r>
      </w:hyperlink>
    </w:p>
    <w:p>
      <w:pPr>
        <w:pStyle w:val="TOC2"/>
        <w:tabs>
          <w:tab w:val="right" w:leader="dot" w:pos="8306"/>
        </w:tabs>
      </w:pPr>
      <w:hyperlink w:anchor="_Toc1913" w:history="1">
        <w:r>
          <w:rPr>
            <w:rFonts w:ascii="仿宋" w:eastAsia="仿宋" w:hAnsi="仿宋" w:cs="仿宋" w:hint="eastAsia"/>
            <w:lang w:eastAsia="zh-CN"/>
          </w:rPr>
          <w:t>(一)、垃圾焚烧处理项目承办单位基本情况</w:t>
        </w:r>
        <w:r>
          <w:tab/>
        </w:r>
        <w:r>
          <w:fldChar w:fldCharType="begin"/>
        </w:r>
        <w:r>
          <w:instrText xml:space="preserve"> PAGEREF _Toc1913 \h </w:instrText>
        </w:r>
        <w:r>
          <w:fldChar w:fldCharType="separate"/>
        </w:r>
        <w:r>
          <w:t>11</w:t>
        </w:r>
        <w:r>
          <w:fldChar w:fldCharType="end"/>
        </w:r>
      </w:hyperlink>
    </w:p>
    <w:p>
      <w:pPr>
        <w:pStyle w:val="TOC2"/>
        <w:tabs>
          <w:tab w:val="right" w:leader="dot" w:pos="8306"/>
        </w:tabs>
      </w:pPr>
      <w:hyperlink w:anchor="_Toc17406" w:history="1">
        <w:r>
          <w:rPr>
            <w:rFonts w:ascii="仿宋" w:eastAsia="仿宋" w:hAnsi="仿宋" w:cs="仿宋" w:hint="eastAsia"/>
            <w:lang w:eastAsia="zh-CN"/>
          </w:rPr>
          <w:t>(二)、公司经济效益分析</w:t>
        </w:r>
        <w:r>
          <w:tab/>
        </w:r>
        <w:r>
          <w:fldChar w:fldCharType="begin"/>
        </w:r>
        <w:r>
          <w:instrText xml:space="preserve"> PAGEREF _Toc17406 \h </w:instrText>
        </w:r>
        <w:r>
          <w:fldChar w:fldCharType="separate"/>
        </w:r>
        <w:r>
          <w:t>12</w:t>
        </w:r>
        <w:r>
          <w:fldChar w:fldCharType="end"/>
        </w:r>
      </w:hyperlink>
    </w:p>
    <w:p>
      <w:pPr>
        <w:pStyle w:val="TOC1"/>
        <w:tabs>
          <w:tab w:val="right" w:leader="dot" w:pos="8306"/>
        </w:tabs>
      </w:pPr>
      <w:hyperlink w:anchor="_Toc24791" w:history="1">
        <w:r>
          <w:rPr>
            <w:rFonts w:ascii="仿宋" w:eastAsia="仿宋" w:hAnsi="仿宋" w:cs="仿宋" w:hint="eastAsia"/>
            <w:lang w:eastAsia="zh-CN"/>
          </w:rPr>
          <w:t>五、垃圾焚烧处理项目建设背景及必要性分析</w:t>
        </w:r>
        <w:r>
          <w:tab/>
        </w:r>
        <w:r>
          <w:fldChar w:fldCharType="begin"/>
        </w:r>
        <w:r>
          <w:instrText xml:space="preserve"> PAGEREF _Toc24791 \h </w:instrText>
        </w:r>
        <w:r>
          <w:fldChar w:fldCharType="separate"/>
        </w:r>
        <w:r>
          <w:t>13</w:t>
        </w:r>
        <w:r>
          <w:fldChar w:fldCharType="end"/>
        </w:r>
      </w:hyperlink>
    </w:p>
    <w:p>
      <w:pPr>
        <w:pStyle w:val="TOC2"/>
        <w:tabs>
          <w:tab w:val="right" w:leader="dot" w:pos="8306"/>
        </w:tabs>
      </w:pPr>
      <w:hyperlink w:anchor="_Toc2373" w:history="1">
        <w:r>
          <w:rPr>
            <w:rFonts w:ascii="仿宋" w:eastAsia="仿宋" w:hAnsi="仿宋" w:cs="仿宋" w:hint="eastAsia"/>
            <w:lang w:eastAsia="zh-CN"/>
          </w:rPr>
          <w:t>(一)、垃圾焚烧处理项目背景分析</w:t>
        </w:r>
        <w:r>
          <w:tab/>
        </w:r>
        <w:r>
          <w:fldChar w:fldCharType="begin"/>
        </w:r>
        <w:r>
          <w:instrText xml:space="preserve"> PAGEREF _Toc2373 \h </w:instrText>
        </w:r>
        <w:r>
          <w:fldChar w:fldCharType="separate"/>
        </w:r>
        <w:r>
          <w:t>13</w:t>
        </w:r>
        <w:r>
          <w:fldChar w:fldCharType="end"/>
        </w:r>
      </w:hyperlink>
    </w:p>
    <w:p>
      <w:pPr>
        <w:pStyle w:val="TOC2"/>
        <w:tabs>
          <w:tab w:val="right" w:leader="dot" w:pos="8306"/>
        </w:tabs>
      </w:pPr>
      <w:hyperlink w:anchor="_Toc28800" w:history="1">
        <w:r>
          <w:rPr>
            <w:rFonts w:ascii="仿宋" w:eastAsia="仿宋" w:hAnsi="仿宋" w:cs="仿宋" w:hint="eastAsia"/>
            <w:lang w:eastAsia="zh-CN"/>
          </w:rPr>
          <w:t>(二)、垃圾焚烧处理项目建设必要性分析</w:t>
        </w:r>
        <w:r>
          <w:tab/>
        </w:r>
        <w:r>
          <w:fldChar w:fldCharType="begin"/>
        </w:r>
        <w:r>
          <w:instrText xml:space="preserve"> PAGEREF _Toc28800 \h </w:instrText>
        </w:r>
        <w:r>
          <w:fldChar w:fldCharType="separate"/>
        </w:r>
        <w:r>
          <w:t>14</w:t>
        </w:r>
        <w:r>
          <w:fldChar w:fldCharType="end"/>
        </w:r>
      </w:hyperlink>
    </w:p>
    <w:p>
      <w:pPr>
        <w:pStyle w:val="TOC1"/>
        <w:tabs>
          <w:tab w:val="right" w:leader="dot" w:pos="8306"/>
        </w:tabs>
      </w:pPr>
      <w:hyperlink w:anchor="_Toc16619" w:history="1">
        <w:r>
          <w:rPr>
            <w:rFonts w:ascii="仿宋" w:eastAsia="仿宋" w:hAnsi="仿宋" w:cs="仿宋" w:hint="eastAsia"/>
            <w:lang w:eastAsia="zh-CN"/>
          </w:rPr>
          <w:t>六、工艺说明</w:t>
        </w:r>
        <w:r>
          <w:tab/>
        </w:r>
        <w:r>
          <w:fldChar w:fldCharType="begin"/>
        </w:r>
        <w:r>
          <w:instrText xml:space="preserve"> PAGEREF _Toc16619 \h </w:instrText>
        </w:r>
        <w:r>
          <w:fldChar w:fldCharType="separate"/>
        </w:r>
        <w:r>
          <w:t>16</w:t>
        </w:r>
        <w:r>
          <w:fldChar w:fldCharType="end"/>
        </w:r>
      </w:hyperlink>
    </w:p>
    <w:p>
      <w:pPr>
        <w:pStyle w:val="TOC2"/>
        <w:tabs>
          <w:tab w:val="right" w:leader="dot" w:pos="8306"/>
        </w:tabs>
      </w:pPr>
      <w:hyperlink w:anchor="_Toc1602" w:history="1">
        <w:r>
          <w:rPr>
            <w:rFonts w:ascii="仿宋" w:eastAsia="仿宋" w:hAnsi="仿宋" w:cs="仿宋" w:hint="eastAsia"/>
            <w:lang w:eastAsia="zh-CN"/>
          </w:rPr>
          <w:t>(一)、技术管理特点</w:t>
        </w:r>
        <w:r>
          <w:tab/>
        </w:r>
        <w:r>
          <w:fldChar w:fldCharType="begin"/>
        </w:r>
        <w:r>
          <w:instrText xml:space="preserve"> PAGEREF _Toc1602 \h </w:instrText>
        </w:r>
        <w:r>
          <w:fldChar w:fldCharType="separate"/>
        </w:r>
        <w:r>
          <w:t>16</w:t>
        </w:r>
        <w:r>
          <w:fldChar w:fldCharType="end"/>
        </w:r>
      </w:hyperlink>
    </w:p>
    <w:p>
      <w:pPr>
        <w:pStyle w:val="TOC2"/>
        <w:tabs>
          <w:tab w:val="right" w:leader="dot" w:pos="8306"/>
        </w:tabs>
      </w:pPr>
      <w:hyperlink w:anchor="_Toc30630" w:history="1">
        <w:r>
          <w:rPr>
            <w:rFonts w:ascii="仿宋" w:eastAsia="仿宋" w:hAnsi="仿宋" w:cs="仿宋" w:hint="eastAsia"/>
            <w:lang w:eastAsia="zh-CN"/>
          </w:rPr>
          <w:t>(二)、垃圾焚烧处理项目工艺技术设计方案</w:t>
        </w:r>
        <w:r>
          <w:tab/>
        </w:r>
        <w:r>
          <w:fldChar w:fldCharType="begin"/>
        </w:r>
        <w:r>
          <w:instrText xml:space="preserve"> PAGEREF _Toc30630 \h </w:instrText>
        </w:r>
        <w:r>
          <w:fldChar w:fldCharType="separate"/>
        </w:r>
        <w:r>
          <w:t>17</w:t>
        </w:r>
        <w:r>
          <w:fldChar w:fldCharType="end"/>
        </w:r>
      </w:hyperlink>
    </w:p>
    <w:p>
      <w:pPr>
        <w:pStyle w:val="TOC2"/>
        <w:tabs>
          <w:tab w:val="right" w:leader="dot" w:pos="8306"/>
        </w:tabs>
      </w:pPr>
      <w:hyperlink w:anchor="_Toc28591" w:history="1">
        <w:r>
          <w:rPr>
            <w:rFonts w:ascii="仿宋" w:eastAsia="仿宋" w:hAnsi="仿宋" w:cs="仿宋" w:hint="eastAsia"/>
            <w:lang w:eastAsia="zh-CN"/>
          </w:rPr>
          <w:t>(三)、设备选型方案</w:t>
        </w:r>
        <w:r>
          <w:tab/>
        </w:r>
        <w:r>
          <w:fldChar w:fldCharType="begin"/>
        </w:r>
        <w:r>
          <w:instrText xml:space="preserve"> PAGEREF _Toc28591 \h </w:instrText>
        </w:r>
        <w:r>
          <w:fldChar w:fldCharType="separate"/>
        </w:r>
        <w:r>
          <w:t>18</w:t>
        </w:r>
        <w:r>
          <w:fldChar w:fldCharType="end"/>
        </w:r>
      </w:hyperlink>
    </w:p>
    <w:p>
      <w:pPr>
        <w:pStyle w:val="TOC1"/>
        <w:tabs>
          <w:tab w:val="right" w:leader="dot" w:pos="8306"/>
        </w:tabs>
      </w:pPr>
      <w:hyperlink w:anchor="_Toc12713" w:history="1">
        <w:r>
          <w:rPr>
            <w:rFonts w:ascii="仿宋" w:eastAsia="仿宋" w:hAnsi="仿宋" w:cs="仿宋" w:hint="eastAsia"/>
            <w:lang w:eastAsia="zh-CN"/>
          </w:rPr>
          <w:t>七、垃圾焚烧处理项目计划安排</w:t>
        </w:r>
        <w:r>
          <w:tab/>
        </w:r>
        <w:r>
          <w:fldChar w:fldCharType="begin"/>
        </w:r>
        <w:r>
          <w:instrText xml:space="preserve"> PAGEREF _Toc12713 \h </w:instrText>
        </w:r>
        <w:r>
          <w:fldChar w:fldCharType="separate"/>
        </w:r>
        <w:r>
          <w:t>20</w:t>
        </w:r>
        <w:r>
          <w:fldChar w:fldCharType="end"/>
        </w:r>
      </w:hyperlink>
    </w:p>
    <w:p>
      <w:pPr>
        <w:pStyle w:val="TOC2"/>
        <w:tabs>
          <w:tab w:val="right" w:leader="dot" w:pos="8306"/>
        </w:tabs>
      </w:pPr>
      <w:hyperlink w:anchor="_Toc365" w:history="1">
        <w:r>
          <w:rPr>
            <w:rFonts w:ascii="仿宋" w:eastAsia="仿宋" w:hAnsi="仿宋" w:cs="仿宋" w:hint="eastAsia"/>
            <w:lang w:eastAsia="zh-CN"/>
          </w:rPr>
          <w:t>(一)、建设周期</w:t>
        </w:r>
        <w:r>
          <w:tab/>
        </w:r>
        <w:r>
          <w:fldChar w:fldCharType="begin"/>
        </w:r>
        <w:r>
          <w:instrText xml:space="preserve"> PAGEREF _Toc365 \h </w:instrText>
        </w:r>
        <w:r>
          <w:fldChar w:fldCharType="separate"/>
        </w:r>
        <w:r>
          <w:t>20</w:t>
        </w:r>
        <w:r>
          <w:fldChar w:fldCharType="end"/>
        </w:r>
      </w:hyperlink>
    </w:p>
    <w:p>
      <w:pPr>
        <w:pStyle w:val="TOC2"/>
        <w:tabs>
          <w:tab w:val="right" w:leader="dot" w:pos="8306"/>
        </w:tabs>
      </w:pPr>
      <w:hyperlink w:anchor="_Toc21815" w:history="1">
        <w:r>
          <w:rPr>
            <w:rFonts w:ascii="仿宋" w:eastAsia="仿宋" w:hAnsi="仿宋" w:cs="仿宋" w:hint="eastAsia"/>
            <w:lang w:eastAsia="zh-CN"/>
          </w:rPr>
          <w:t>(二)、建设进度</w:t>
        </w:r>
        <w:r>
          <w:tab/>
        </w:r>
        <w:r>
          <w:fldChar w:fldCharType="begin"/>
        </w:r>
        <w:r>
          <w:instrText xml:space="preserve"> PAGEREF _Toc21815 \h </w:instrText>
        </w:r>
        <w:r>
          <w:fldChar w:fldCharType="separate"/>
        </w:r>
        <w:r>
          <w:t>20</w:t>
        </w:r>
        <w:r>
          <w:fldChar w:fldCharType="end"/>
        </w:r>
      </w:hyperlink>
    </w:p>
    <w:p>
      <w:pPr>
        <w:pStyle w:val="TOC2"/>
        <w:tabs>
          <w:tab w:val="right" w:leader="dot" w:pos="8306"/>
        </w:tabs>
      </w:pPr>
      <w:hyperlink w:anchor="_Toc17416" w:history="1">
        <w:r>
          <w:rPr>
            <w:rFonts w:ascii="仿宋" w:eastAsia="仿宋" w:hAnsi="仿宋" w:cs="仿宋" w:hint="eastAsia"/>
            <w:lang w:eastAsia="zh-CN"/>
          </w:rPr>
          <w:t>(三)、进度安排注意事项</w:t>
        </w:r>
        <w:r>
          <w:tab/>
        </w:r>
        <w:r>
          <w:fldChar w:fldCharType="begin"/>
        </w:r>
        <w:r>
          <w:instrText xml:space="preserve"> PAGEREF _Toc17416 \h </w:instrText>
        </w:r>
        <w:r>
          <w:fldChar w:fldCharType="separate"/>
        </w:r>
        <w:r>
          <w:t>21</w:t>
        </w:r>
        <w:r>
          <w:fldChar w:fldCharType="end"/>
        </w:r>
      </w:hyperlink>
    </w:p>
    <w:p>
      <w:pPr>
        <w:pStyle w:val="TOC2"/>
        <w:tabs>
          <w:tab w:val="right" w:leader="dot" w:pos="8306"/>
        </w:tabs>
      </w:pPr>
      <w:hyperlink w:anchor="_Toc24251" w:history="1">
        <w:r>
          <w:rPr>
            <w:rFonts w:ascii="仿宋" w:eastAsia="仿宋" w:hAnsi="仿宋" w:cs="仿宋" w:hint="eastAsia"/>
            <w:lang w:eastAsia="zh-CN"/>
          </w:rPr>
          <w:t>(四)、人力资源配置</w:t>
        </w:r>
        <w:r>
          <w:tab/>
        </w:r>
        <w:r>
          <w:fldChar w:fldCharType="begin"/>
        </w:r>
        <w:r>
          <w:instrText xml:space="preserve"> PAGEREF _Toc24251 \h </w:instrText>
        </w:r>
        <w:r>
          <w:fldChar w:fldCharType="separate"/>
        </w:r>
        <w:r>
          <w:t>23</w:t>
        </w:r>
        <w:r>
          <w:fldChar w:fldCharType="end"/>
        </w:r>
      </w:hyperlink>
    </w:p>
    <w:p>
      <w:pPr>
        <w:pStyle w:val="TOC1"/>
        <w:tabs>
          <w:tab w:val="right" w:leader="dot" w:pos="8306"/>
        </w:tabs>
      </w:pPr>
      <w:hyperlink w:anchor="_Toc10269" w:history="1">
        <w:r>
          <w:rPr>
            <w:rFonts w:ascii="仿宋" w:eastAsia="仿宋" w:hAnsi="仿宋" w:cs="仿宋" w:hint="eastAsia"/>
            <w:lang w:eastAsia="zh-CN"/>
          </w:rPr>
          <w:t>八、垃圾焚烧处理项目经营效益</w:t>
        </w:r>
        <w:r>
          <w:tab/>
        </w:r>
        <w:r>
          <w:fldChar w:fldCharType="begin"/>
        </w:r>
        <w:r>
          <w:instrText xml:space="preserve"> PAGEREF _Toc10269 \h </w:instrText>
        </w:r>
        <w:r>
          <w:fldChar w:fldCharType="separate"/>
        </w:r>
        <w:r>
          <w:t>24</w:t>
        </w:r>
        <w:r>
          <w:fldChar w:fldCharType="end"/>
        </w:r>
      </w:hyperlink>
    </w:p>
    <w:p>
      <w:pPr>
        <w:pStyle w:val="TOC2"/>
        <w:tabs>
          <w:tab w:val="right" w:leader="dot" w:pos="8306"/>
        </w:tabs>
      </w:pPr>
      <w:hyperlink w:anchor="_Toc21175" w:history="1">
        <w:r>
          <w:rPr>
            <w:rFonts w:ascii="仿宋" w:eastAsia="仿宋" w:hAnsi="仿宋" w:cs="仿宋" w:hint="eastAsia"/>
            <w:lang w:eastAsia="zh-CN"/>
          </w:rPr>
          <w:t>(一)、经济评价财务测算</w:t>
        </w:r>
        <w:r>
          <w:tab/>
        </w:r>
        <w:r>
          <w:fldChar w:fldCharType="begin"/>
        </w:r>
        <w:r>
          <w:instrText xml:space="preserve"> PAGEREF _Toc21175 \h </w:instrText>
        </w:r>
        <w:r>
          <w:fldChar w:fldCharType="separate"/>
        </w:r>
        <w:r>
          <w:t>24</w:t>
        </w:r>
        <w:r>
          <w:fldChar w:fldCharType="end"/>
        </w:r>
      </w:hyperlink>
    </w:p>
    <w:p>
      <w:pPr>
        <w:pStyle w:val="TOC2"/>
        <w:tabs>
          <w:tab w:val="right" w:leader="dot" w:pos="8306"/>
        </w:tabs>
      </w:pPr>
      <w:hyperlink w:anchor="_Toc1308" w:history="1">
        <w:r>
          <w:rPr>
            <w:rFonts w:ascii="仿宋" w:eastAsia="仿宋" w:hAnsi="仿宋" w:cs="仿宋" w:hint="eastAsia"/>
            <w:lang w:eastAsia="zh-CN"/>
          </w:rPr>
          <w:t>(二)、垃圾焚烧处理项目盈利能力分析</w:t>
        </w:r>
        <w:r>
          <w:tab/>
        </w:r>
        <w:r>
          <w:fldChar w:fldCharType="begin"/>
        </w:r>
        <w:r>
          <w:instrText xml:space="preserve"> PAGEREF _Toc1308 \h </w:instrText>
        </w:r>
        <w:r>
          <w:fldChar w:fldCharType="separate"/>
        </w:r>
        <w:r>
          <w:t>25</w:t>
        </w:r>
        <w:r>
          <w:fldChar w:fldCharType="end"/>
        </w:r>
      </w:hyperlink>
    </w:p>
    <w:p>
      <w:pPr>
        <w:pStyle w:val="TOC1"/>
        <w:tabs>
          <w:tab w:val="right" w:leader="dot" w:pos="8306"/>
        </w:tabs>
      </w:pPr>
      <w:hyperlink w:anchor="_Toc17411" w:history="1">
        <w:r>
          <w:rPr>
            <w:rFonts w:ascii="仿宋" w:eastAsia="仿宋" w:hAnsi="仿宋" w:cs="仿宋" w:hint="eastAsia"/>
            <w:lang w:eastAsia="zh-CN"/>
          </w:rPr>
          <w:t>九、生产安全保护</w:t>
        </w:r>
        <w:r>
          <w:tab/>
        </w:r>
        <w:r>
          <w:fldChar w:fldCharType="begin"/>
        </w:r>
        <w:r>
          <w:instrText xml:space="preserve"> PAGEREF _Toc17411 \h </w:instrText>
        </w:r>
        <w:r>
          <w:fldChar w:fldCharType="separate"/>
        </w:r>
        <w:r>
          <w:t>26</w:t>
        </w:r>
        <w:r>
          <w:fldChar w:fldCharType="end"/>
        </w:r>
      </w:hyperlink>
    </w:p>
    <w:p>
      <w:pPr>
        <w:pStyle w:val="TOC2"/>
        <w:tabs>
          <w:tab w:val="right" w:leader="dot" w:pos="8306"/>
        </w:tabs>
      </w:pPr>
      <w:hyperlink w:anchor="_Toc32507" w:history="1">
        <w:r>
          <w:rPr>
            <w:rFonts w:ascii="仿宋" w:eastAsia="仿宋" w:hAnsi="仿宋" w:cs="仿宋" w:hint="eastAsia"/>
            <w:lang w:eastAsia="zh-CN"/>
          </w:rPr>
          <w:t>(一)、消防安全</w:t>
        </w:r>
        <w:r>
          <w:tab/>
        </w:r>
        <w:r>
          <w:fldChar w:fldCharType="begin"/>
        </w:r>
        <w:r>
          <w:instrText xml:space="preserve"> PAGEREF _Toc32507 \h </w:instrText>
        </w:r>
        <w:r>
          <w:fldChar w:fldCharType="separate"/>
        </w:r>
        <w:r>
          <w:t>26</w:t>
        </w:r>
        <w:r>
          <w:fldChar w:fldCharType="end"/>
        </w:r>
      </w:hyperlink>
    </w:p>
    <w:p>
      <w:pPr>
        <w:pStyle w:val="TOC2"/>
        <w:tabs>
          <w:tab w:val="right" w:leader="dot" w:pos="8306"/>
        </w:tabs>
      </w:pPr>
      <w:hyperlink w:anchor="_Toc14647" w:history="1">
        <w:r>
          <w:rPr>
            <w:rFonts w:ascii="仿宋" w:eastAsia="仿宋" w:hAnsi="仿宋" w:cs="仿宋" w:hint="eastAsia"/>
            <w:lang w:eastAsia="zh-CN"/>
          </w:rPr>
          <w:t>(二)、防火防爆总图布置措施</w:t>
        </w:r>
        <w:r>
          <w:tab/>
        </w:r>
        <w:r>
          <w:fldChar w:fldCharType="begin"/>
        </w:r>
        <w:r>
          <w:instrText xml:space="preserve"> PAGEREF _Toc14647 \h </w:instrText>
        </w:r>
        <w:r>
          <w:fldChar w:fldCharType="separate"/>
        </w:r>
        <w:r>
          <w:t>28</w:t>
        </w:r>
        <w:r>
          <w:fldChar w:fldCharType="end"/>
        </w:r>
      </w:hyperlink>
    </w:p>
    <w:p>
      <w:pPr>
        <w:pStyle w:val="TOC2"/>
        <w:tabs>
          <w:tab w:val="right" w:leader="dot" w:pos="8306"/>
        </w:tabs>
      </w:pPr>
      <w:hyperlink w:anchor="_Toc4744" w:history="1">
        <w:r>
          <w:rPr>
            <w:rFonts w:ascii="仿宋" w:eastAsia="仿宋" w:hAnsi="仿宋" w:cs="仿宋" w:hint="eastAsia"/>
            <w:lang w:eastAsia="zh-CN"/>
          </w:rPr>
          <w:t>(三)、自然灾害防范措施</w:t>
        </w:r>
        <w:r>
          <w:tab/>
        </w:r>
        <w:r>
          <w:fldChar w:fldCharType="begin"/>
        </w:r>
        <w:r>
          <w:instrText xml:space="preserve"> PAGEREF _Toc4744 \h </w:instrText>
        </w:r>
        <w:r>
          <w:fldChar w:fldCharType="separate"/>
        </w:r>
        <w:r>
          <w:t>28</w:t>
        </w:r>
        <w:r>
          <w:fldChar w:fldCharType="end"/>
        </w:r>
      </w:hyperlink>
    </w:p>
    <w:p>
      <w:pPr>
        <w:pStyle w:val="TOC2"/>
        <w:tabs>
          <w:tab w:val="right" w:leader="dot" w:pos="8306"/>
        </w:tabs>
      </w:pPr>
      <w:hyperlink w:anchor="_Toc21045" w:history="1">
        <w:r>
          <w:rPr>
            <w:rFonts w:ascii="仿宋" w:eastAsia="仿宋" w:hAnsi="仿宋" w:cs="仿宋" w:hint="eastAsia"/>
            <w:lang w:eastAsia="zh-CN"/>
          </w:rPr>
          <w:t>(四)、安全色及安全标志使用要求</w:t>
        </w:r>
        <w:r>
          <w:tab/>
        </w:r>
        <w:r>
          <w:fldChar w:fldCharType="begin"/>
        </w:r>
        <w:r>
          <w:instrText xml:space="preserve"> PAGEREF _Toc21045 \h </w:instrText>
        </w:r>
        <w:r>
          <w:fldChar w:fldCharType="separate"/>
        </w:r>
        <w:r>
          <w:t>29</w:t>
        </w:r>
        <w:r>
          <w:fldChar w:fldCharType="end"/>
        </w:r>
      </w:hyperlink>
    </w:p>
    <w:p>
      <w:pPr>
        <w:pStyle w:val="TOC2"/>
        <w:tabs>
          <w:tab w:val="right" w:leader="dot" w:pos="8306"/>
        </w:tabs>
      </w:pPr>
      <w:hyperlink w:anchor="_Toc17724" w:history="1">
        <w:r>
          <w:rPr>
            <w:rFonts w:ascii="仿宋" w:eastAsia="仿宋" w:hAnsi="仿宋" w:cs="仿宋" w:hint="eastAsia"/>
            <w:lang w:eastAsia="zh-CN"/>
          </w:rPr>
          <w:t>(五)、防尘防毒措施</w:t>
        </w:r>
        <w:r>
          <w:tab/>
        </w:r>
        <w:r>
          <w:fldChar w:fldCharType="begin"/>
        </w:r>
        <w:r>
          <w:instrText xml:space="preserve"> PAGEREF _Toc17724 \h </w:instrText>
        </w:r>
        <w:r>
          <w:fldChar w:fldCharType="separate"/>
        </w:r>
        <w:r>
          <w:t>30</w:t>
        </w:r>
        <w:r>
          <w:fldChar w:fldCharType="end"/>
        </w:r>
      </w:hyperlink>
    </w:p>
    <w:p>
      <w:pPr>
        <w:pStyle w:val="TOC2"/>
        <w:tabs>
          <w:tab w:val="right" w:leader="dot" w:pos="8306"/>
        </w:tabs>
      </w:pPr>
      <w:hyperlink w:anchor="_Toc22316" w:history="1">
        <w:r>
          <w:rPr>
            <w:rFonts w:ascii="仿宋" w:eastAsia="仿宋" w:hAnsi="仿宋" w:cs="仿宋" w:hint="eastAsia"/>
            <w:lang w:eastAsia="zh-CN"/>
          </w:rPr>
          <w:t>(六)、防静电、触电防护及防雷措施</w:t>
        </w:r>
        <w:r>
          <w:tab/>
        </w:r>
        <w:r>
          <w:fldChar w:fldCharType="begin"/>
        </w:r>
        <w:r>
          <w:instrText xml:space="preserve"> PAGEREF _Toc22316 \h </w:instrText>
        </w:r>
        <w:r>
          <w:fldChar w:fldCharType="separate"/>
        </w:r>
        <w:r>
          <w:t>31</w:t>
        </w:r>
        <w:r>
          <w:fldChar w:fldCharType="end"/>
        </w:r>
      </w:hyperlink>
    </w:p>
    <w:p>
      <w:pPr>
        <w:pStyle w:val="TOC2"/>
        <w:tabs>
          <w:tab w:val="right" w:leader="dot" w:pos="8306"/>
        </w:tabs>
      </w:pPr>
      <w:hyperlink w:anchor="_Toc7360" w:history="1">
        <w:r>
          <w:rPr>
            <w:rFonts w:ascii="仿宋" w:eastAsia="仿宋" w:hAnsi="仿宋" w:cs="仿宋" w:hint="eastAsia"/>
            <w:lang w:eastAsia="zh-CN"/>
          </w:rPr>
          <w:t>(七)、机械设备安全保障措施</w:t>
        </w:r>
        <w:r>
          <w:tab/>
        </w:r>
        <w:r>
          <w:fldChar w:fldCharType="begin"/>
        </w:r>
        <w:r>
          <w:instrText xml:space="preserve"> PAGEREF _Toc7360 \h </w:instrText>
        </w:r>
        <w:r>
          <w:fldChar w:fldCharType="separate"/>
        </w:r>
        <w:r>
          <w:t>33</w:t>
        </w:r>
        <w:r>
          <w:fldChar w:fldCharType="end"/>
        </w:r>
      </w:hyperlink>
    </w:p>
    <w:p>
      <w:pPr>
        <w:pStyle w:val="TOC1"/>
        <w:tabs>
          <w:tab w:val="right" w:leader="dot" w:pos="8306"/>
        </w:tabs>
      </w:pPr>
      <w:hyperlink w:anchor="_Toc25740" w:history="1">
        <w:r>
          <w:rPr>
            <w:rFonts w:ascii="仿宋" w:eastAsia="仿宋" w:hAnsi="仿宋" w:cs="仿宋" w:hint="eastAsia"/>
            <w:lang w:eastAsia="zh-CN"/>
          </w:rPr>
          <w:t>十、垃圾焚烧处理项目技术管理</w:t>
        </w:r>
        <w:r>
          <w:tab/>
        </w:r>
        <w:r>
          <w:fldChar w:fldCharType="begin"/>
        </w:r>
        <w:r>
          <w:instrText xml:space="preserve"> PAGEREF _Toc25740 \h </w:instrText>
        </w:r>
        <w:r>
          <w:fldChar w:fldCharType="separate"/>
        </w:r>
        <w:r>
          <w:t>34</w:t>
        </w:r>
        <w:r>
          <w:fldChar w:fldCharType="end"/>
        </w:r>
      </w:hyperlink>
    </w:p>
    <w:p>
      <w:pPr>
        <w:pStyle w:val="TOC2"/>
        <w:tabs>
          <w:tab w:val="right" w:leader="dot" w:pos="8306"/>
        </w:tabs>
      </w:pPr>
      <w:hyperlink w:anchor="_Toc25473" w:history="1">
        <w:r>
          <w:rPr>
            <w:rFonts w:ascii="仿宋" w:eastAsia="仿宋" w:hAnsi="仿宋" w:cs="仿宋" w:hint="eastAsia"/>
            <w:lang w:eastAsia="zh-CN"/>
          </w:rPr>
          <w:t>(一)、技术方案选用方向</w:t>
        </w:r>
        <w:r>
          <w:tab/>
        </w:r>
        <w:r>
          <w:fldChar w:fldCharType="begin"/>
        </w:r>
        <w:r>
          <w:instrText xml:space="preserve"> PAGEREF _Toc25473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47" w:history="1">
        <w:r>
          <w:rPr>
            <w:rFonts w:ascii="仿宋" w:eastAsia="仿宋" w:hAnsi="仿宋" w:cs="仿宋" w:hint="eastAsia"/>
            <w:lang w:eastAsia="zh-CN"/>
          </w:rPr>
          <w:t>(二)、工艺技术方案选用原则</w:t>
        </w:r>
        <w:r>
          <w:tab/>
        </w:r>
        <w:r>
          <w:fldChar w:fldCharType="begin"/>
        </w:r>
        <w:r>
          <w:instrText xml:space="preserve"> PAGEREF _Toc17347 \h </w:instrText>
        </w:r>
        <w:r>
          <w:fldChar w:fldCharType="separate"/>
        </w:r>
        <w:r>
          <w:t>36</w:t>
        </w:r>
        <w:r>
          <w:fldChar w:fldCharType="end"/>
        </w:r>
      </w:hyperlink>
    </w:p>
    <w:p>
      <w:pPr>
        <w:pStyle w:val="TOC2"/>
        <w:tabs>
          <w:tab w:val="right" w:leader="dot" w:pos="8306"/>
        </w:tabs>
      </w:pPr>
      <w:hyperlink w:anchor="_Toc11019" w:history="1">
        <w:r>
          <w:rPr>
            <w:rFonts w:ascii="仿宋" w:eastAsia="仿宋" w:hAnsi="仿宋" w:cs="仿宋" w:hint="eastAsia"/>
            <w:lang w:eastAsia="zh-CN"/>
          </w:rPr>
          <w:t>(三)、工艺技术方案要求</w:t>
        </w:r>
        <w:r>
          <w:tab/>
        </w:r>
        <w:r>
          <w:fldChar w:fldCharType="begin"/>
        </w:r>
        <w:r>
          <w:instrText xml:space="preserve"> PAGEREF _Toc11019 \h </w:instrText>
        </w:r>
        <w:r>
          <w:fldChar w:fldCharType="separate"/>
        </w:r>
        <w:r>
          <w:t>38</w:t>
        </w:r>
        <w:r>
          <w:fldChar w:fldCharType="end"/>
        </w:r>
      </w:hyperlink>
    </w:p>
    <w:p>
      <w:pPr>
        <w:pStyle w:val="TOC1"/>
        <w:tabs>
          <w:tab w:val="right" w:leader="dot" w:pos="8306"/>
        </w:tabs>
      </w:pPr>
      <w:hyperlink w:anchor="_Toc16060" w:history="1">
        <w:r>
          <w:rPr>
            <w:rFonts w:ascii="仿宋" w:eastAsia="仿宋" w:hAnsi="仿宋" w:cs="仿宋" w:hint="eastAsia"/>
            <w:lang w:eastAsia="zh-CN"/>
          </w:rPr>
          <w:t>十一、垃圾焚烧处理项目社会影响</w:t>
        </w:r>
        <w:r>
          <w:tab/>
        </w:r>
        <w:r>
          <w:fldChar w:fldCharType="begin"/>
        </w:r>
        <w:r>
          <w:instrText xml:space="preserve"> PAGEREF _Toc16060 \h </w:instrText>
        </w:r>
        <w:r>
          <w:fldChar w:fldCharType="separate"/>
        </w:r>
        <w:r>
          <w:t>40</w:t>
        </w:r>
        <w:r>
          <w:fldChar w:fldCharType="end"/>
        </w:r>
      </w:hyperlink>
    </w:p>
    <w:p>
      <w:pPr>
        <w:pStyle w:val="TOC2"/>
        <w:tabs>
          <w:tab w:val="right" w:leader="dot" w:pos="8306"/>
        </w:tabs>
      </w:pPr>
      <w:hyperlink w:anchor="_Toc16892" w:history="1">
        <w:r>
          <w:rPr>
            <w:rFonts w:ascii="仿宋" w:eastAsia="仿宋" w:hAnsi="仿宋" w:cs="仿宋" w:hint="eastAsia"/>
            <w:lang w:eastAsia="zh-CN"/>
          </w:rPr>
          <w:t>(一)、社会责任与义务</w:t>
        </w:r>
        <w:r>
          <w:tab/>
        </w:r>
        <w:r>
          <w:fldChar w:fldCharType="begin"/>
        </w:r>
        <w:r>
          <w:instrText xml:space="preserve"> PAGEREF _Toc16892 \h </w:instrText>
        </w:r>
        <w:r>
          <w:fldChar w:fldCharType="separate"/>
        </w:r>
        <w:r>
          <w:t>40</w:t>
        </w:r>
        <w:r>
          <w:fldChar w:fldCharType="end"/>
        </w:r>
      </w:hyperlink>
    </w:p>
    <w:p>
      <w:pPr>
        <w:pStyle w:val="TOC2"/>
        <w:tabs>
          <w:tab w:val="right" w:leader="dot" w:pos="8306"/>
        </w:tabs>
      </w:pPr>
      <w:hyperlink w:anchor="_Toc27764" w:history="1">
        <w:r>
          <w:rPr>
            <w:rFonts w:ascii="仿宋" w:eastAsia="仿宋" w:hAnsi="仿宋" w:cs="仿宋" w:hint="eastAsia"/>
            <w:lang w:eastAsia="zh-CN"/>
          </w:rPr>
          <w:t>(二)、社会参与与沟通</w:t>
        </w:r>
        <w:r>
          <w:tab/>
        </w:r>
        <w:r>
          <w:fldChar w:fldCharType="begin"/>
        </w:r>
        <w:r>
          <w:instrText xml:space="preserve"> PAGEREF _Toc27764 \h </w:instrText>
        </w:r>
        <w:r>
          <w:fldChar w:fldCharType="separate"/>
        </w:r>
        <w:r>
          <w:t>41</w:t>
        </w:r>
        <w:r>
          <w:fldChar w:fldCharType="end"/>
        </w:r>
      </w:hyperlink>
    </w:p>
    <w:p>
      <w:pPr>
        <w:pStyle w:val="TOC1"/>
        <w:tabs>
          <w:tab w:val="right" w:leader="dot" w:pos="8306"/>
        </w:tabs>
      </w:pPr>
      <w:hyperlink w:anchor="_Toc17103" w:history="1">
        <w:r>
          <w:rPr>
            <w:rFonts w:ascii="仿宋" w:eastAsia="仿宋" w:hAnsi="仿宋" w:cs="仿宋" w:hint="eastAsia"/>
            <w:lang w:eastAsia="zh-CN"/>
          </w:rPr>
          <w:t>十二、垃圾焚烧处理项目财务管理</w:t>
        </w:r>
        <w:r>
          <w:tab/>
        </w:r>
        <w:r>
          <w:fldChar w:fldCharType="begin"/>
        </w:r>
        <w:r>
          <w:instrText xml:space="preserve"> PAGEREF _Toc17103 \h </w:instrText>
        </w:r>
        <w:r>
          <w:fldChar w:fldCharType="separate"/>
        </w:r>
        <w:r>
          <w:t>42</w:t>
        </w:r>
        <w:r>
          <w:fldChar w:fldCharType="end"/>
        </w:r>
      </w:hyperlink>
    </w:p>
    <w:p>
      <w:pPr>
        <w:pStyle w:val="TOC2"/>
        <w:tabs>
          <w:tab w:val="right" w:leader="dot" w:pos="8306"/>
        </w:tabs>
      </w:pPr>
      <w:hyperlink w:anchor="_Toc10023" w:history="1">
        <w:r>
          <w:rPr>
            <w:rFonts w:ascii="仿宋" w:eastAsia="仿宋" w:hAnsi="仿宋" w:cs="仿宋" w:hint="eastAsia"/>
            <w:lang w:eastAsia="zh-CN"/>
          </w:rPr>
          <w:t>(一)、资金需求大</w:t>
        </w:r>
        <w:r>
          <w:tab/>
        </w:r>
        <w:r>
          <w:fldChar w:fldCharType="begin"/>
        </w:r>
        <w:r>
          <w:instrText xml:space="preserve"> PAGEREF _Toc10023 \h </w:instrText>
        </w:r>
        <w:r>
          <w:fldChar w:fldCharType="separate"/>
        </w:r>
        <w:r>
          <w:t>42</w:t>
        </w:r>
        <w:r>
          <w:fldChar w:fldCharType="end"/>
        </w:r>
      </w:hyperlink>
    </w:p>
    <w:p>
      <w:pPr>
        <w:pStyle w:val="TOC2"/>
        <w:tabs>
          <w:tab w:val="right" w:leader="dot" w:pos="8306"/>
        </w:tabs>
      </w:pPr>
      <w:hyperlink w:anchor="_Toc18901" w:history="1">
        <w:r>
          <w:rPr>
            <w:rFonts w:ascii="仿宋" w:eastAsia="仿宋" w:hAnsi="仿宋" w:cs="仿宋" w:hint="eastAsia"/>
            <w:lang w:eastAsia="zh-CN"/>
          </w:rPr>
          <w:t>(二)、研发周期长</w:t>
        </w:r>
        <w:r>
          <w:tab/>
        </w:r>
        <w:r>
          <w:fldChar w:fldCharType="begin"/>
        </w:r>
        <w:r>
          <w:instrText xml:space="preserve"> PAGEREF _Toc18901 \h </w:instrText>
        </w:r>
        <w:r>
          <w:fldChar w:fldCharType="separate"/>
        </w:r>
        <w:r>
          <w:t>43</w:t>
        </w:r>
        <w:r>
          <w:fldChar w:fldCharType="end"/>
        </w:r>
      </w:hyperlink>
    </w:p>
    <w:p>
      <w:pPr>
        <w:pStyle w:val="TOC2"/>
        <w:tabs>
          <w:tab w:val="right" w:leader="dot" w:pos="8306"/>
        </w:tabs>
      </w:pPr>
      <w:hyperlink w:anchor="_Toc8410" w:history="1">
        <w:r>
          <w:rPr>
            <w:rFonts w:ascii="仿宋" w:eastAsia="仿宋" w:hAnsi="仿宋" w:cs="仿宋" w:hint="eastAsia"/>
            <w:lang w:eastAsia="zh-CN"/>
          </w:rPr>
          <w:t>(三)、市场风险大</w:t>
        </w:r>
        <w:r>
          <w:tab/>
        </w:r>
        <w:r>
          <w:fldChar w:fldCharType="begin"/>
        </w:r>
        <w:r>
          <w:instrText xml:space="preserve"> PAGEREF _Toc8410 \h </w:instrText>
        </w:r>
        <w:r>
          <w:fldChar w:fldCharType="separate"/>
        </w:r>
        <w:r>
          <w:t>44</w:t>
        </w:r>
        <w:r>
          <w:fldChar w:fldCharType="end"/>
        </w:r>
      </w:hyperlink>
    </w:p>
    <w:p>
      <w:pPr>
        <w:pStyle w:val="TOC2"/>
        <w:tabs>
          <w:tab w:val="right" w:leader="dot" w:pos="8306"/>
        </w:tabs>
      </w:pPr>
      <w:hyperlink w:anchor="_Toc5135" w:history="1">
        <w:r>
          <w:rPr>
            <w:rFonts w:ascii="仿宋" w:eastAsia="仿宋" w:hAnsi="仿宋" w:cs="仿宋" w:hint="eastAsia"/>
            <w:lang w:eastAsia="zh-CN"/>
          </w:rPr>
          <w:t>(四)、利润率高</w:t>
        </w:r>
        <w:r>
          <w:tab/>
        </w:r>
        <w:r>
          <w:fldChar w:fldCharType="begin"/>
        </w:r>
        <w:r>
          <w:instrText xml:space="preserve"> PAGEREF _Toc5135 \h </w:instrText>
        </w:r>
        <w:r>
          <w:fldChar w:fldCharType="separate"/>
        </w:r>
        <w:r>
          <w:t>47</w:t>
        </w:r>
        <w:r>
          <w:fldChar w:fldCharType="end"/>
        </w:r>
      </w:hyperlink>
    </w:p>
    <w:p>
      <w:pPr>
        <w:pStyle w:val="TOC1"/>
        <w:tabs>
          <w:tab w:val="right" w:leader="dot" w:pos="8306"/>
        </w:tabs>
      </w:pPr>
      <w:hyperlink w:anchor="_Toc29011" w:history="1">
        <w:r>
          <w:rPr>
            <w:rFonts w:ascii="仿宋" w:eastAsia="仿宋" w:hAnsi="仿宋" w:cs="仿宋" w:hint="eastAsia"/>
            <w:lang w:eastAsia="zh-CN"/>
          </w:rPr>
          <w:t>十三、质量管理体系</w:t>
        </w:r>
        <w:r>
          <w:tab/>
        </w:r>
        <w:r>
          <w:fldChar w:fldCharType="begin"/>
        </w:r>
        <w:r>
          <w:instrText xml:space="preserve"> PAGEREF _Toc29011 \h </w:instrText>
        </w:r>
        <w:r>
          <w:fldChar w:fldCharType="separate"/>
        </w:r>
        <w:r>
          <w:t>49</w:t>
        </w:r>
        <w:r>
          <w:fldChar w:fldCharType="end"/>
        </w:r>
      </w:hyperlink>
    </w:p>
    <w:p>
      <w:pPr>
        <w:pStyle w:val="TOC2"/>
        <w:tabs>
          <w:tab w:val="right" w:leader="dot" w:pos="8306"/>
        </w:tabs>
      </w:pPr>
      <w:hyperlink w:anchor="_Toc5580" w:history="1">
        <w:r>
          <w:rPr>
            <w:rFonts w:ascii="仿宋" w:eastAsia="仿宋" w:hAnsi="仿宋" w:cs="仿宋" w:hint="eastAsia"/>
            <w:lang w:eastAsia="zh-CN"/>
          </w:rPr>
          <w:t>(一)、质量目标与方针</w:t>
        </w:r>
        <w:r>
          <w:tab/>
        </w:r>
        <w:r>
          <w:fldChar w:fldCharType="begin"/>
        </w:r>
        <w:r>
          <w:instrText xml:space="preserve"> PAGEREF _Toc5580 \h </w:instrText>
        </w:r>
        <w:r>
          <w:fldChar w:fldCharType="separate"/>
        </w:r>
        <w:r>
          <w:t>49</w:t>
        </w:r>
        <w:r>
          <w:fldChar w:fldCharType="end"/>
        </w:r>
      </w:hyperlink>
    </w:p>
    <w:p>
      <w:pPr>
        <w:pStyle w:val="TOC2"/>
        <w:tabs>
          <w:tab w:val="right" w:leader="dot" w:pos="8306"/>
        </w:tabs>
      </w:pPr>
      <w:hyperlink w:anchor="_Toc4290" w:history="1">
        <w:r>
          <w:rPr>
            <w:rFonts w:ascii="仿宋" w:eastAsia="仿宋" w:hAnsi="仿宋" w:cs="仿宋" w:hint="eastAsia"/>
            <w:lang w:eastAsia="zh-CN"/>
          </w:rPr>
          <w:t>(二)、质量管理责任</w:t>
        </w:r>
        <w:r>
          <w:tab/>
        </w:r>
        <w:r>
          <w:fldChar w:fldCharType="begin"/>
        </w:r>
        <w:r>
          <w:instrText xml:space="preserve"> PAGEREF _Toc4290 \h </w:instrText>
        </w:r>
        <w:r>
          <w:fldChar w:fldCharType="separate"/>
        </w:r>
        <w:r>
          <w:t>50</w:t>
        </w:r>
        <w:r>
          <w:fldChar w:fldCharType="end"/>
        </w:r>
      </w:hyperlink>
    </w:p>
    <w:p>
      <w:pPr>
        <w:pStyle w:val="TOC2"/>
        <w:tabs>
          <w:tab w:val="right" w:leader="dot" w:pos="8306"/>
        </w:tabs>
      </w:pPr>
      <w:hyperlink w:anchor="_Toc20274" w:history="1">
        <w:r>
          <w:rPr>
            <w:rFonts w:ascii="仿宋" w:eastAsia="仿宋" w:hAnsi="仿宋" w:cs="仿宋" w:hint="eastAsia"/>
            <w:lang w:eastAsia="zh-CN"/>
          </w:rPr>
          <w:t>(三)、质量管理体系文件</w:t>
        </w:r>
        <w:r>
          <w:tab/>
        </w:r>
        <w:r>
          <w:fldChar w:fldCharType="begin"/>
        </w:r>
        <w:r>
          <w:instrText xml:space="preserve"> PAGEREF _Toc20274 \h </w:instrText>
        </w:r>
        <w:r>
          <w:fldChar w:fldCharType="separate"/>
        </w:r>
        <w:r>
          <w:t>52</w:t>
        </w:r>
        <w:r>
          <w:fldChar w:fldCharType="end"/>
        </w:r>
      </w:hyperlink>
    </w:p>
    <w:p>
      <w:pPr>
        <w:pStyle w:val="TOC2"/>
        <w:tabs>
          <w:tab w:val="right" w:leader="dot" w:pos="8306"/>
        </w:tabs>
      </w:pPr>
      <w:hyperlink w:anchor="_Toc3228" w:history="1">
        <w:r>
          <w:rPr>
            <w:rFonts w:ascii="仿宋" w:eastAsia="仿宋" w:hAnsi="仿宋" w:cs="仿宋" w:hint="eastAsia"/>
            <w:lang w:eastAsia="zh-CN"/>
          </w:rPr>
          <w:t>(四)、质量培训与教育</w:t>
        </w:r>
        <w:r>
          <w:tab/>
        </w:r>
        <w:r>
          <w:fldChar w:fldCharType="begin"/>
        </w:r>
        <w:r>
          <w:instrText xml:space="preserve"> PAGEREF _Toc3228 \h </w:instrText>
        </w:r>
        <w:r>
          <w:fldChar w:fldCharType="separate"/>
        </w:r>
        <w:r>
          <w:t>54</w:t>
        </w:r>
        <w:r>
          <w:fldChar w:fldCharType="end"/>
        </w:r>
      </w:hyperlink>
    </w:p>
    <w:p>
      <w:pPr>
        <w:pStyle w:val="TOC2"/>
        <w:tabs>
          <w:tab w:val="right" w:leader="dot" w:pos="8306"/>
        </w:tabs>
      </w:pPr>
      <w:hyperlink w:anchor="_Toc5663" w:history="1">
        <w:r>
          <w:rPr>
            <w:rFonts w:ascii="仿宋" w:eastAsia="仿宋" w:hAnsi="仿宋" w:cs="仿宋" w:hint="eastAsia"/>
            <w:lang w:eastAsia="zh-CN"/>
          </w:rPr>
          <w:t>(五)、质量审核与评价</w:t>
        </w:r>
        <w:r>
          <w:tab/>
        </w:r>
        <w:r>
          <w:fldChar w:fldCharType="begin"/>
        </w:r>
        <w:r>
          <w:instrText xml:space="preserve"> PAGEREF _Toc5663 \h </w:instrText>
        </w:r>
        <w:r>
          <w:fldChar w:fldCharType="separate"/>
        </w:r>
        <w:r>
          <w:t>55</w:t>
        </w:r>
        <w:r>
          <w:fldChar w:fldCharType="end"/>
        </w:r>
      </w:hyperlink>
    </w:p>
    <w:p>
      <w:pPr>
        <w:pStyle w:val="TOC2"/>
        <w:tabs>
          <w:tab w:val="right" w:leader="dot" w:pos="8306"/>
        </w:tabs>
      </w:pPr>
      <w:hyperlink w:anchor="_Toc28802" w:history="1">
        <w:r>
          <w:rPr>
            <w:rFonts w:ascii="仿宋" w:eastAsia="仿宋" w:hAnsi="仿宋" w:cs="仿宋" w:hint="eastAsia"/>
            <w:lang w:eastAsia="zh-CN"/>
          </w:rPr>
          <w:t>(六)、不符合与纠正措施</w:t>
        </w:r>
        <w:r>
          <w:tab/>
        </w:r>
        <w:r>
          <w:fldChar w:fldCharType="begin"/>
        </w:r>
        <w:r>
          <w:instrText xml:space="preserve"> PAGEREF _Toc28802 \h </w:instrText>
        </w:r>
        <w:r>
          <w:fldChar w:fldCharType="separate"/>
        </w:r>
        <w:r>
          <w:t>56</w:t>
        </w:r>
        <w:r>
          <w:fldChar w:fldCharType="end"/>
        </w:r>
      </w:hyperlink>
    </w:p>
    <w:p>
      <w:pPr>
        <w:pStyle w:val="TOC1"/>
        <w:tabs>
          <w:tab w:val="right" w:leader="dot" w:pos="8306"/>
        </w:tabs>
      </w:pPr>
      <w:hyperlink w:anchor="_Toc2054" w:history="1">
        <w:r>
          <w:rPr>
            <w:rFonts w:ascii="仿宋" w:eastAsia="仿宋" w:hAnsi="仿宋" w:cs="仿宋" w:hint="eastAsia"/>
            <w:lang w:eastAsia="zh-CN"/>
          </w:rPr>
          <w:t>十四、垃圾焚烧处理项目变更管理</w:t>
        </w:r>
        <w:r>
          <w:tab/>
        </w:r>
        <w:r>
          <w:fldChar w:fldCharType="begin"/>
        </w:r>
        <w:r>
          <w:instrText xml:space="preserve"> PAGEREF _Toc2054 \h </w:instrText>
        </w:r>
        <w:r>
          <w:fldChar w:fldCharType="separate"/>
        </w:r>
        <w:r>
          <w:t>57</w:t>
        </w:r>
        <w:r>
          <w:fldChar w:fldCharType="end"/>
        </w:r>
      </w:hyperlink>
    </w:p>
    <w:p>
      <w:pPr>
        <w:pStyle w:val="TOC2"/>
        <w:tabs>
          <w:tab w:val="right" w:leader="dot" w:pos="8306"/>
        </w:tabs>
      </w:pPr>
      <w:hyperlink w:anchor="_Toc27430" w:history="1">
        <w:r>
          <w:rPr>
            <w:rFonts w:ascii="仿宋" w:eastAsia="仿宋" w:hAnsi="仿宋" w:cs="仿宋" w:hint="eastAsia"/>
            <w:lang w:eastAsia="zh-CN"/>
          </w:rPr>
          <w:t>(一)、变更申请与评估</w:t>
        </w:r>
        <w:r>
          <w:tab/>
        </w:r>
        <w:r>
          <w:fldChar w:fldCharType="begin"/>
        </w:r>
        <w:r>
          <w:instrText xml:space="preserve"> PAGEREF _Toc27430 \h </w:instrText>
        </w:r>
        <w:r>
          <w:fldChar w:fldCharType="separate"/>
        </w:r>
        <w:r>
          <w:t>57</w:t>
        </w:r>
        <w:r>
          <w:fldChar w:fldCharType="end"/>
        </w:r>
      </w:hyperlink>
    </w:p>
    <w:p>
      <w:pPr>
        <w:pStyle w:val="TOC2"/>
        <w:tabs>
          <w:tab w:val="right" w:leader="dot" w:pos="8306"/>
        </w:tabs>
      </w:pPr>
      <w:hyperlink w:anchor="_Toc11182" w:history="1">
        <w:r>
          <w:rPr>
            <w:rFonts w:ascii="仿宋" w:eastAsia="仿宋" w:hAnsi="仿宋" w:cs="仿宋" w:hint="eastAsia"/>
            <w:lang w:eastAsia="zh-CN"/>
          </w:rPr>
          <w:t>(二)、变更实施与控制</w:t>
        </w:r>
        <w:r>
          <w:tab/>
        </w:r>
        <w:r>
          <w:fldChar w:fldCharType="begin"/>
        </w:r>
        <w:r>
          <w:instrText xml:space="preserve"> PAGEREF _Toc11182 \h </w:instrText>
        </w:r>
        <w:r>
          <w:fldChar w:fldCharType="separate"/>
        </w:r>
        <w:r>
          <w:t>58</w:t>
        </w:r>
        <w:r>
          <w:fldChar w:fldCharType="end"/>
        </w:r>
      </w:hyperlink>
    </w:p>
    <w:p>
      <w:pPr>
        <w:pStyle w:val="TOC1"/>
        <w:tabs>
          <w:tab w:val="right" w:leader="dot" w:pos="8306"/>
        </w:tabs>
      </w:pPr>
      <w:hyperlink w:anchor="_Toc14220" w:history="1">
        <w:r>
          <w:rPr>
            <w:rFonts w:ascii="仿宋" w:eastAsia="仿宋" w:hAnsi="仿宋" w:cs="仿宋" w:hint="eastAsia"/>
            <w:lang w:eastAsia="zh-CN"/>
          </w:rPr>
          <w:t>十五、垃圾焚烧处理项目工程方案分析</w:t>
        </w:r>
        <w:r>
          <w:tab/>
        </w:r>
        <w:r>
          <w:fldChar w:fldCharType="begin"/>
        </w:r>
        <w:r>
          <w:instrText xml:space="preserve"> PAGEREF _Toc14220 \h </w:instrText>
        </w:r>
        <w:r>
          <w:fldChar w:fldCharType="separate"/>
        </w:r>
        <w:r>
          <w:t>58</w:t>
        </w:r>
        <w:r>
          <w:fldChar w:fldCharType="end"/>
        </w:r>
      </w:hyperlink>
    </w:p>
    <w:p>
      <w:pPr>
        <w:pStyle w:val="TOC2"/>
        <w:tabs>
          <w:tab w:val="right" w:leader="dot" w:pos="8306"/>
        </w:tabs>
      </w:pPr>
      <w:hyperlink w:anchor="_Toc18948" w:history="1">
        <w:r>
          <w:rPr>
            <w:rFonts w:ascii="仿宋" w:eastAsia="仿宋" w:hAnsi="仿宋" w:cs="仿宋" w:hint="eastAsia"/>
            <w:lang w:eastAsia="zh-CN"/>
          </w:rPr>
          <w:t>(一)、建筑工程设计原则</w:t>
        </w:r>
        <w:r>
          <w:tab/>
        </w:r>
        <w:r>
          <w:fldChar w:fldCharType="begin"/>
        </w:r>
        <w:r>
          <w:instrText xml:space="preserve"> PAGEREF _Toc18948 \h </w:instrText>
        </w:r>
        <w:r>
          <w:fldChar w:fldCharType="separate"/>
        </w:r>
        <w:r>
          <w:t>58</w:t>
        </w:r>
        <w:r>
          <w:fldChar w:fldCharType="end"/>
        </w:r>
      </w:hyperlink>
    </w:p>
    <w:p>
      <w:pPr>
        <w:pStyle w:val="TOC2"/>
        <w:tabs>
          <w:tab w:val="right" w:leader="dot" w:pos="8306"/>
        </w:tabs>
      </w:pPr>
      <w:hyperlink w:anchor="_Toc21782" w:history="1">
        <w:r>
          <w:rPr>
            <w:rFonts w:ascii="仿宋" w:eastAsia="仿宋" w:hAnsi="仿宋" w:cs="仿宋" w:hint="eastAsia"/>
            <w:lang w:eastAsia="zh-CN"/>
          </w:rPr>
          <w:t>(二)、土建工程建设指标</w:t>
        </w:r>
        <w:r>
          <w:tab/>
        </w:r>
        <w:r>
          <w:fldChar w:fldCharType="begin"/>
        </w:r>
        <w:r>
          <w:instrText xml:space="preserve"> PAGEREF _Toc21782 \h </w:instrText>
        </w:r>
        <w:r>
          <w:fldChar w:fldCharType="separate"/>
        </w:r>
        <w:r>
          <w:t>62</w:t>
        </w:r>
        <w:r>
          <w:fldChar w:fldCharType="end"/>
        </w:r>
      </w:hyperlink>
    </w:p>
    <w:p>
      <w:pPr>
        <w:pStyle w:val="TOC1"/>
        <w:tabs>
          <w:tab w:val="right" w:leader="dot" w:pos="8306"/>
        </w:tabs>
      </w:pPr>
      <w:hyperlink w:anchor="_Toc32349" w:history="1">
        <w:r>
          <w:rPr>
            <w:rFonts w:ascii="仿宋" w:eastAsia="仿宋" w:hAnsi="仿宋" w:cs="仿宋" w:hint="eastAsia"/>
            <w:lang w:eastAsia="zh-CN"/>
          </w:rPr>
          <w:t>十六、垃圾焚烧处理项目实施保障措施</w:t>
        </w:r>
        <w:r>
          <w:tab/>
        </w:r>
        <w:r>
          <w:fldChar w:fldCharType="begin"/>
        </w:r>
        <w:r>
          <w:instrText xml:space="preserve"> PAGEREF _Toc32349 \h </w:instrText>
        </w:r>
        <w:r>
          <w:fldChar w:fldCharType="separate"/>
        </w:r>
        <w:r>
          <w:t>63</w:t>
        </w:r>
        <w:r>
          <w:fldChar w:fldCharType="end"/>
        </w:r>
      </w:hyperlink>
    </w:p>
    <w:p>
      <w:pPr>
        <w:pStyle w:val="TOC2"/>
        <w:tabs>
          <w:tab w:val="right" w:leader="dot" w:pos="8306"/>
        </w:tabs>
      </w:pPr>
      <w:hyperlink w:anchor="_Toc11586" w:history="1">
        <w:r>
          <w:rPr>
            <w:rFonts w:ascii="仿宋" w:eastAsia="仿宋" w:hAnsi="仿宋" w:cs="仿宋" w:hint="eastAsia"/>
            <w:lang w:eastAsia="zh-CN"/>
          </w:rPr>
          <w:t>(一)、垃圾焚烧处理项目实施保障机制</w:t>
        </w:r>
        <w:r>
          <w:tab/>
        </w:r>
        <w:r>
          <w:fldChar w:fldCharType="begin"/>
        </w:r>
        <w:r>
          <w:instrText xml:space="preserve"> PAGEREF _Toc11586 \h </w:instrText>
        </w:r>
        <w:r>
          <w:fldChar w:fldCharType="separate"/>
        </w:r>
        <w:r>
          <w:t>63</w:t>
        </w:r>
        <w:r>
          <w:fldChar w:fldCharType="end"/>
        </w:r>
      </w:hyperlink>
    </w:p>
    <w:p>
      <w:pPr>
        <w:pStyle w:val="TOC2"/>
        <w:tabs>
          <w:tab w:val="right" w:leader="dot" w:pos="8306"/>
        </w:tabs>
      </w:pPr>
      <w:hyperlink w:anchor="_Toc16854" w:history="1">
        <w:r>
          <w:rPr>
            <w:rFonts w:ascii="仿宋" w:eastAsia="仿宋" w:hAnsi="仿宋" w:cs="仿宋" w:hint="eastAsia"/>
            <w:lang w:eastAsia="zh-CN"/>
          </w:rPr>
          <w:t>(二)、垃圾焚烧处理项目法律合规要求</w:t>
        </w:r>
        <w:r>
          <w:tab/>
        </w:r>
        <w:r>
          <w:fldChar w:fldCharType="begin"/>
        </w:r>
        <w:r>
          <w:instrText xml:space="preserve"> PAGEREF _Toc16854 \h </w:instrText>
        </w:r>
        <w:r>
          <w:fldChar w:fldCharType="separate"/>
        </w:r>
        <w:r>
          <w:t>67</w:t>
        </w:r>
        <w:r>
          <w:fldChar w:fldCharType="end"/>
        </w:r>
      </w:hyperlink>
    </w:p>
    <w:p>
      <w:pPr>
        <w:pStyle w:val="TOC2"/>
        <w:tabs>
          <w:tab w:val="right" w:leader="dot" w:pos="8306"/>
        </w:tabs>
      </w:pPr>
      <w:hyperlink w:anchor="_Toc31746" w:history="1">
        <w:r>
          <w:rPr>
            <w:rFonts w:ascii="仿宋" w:eastAsia="仿宋" w:hAnsi="仿宋" w:cs="仿宋" w:hint="eastAsia"/>
            <w:lang w:eastAsia="zh-CN"/>
          </w:rPr>
          <w:t>(三)、垃圾焚烧处理项目合同管理与法律事务</w:t>
        </w:r>
        <w:r>
          <w:tab/>
        </w:r>
        <w:r>
          <w:fldChar w:fldCharType="begin"/>
        </w:r>
        <w:r>
          <w:instrText xml:space="preserve"> PAGEREF _Toc31746 \h </w:instrText>
        </w:r>
        <w:r>
          <w:fldChar w:fldCharType="separate"/>
        </w:r>
        <w:r>
          <w:t>71</w:t>
        </w:r>
        <w:r>
          <w:fldChar w:fldCharType="end"/>
        </w:r>
      </w:hyperlink>
    </w:p>
    <w:p>
      <w:pPr>
        <w:pStyle w:val="TOC2"/>
        <w:tabs>
          <w:tab w:val="right" w:leader="dot" w:pos="8306"/>
        </w:tabs>
      </w:pPr>
      <w:hyperlink w:anchor="_Toc4794" w:history="1">
        <w:r>
          <w:rPr>
            <w:rFonts w:ascii="仿宋" w:eastAsia="仿宋" w:hAnsi="仿宋" w:cs="仿宋" w:hint="eastAsia"/>
            <w:lang w:eastAsia="zh-CN"/>
          </w:rPr>
          <w:t>(四)、垃圾焚烧处理项目知识产权保护策略</w:t>
        </w:r>
        <w:r>
          <w:tab/>
        </w:r>
        <w:r>
          <w:fldChar w:fldCharType="begin"/>
        </w:r>
        <w:r>
          <w:instrText xml:space="preserve"> PAGEREF _Toc4794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790"/>
      <w:r>
        <w:rPr>
          <w:rFonts w:ascii="仿宋" w:eastAsia="仿宋" w:hAnsi="仿宋" w:cs="仿宋" w:hint="eastAsia"/>
          <w:sz w:val="28"/>
          <w:lang w:eastAsia="zh-CN"/>
        </w:rPr>
        <w:t>一、垃圾焚烧处理项目绩效评估</w:t>
      </w:r>
      <w:bookmarkEnd w:id="2"/>
    </w:p>
    <w:p>
      <w:pPr>
        <w:pStyle w:val="Heading2"/>
        <w:rPr>
          <w:rFonts w:ascii="仿宋" w:eastAsia="仿宋" w:hAnsi="仿宋" w:cs="仿宋" w:hint="eastAsia"/>
          <w:lang w:eastAsia="zh-CN"/>
        </w:rPr>
      </w:pPr>
      <w:bookmarkStart w:id="3" w:name="_Toc2264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处理项目中，我们设计了一套全面的绩效评估指标，以确保垃圾焚烧处理项目的可控和成功交付。这些指标跨足垃圾焚烧处理项目目标、成本、进度和质量等多个维度，为我们提供了全面洞察垃圾焚烧处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目标达成率是我们关注的首要指标。我们设定了明确的目标，并通过定期监测和评估，迅速发现并应对潜在的目标偏差。这为垃圾焚烧处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成本绩效是另一个核心关注点。通过实际成本与预算成本的对比分析，我们深入了解成本差异的原因，及时调整资源分配，保持垃圾焚烧处理项目在经济效益方面的合理水平。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进度作为关键的绩效指标之一，得到了精心的关注。我们制定了详细的垃圾焚烧处理项目进度计划，并设立了进度符合度指标，确保实际进度与计划进度保持一致。这使我们能够快速发现和解决潜在的进度问题，保持垃圾焚烧处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垃圾焚烧处理项目绩效的不可或缺的一环。我们引入了一系列的质量标准和客户满意度指标，以确保垃圾焚烧处理项目交付的成果在质量上达到或超越预期水平。通过持续监测这些指标，我们努力提升垃圾焚烧处理项目整体质量水平，为垃圾焚烧处理项目的成功交付提供有力保障。通过这些科学且全面的绩效评估，我们能够更好地引导垃圾焚烧处理项目的持续改进，确保垃圾焚烧处理项目目标的顺利达成。</w:t>
      </w:r>
    </w:p>
    <w:p>
      <w:pPr>
        <w:pStyle w:val="Heading2"/>
        <w:ind w:firstLine="560" w:firstLineChars="200"/>
        <w:rPr>
          <w:rFonts w:ascii="仿宋" w:eastAsia="仿宋" w:hAnsi="仿宋" w:cs="仿宋" w:hint="eastAsia"/>
          <w:sz w:val="28"/>
          <w:lang w:eastAsia="zh-CN"/>
        </w:rPr>
      </w:pPr>
      <w:bookmarkStart w:id="4" w:name="_Toc312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绩效评估是垃圾焚烧处理项目中的关键环节，为确保垃圾焚烧处理项目达到预期目标，我们采用了多层次、多维度的绩效评估方法。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焚烧处理项目的战略目标对齐，确保每个决策和行动都与垃圾焚烧处理项目整体目标保持一致。团队会定期召开战略对齐会议，审视当前工作与垃圾焚烧处理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垃圾焚烧处理项目进度、质量、成本和风险等方面。这些指标通过数据收集和分析，为垃圾焚烧处理项目管理团队提供了客观的评估依据。例如，我们通过垃圾焚烧处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绩效评估不仅仅停留在垃圾焚烧处理项目内部，还考虑了垃圾焚烧处理项目对外部环境的影响。我们定期进行干系人满意度调查，以了解各利益相关方对垃圾焚烧处理项目的期望和满意度，并及时做出调整。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这种多层次、多角度的绩效评估方法，使得我们能够全面了解垃圾焚烧处理项目的运行状态，及时做出调整，确保垃圾焚烧处理项目在不断变化的环境中保持稳健前行。</w:t>
      </w:r>
    </w:p>
    <w:p>
      <w:pPr>
        <w:pStyle w:val="Heading2"/>
        <w:ind w:firstLine="560" w:firstLineChars="200"/>
        <w:rPr>
          <w:rFonts w:ascii="仿宋" w:eastAsia="仿宋" w:hAnsi="仿宋" w:cs="仿宋" w:hint="eastAsia"/>
          <w:sz w:val="28"/>
          <w:lang w:eastAsia="zh-CN"/>
        </w:rPr>
      </w:pPr>
      <w:bookmarkStart w:id="5" w:name="_Toc2850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为了确保垃圾焚烧处理项目的有效管理和不断优化，我们采用了精心设计的绩效评估周期。这个周期旨在实现灵活、实时和全面的评估，以适应垃圾焚烧处理项目执行中的各种挑战。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焚烧处理项目的不同需求，分为短期、中期和长期。短期评估关注每个迭代或工作周期，以及时发现和解决当前任务中的问题。中期评估涵盖几个迭代，深入了解整体垃圾焚烧处理项目的趋势和性能。长期评估则着眼于整个垃圾焚烧处理项目阶段，确保垃圾焚烧处理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焚烧处理项目管理工具和协作平台，团队成员能够随时更新和分享垃圾焚烧处理项目数据。这种实时性的反馈机制使我们能够及时察觉潜在问题，快速调整，保持垃圾焚烧处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垃圾焚烧处理项目的决策制定密不可分。每个周期的垃圾焚烧处理项目回顾会议成为集体总结经验、识别问题深层次原因并找到创新解决方案的平台。这种定期的反思与调整机制使垃圾焚烧处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914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7182"/>
      <w:r>
        <w:rPr>
          <w:rFonts w:ascii="仿宋" w:eastAsia="仿宋" w:hAnsi="仿宋" w:cs="仿宋" w:hint="eastAsia"/>
          <w:lang w:eastAsia="zh-CN"/>
        </w:rPr>
        <w:t>(一)、垃圾焚烧处理行业分析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行业一直以来都是市场的关注焦点。行业内的发展趋势、竞争态势以及潜在机会都对垃圾焚烧处理项目的推进产生深远的影响。通过深入研究行业的整体概貌，我们将更好地理解行业的核心特征，为垃圾焚烧处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垃圾焚烧处理行业，技术一直是推动创新和发展的关键因素。我们将对当前技术趋势进行详尽分析，包括但不限于人工智能、大数据应用、先进制造技术等。这有助于垃圾焚烧处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垃圾焚烧处理项目成功的基础。我们将对主要竞争对手进行深入研究，包括其市场份额、产品特点、市场定位等。通过全面了解竞争对手的优势和劣势，垃圾焚烧处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406"/>
      <w:r>
        <w:rPr>
          <w:rFonts w:ascii="仿宋" w:eastAsia="仿宋" w:hAnsi="仿宋" w:cs="仿宋" w:hint="eastAsia"/>
          <w:sz w:val="28"/>
          <w:lang w:eastAsia="zh-CN"/>
        </w:rPr>
        <w:t>(二)、垃圾焚烧处理市场分析预测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垃圾焚烧处理市场未来的增长趋势。这包括市场的整体规模、各细分领域的发展趋势等。垃圾焚烧处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垃圾焚烧处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垃圾焚烧处理项目实施过程中需要充分考虑的因素。我们将对市场风险进行全面评估，包括但不限于政策法规风险、市场竞争风险、技术变革风险等。通过对潜在风险的深入分析，垃圾焚烧处理项目可以制定相应的风险缓解策略，降低不确定性对垃圾焚烧处理项目的影响。</w:t>
      </w:r>
    </w:p>
    <w:p>
      <w:pPr>
        <w:pStyle w:val="Heading1"/>
        <w:ind w:firstLine="560" w:firstLineChars="200"/>
        <w:rPr>
          <w:rFonts w:ascii="仿宋" w:eastAsia="仿宋" w:hAnsi="仿宋" w:cs="仿宋" w:hint="eastAsia"/>
          <w:sz w:val="28"/>
          <w:lang w:eastAsia="zh-CN"/>
        </w:rPr>
      </w:pPr>
      <w:bookmarkStart w:id="9" w:name="_Toc15242"/>
      <w:r>
        <w:rPr>
          <w:rFonts w:ascii="仿宋" w:eastAsia="仿宋" w:hAnsi="仿宋" w:cs="仿宋" w:hint="eastAsia"/>
          <w:sz w:val="28"/>
          <w:lang w:eastAsia="zh-CN"/>
        </w:rPr>
        <w:t>三、垃圾焚烧处理项目土建工程</w:t>
      </w:r>
      <w:bookmarkEnd w:id="9"/>
    </w:p>
    <w:p>
      <w:pPr>
        <w:pStyle w:val="Heading2"/>
        <w:rPr>
          <w:rFonts w:ascii="仿宋" w:eastAsia="仿宋" w:hAnsi="仿宋" w:cs="仿宋" w:hint="eastAsia"/>
          <w:lang w:eastAsia="zh-CN"/>
        </w:rPr>
      </w:pPr>
      <w:bookmarkStart w:id="10" w:name="_Toc765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在垃圾焚烧处理项目的建筑工程设计中，我们将秉承一系列重要的设计原则，以确保垃圾焚烧处理项目建筑在功能、美观、可持续性等方面达到最佳效果。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首要原则是确保建筑的功能性得到最大化的发挥。我们将充分理解垃圾焚烧处理项目的实际需求，合理布局各个功能区域，保证建筑在满足业务需求的同时，提供高效的工作环境。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在建筑设计中，我们将综合考虑建设和运营成本。通过精细的经济效益分析，确保设计方案在高效利用资源的同时，对垃圾焚烧处理项目的长期盈利能力有积极的贡献。</w:t>
      </w:r>
    </w:p>
    <w:p>
      <w:pPr>
        <w:pStyle w:val="Heading2"/>
        <w:ind w:firstLine="560" w:firstLineChars="200"/>
        <w:rPr>
          <w:rFonts w:ascii="仿宋" w:eastAsia="仿宋" w:hAnsi="仿宋" w:cs="仿宋" w:hint="eastAsia"/>
          <w:sz w:val="28"/>
          <w:lang w:eastAsia="zh-CN"/>
        </w:rPr>
      </w:pPr>
      <w:bookmarkStart w:id="11" w:name="_Toc2146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处理项目的土建工程设计中，我们将精准设定设计年限，结合垃圾焚烧处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焚烧处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16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垃圾焚烧处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焚烧处理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焚烧处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2230"/>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本期工程垃圾焚烧处理项目预计总建筑面积XXX平方米，其中：计容建筑面积XXX平方米，计划建筑工程投资XX万元，占垃圾焚烧处理项目总投资的XX%。</w:t>
      </w:r>
    </w:p>
    <w:p>
      <w:pPr>
        <w:pStyle w:val="Heading1"/>
        <w:ind w:firstLine="560" w:firstLineChars="200"/>
        <w:rPr>
          <w:rFonts w:ascii="仿宋" w:eastAsia="仿宋" w:hAnsi="仿宋" w:cs="仿宋" w:hint="eastAsia"/>
          <w:sz w:val="28"/>
          <w:lang w:eastAsia="zh-CN"/>
        </w:rPr>
      </w:pPr>
      <w:bookmarkStart w:id="14" w:name="_Toc9935"/>
      <w:r>
        <w:rPr>
          <w:rFonts w:ascii="仿宋" w:eastAsia="仿宋" w:hAnsi="仿宋" w:cs="仿宋" w:hint="eastAsia"/>
          <w:sz w:val="28"/>
          <w:lang w:eastAsia="zh-CN"/>
        </w:rPr>
        <w:t>四、垃圾焚烧处理项目建设单位说明</w:t>
      </w:r>
      <w:bookmarkEnd w:id="14"/>
    </w:p>
    <w:p>
      <w:pPr>
        <w:pStyle w:val="Heading2"/>
        <w:rPr>
          <w:rFonts w:ascii="仿宋" w:eastAsia="仿宋" w:hAnsi="仿宋" w:cs="仿宋" w:hint="eastAsia"/>
          <w:lang w:eastAsia="zh-CN"/>
        </w:rPr>
      </w:pPr>
      <w:bookmarkStart w:id="15" w:name="_Toc1913"/>
      <w:r>
        <w:rPr>
          <w:rFonts w:ascii="仿宋" w:eastAsia="仿宋" w:hAnsi="仿宋" w:cs="仿宋" w:hint="eastAsia"/>
          <w:lang w:eastAsia="zh-CN"/>
        </w:rPr>
        <w:t>(一)、垃圾焚烧处理项目承办单位基本情况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740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垃圾焚烧处理项目承办单位的XXXX，我们着眼于实现可持续的经济效益。通过技术创新和解决方案的提供，公司预计在垃圾焚烧处理项目执行期间将获得可观的收入增长。这一收入来源主要包括垃圾焚烧处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同时，我们注重成本控制和效率提升，以确保垃圾焚烧处理项目的可持续盈利。透过精细的管理和资源优化，公司期望实现垃圾焚烧处理项目利润最大化。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垃圾焚烧处理项目实施进行全面的投资评估，包括垃圾焚烧处理项目启动阶段的资金投入和后续运营成本。通过对垃圾焚烧处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垃圾焚烧处理项目实施过程中具备足够的资金流动性，公司将进行详尽的现金流分析。这包括资金需求的合理预测、垃圾焚烧处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4791"/>
      <w:r>
        <w:rPr>
          <w:rFonts w:ascii="仿宋" w:eastAsia="仿宋" w:hAnsi="仿宋" w:cs="仿宋" w:hint="eastAsia"/>
          <w:sz w:val="28"/>
          <w:lang w:eastAsia="zh-CN"/>
        </w:rPr>
        <w:t>五、垃圾焚烧处理项目建设背景及必要性分析</w:t>
      </w:r>
      <w:bookmarkEnd w:id="17"/>
    </w:p>
    <w:p>
      <w:pPr>
        <w:pStyle w:val="Heading2"/>
        <w:rPr>
          <w:rFonts w:ascii="仿宋" w:eastAsia="仿宋" w:hAnsi="仿宋" w:cs="仿宋" w:hint="eastAsia"/>
          <w:lang w:eastAsia="zh-CN"/>
        </w:rPr>
      </w:pPr>
      <w:bookmarkStart w:id="18" w:name="_Toc2373"/>
      <w:r>
        <w:rPr>
          <w:rFonts w:ascii="仿宋" w:eastAsia="仿宋" w:hAnsi="仿宋" w:cs="仿宋" w:hint="eastAsia"/>
          <w:lang w:eastAsia="zh-CN"/>
        </w:rPr>
        <w:t>(一)、垃圾焚烧处理项目背景分析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垃圾焚烧处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垃圾焚烧处理项目在这个潮流中的定位。同时，我们将关注行业内涌现的新兴机遇，以便垃圾焚烧处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垃圾焚烧处理项目提供了强大的发展动力。我们将聚焦于行业内最新的技术发展趋势，包括但不限于人工智能、大数据分析、物联网等领域。通过深度的技术研究，我们将确保垃圾焚烧处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垃圾焚烧处理项目发展的源泉。我们将投入更多的精力对市场需求进行深入剖析，超越表面的需求，深入挖掘潜在的市场痛点和机遇。通过对市场需求的细致了解，垃圾焚烧处理项目将更有针对性地设计解决方案，满足市场的多样化需求，从而更好地促进垃圾焚烧处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垃圾焚烧处理项目战略至关重要。我们将对竞争态势进行更为深入的分析，包括但不限于市场份额、产品特点、客户满意度等多个维度。通过深度的竞争分析，垃圾焚烧处理项目将能够更准确地把握市场脉搏，制定具有竞争力的垃圾焚烧处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垃圾焚烧处理项目的发展具有直接的影响。我们将进行更为全面的法规和政策分析，了解行业发展中的潜在法律风险和合规挑战。通过充分了解和遵守相关法规，垃圾焚烧处理项目将确保在法律框架内合法合规运营，为垃圾焚烧处理项目的稳健发展提供有力支持。</w:t>
      </w:r>
    </w:p>
    <w:p>
      <w:pPr>
        <w:pStyle w:val="Heading2"/>
        <w:ind w:firstLine="560" w:firstLineChars="200"/>
        <w:rPr>
          <w:rFonts w:ascii="仿宋" w:eastAsia="仿宋" w:hAnsi="仿宋" w:cs="仿宋" w:hint="eastAsia"/>
          <w:sz w:val="28"/>
          <w:lang w:eastAsia="zh-CN"/>
        </w:rPr>
      </w:pPr>
      <w:bookmarkStart w:id="19" w:name="_Toc28800"/>
      <w:r>
        <w:rPr>
          <w:rFonts w:ascii="仿宋" w:eastAsia="仿宋" w:hAnsi="仿宋" w:cs="仿宋" w:hint="eastAsia"/>
          <w:sz w:val="28"/>
          <w:lang w:eastAsia="zh-CN"/>
        </w:rPr>
        <w:t>(二)、垃圾焚烧处理项目建设必要性分析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建设的迫切性源于对行业发展趋势的深刻洞察。我们正处于一个行业变革的时代，科技创新、数字化转型成为企业发展的关键动力。垃圾焚烧处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建设不仅仅是为了跟上潮流，更是为了通过技术创新推动企业的持续发展。通过引入先进的技术和解决方案，垃圾焚烧处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垃圾焚烧处理项目的建设成为必然选择，通过提高产品质量、拓展服务领域，从而在竞争中获得更多的机会。垃圾焚烧处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垃圾焚烧处理项目建设的必要性体现在对客户需求更精准的满足。通过垃圾焚烧处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建设的背后是对企业持续创新的追求。只有通过不断创新，企业才能在竞争中立于不败之地。垃圾焚烧处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6619"/>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1602"/>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的技术管理特点体现在其创新导向。通过引入最先进的技术趋势和解决方案，垃圾焚烧处理项目致力于提升科技含量、提高质量和效率水平。这意味着我们将采用最新的工具和方法，确保垃圾焚烧处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垃圾焚烧处理项目技术管理的显著特征。通过整合不同领域的技术资源，我们实现了跨学科的协同工作。这有助于优化技术架构，提高整体效能。此外，整合性策略还促进了不同技术团队之间的紧密沟通和高效合作，确保垃圾焚烧处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垃圾焚烧处理项目所采用的技术。通过不断优化技术方案，垃圾焚烧处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https://d.book118.com/058027062133006027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AE4408"/>
    <w:rsid w:val="0AAE44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2706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2024-01-19T03:39:00Z</dcterms:created>
  <dcterms:modified xsi:type="dcterms:W3CDTF">2024-01-19T03:40:08Z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57A83DBBBB484067BAD59949F33B925B_11</vt:lpwstr>
  </property>
  <property fmtid="{D5CDD505-2E9C-101B-9397-08002B2CF9AE}" pid="3" name="KSOProductBuildVer">
    <vt:lpwstr>2052-12.1.0.16120</vt:lpwstr>
  </property>
</Properties>
</file>