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6" w:line="222" w:lineRule="auto"/>
        <w:ind w:left="36"/>
        <w:outlineLvl w:val="0"/>
        <w:rPr>
          <w:rFonts w:ascii="SimHei" w:eastAsia="SimHei" w:hAnsi="SimHei" w:cs="SimHei"/>
          <w:sz w:val="28"/>
          <w:szCs w:val="28"/>
        </w:rPr>
      </w:pPr>
      <w:r>
        <w:rPr>
          <w:rFonts w:ascii="SimHei" w:eastAsia="SimHei" w:hAnsi="SimHei" w:cs="SimHei"/>
          <w:spacing w:val="-7"/>
          <w:sz w:val="28"/>
          <w:szCs w:val="28"/>
        </w:rPr>
        <w:t>1</w:t>
      </w:r>
      <w:r>
        <w:rPr>
          <w:rFonts w:ascii="SimHei" w:eastAsia="SimHei" w:hAnsi="SimHei" w:cs="SimHei"/>
          <w:spacing w:val="7"/>
          <w:sz w:val="28"/>
          <w:szCs w:val="28"/>
        </w:rPr>
        <w:t xml:space="preserve">  </w:t>
      </w:r>
      <w:r>
        <w:rPr>
          <w:rFonts w:ascii="SimHei" w:eastAsia="SimHei" w:hAnsi="SimHei" w:cs="SimHei"/>
          <w:spacing w:val="-7"/>
          <w:sz w:val="28"/>
          <w:szCs w:val="28"/>
        </w:rPr>
        <w:t>项目背景</w:t>
      </w:r>
    </w:p>
    <w:p>
      <w:pPr>
        <w:spacing w:line="291" w:lineRule="auto"/>
        <w:rPr>
          <w:rFonts w:ascii="Arial"/>
          <w:sz w:val="21"/>
        </w:rPr>
      </w:pPr>
    </w:p>
    <w:p>
      <w:pPr>
        <w:spacing w:before="78" w:line="221" w:lineRule="auto"/>
        <w:ind w:left="33"/>
        <w:rPr>
          <w:rFonts w:ascii="SimHei" w:eastAsia="SimHei" w:hAnsi="SimHei" w:cs="SimHei"/>
          <w:sz w:val="24"/>
          <w:szCs w:val="24"/>
        </w:rPr>
      </w:pPr>
      <w:r>
        <w:rPr>
          <w:rFonts w:ascii="SimHei" w:eastAsia="SimHei" w:hAnsi="SimHei" w:cs="SimHei"/>
          <w:spacing w:val="-5"/>
          <w:sz w:val="24"/>
          <w:szCs w:val="24"/>
        </w:rPr>
        <w:t>1.1</w:t>
      </w:r>
      <w:r>
        <w:rPr>
          <w:rFonts w:ascii="SimHei" w:eastAsia="SimHei" w:hAnsi="SimHei" w:cs="SimHei"/>
          <w:spacing w:val="30"/>
          <w:sz w:val="24"/>
          <w:szCs w:val="24"/>
        </w:rPr>
        <w:t xml:space="preserve">  </w:t>
      </w:r>
      <w:r>
        <w:rPr>
          <w:rFonts w:ascii="SimHei" w:eastAsia="SimHei" w:hAnsi="SimHei" w:cs="SimHei"/>
          <w:spacing w:val="-5"/>
          <w:sz w:val="24"/>
          <w:szCs w:val="24"/>
        </w:rPr>
        <w:t>任务来源</w:t>
      </w:r>
    </w:p>
    <w:p>
      <w:pPr>
        <w:pStyle w:val="BodyText"/>
        <w:spacing w:before="252" w:line="312" w:lineRule="auto"/>
        <w:ind w:left="19" w:right="52" w:firstLine="423"/>
        <w:jc w:val="both"/>
      </w:pPr>
      <w:r>
        <w:rPr>
          <w:spacing w:val="9"/>
        </w:rPr>
        <w:t>为推动生态环境保护事业发展，根据《关于征集</w:t>
      </w:r>
      <w:r>
        <w:rPr>
          <w:spacing w:val="-33"/>
        </w:rPr>
        <w:t xml:space="preserve"> </w:t>
      </w:r>
      <w:r>
        <w:rPr>
          <w:rFonts w:ascii="Times New Roman" w:eastAsia="Times New Roman" w:hAnsi="Times New Roman" w:cs="Times New Roman"/>
          <w:spacing w:val="9"/>
        </w:rPr>
        <w:t xml:space="preserve">2017 </w:t>
      </w:r>
      <w:r>
        <w:rPr>
          <w:spacing w:val="9"/>
        </w:rPr>
        <w:t>年度国家环境保护标准计划项目</w:t>
      </w:r>
      <w:r>
        <w:t xml:space="preserve"> </w:t>
      </w:r>
      <w:r>
        <w:rPr>
          <w:spacing w:val="4"/>
        </w:rPr>
        <w:t>承担单位的通知》（环办函〔</w:t>
      </w:r>
      <w:r>
        <w:rPr>
          <w:rFonts w:ascii="Times New Roman" w:eastAsia="Times New Roman" w:hAnsi="Times New Roman" w:cs="Times New Roman"/>
          <w:spacing w:val="4"/>
        </w:rPr>
        <w:t>2016</w:t>
      </w:r>
      <w:r>
        <w:rPr>
          <w:spacing w:val="4"/>
        </w:rPr>
        <w:t>〕</w:t>
      </w:r>
      <w:r>
        <w:rPr>
          <w:rFonts w:ascii="Times New Roman" w:eastAsia="Times New Roman" w:hAnsi="Times New Roman" w:cs="Times New Roman"/>
          <w:spacing w:val="4"/>
        </w:rPr>
        <w:t>1103</w:t>
      </w:r>
      <w:r>
        <w:rPr>
          <w:rFonts w:ascii="Times New Roman" w:eastAsia="Times New Roman" w:hAnsi="Times New Roman" w:cs="Times New Roman"/>
          <w:spacing w:val="14"/>
          <w:w w:val="101"/>
        </w:rPr>
        <w:t xml:space="preserve"> </w:t>
      </w:r>
      <w:r>
        <w:rPr>
          <w:spacing w:val="4"/>
        </w:rPr>
        <w:t>号</w:t>
      </w:r>
      <w:r>
        <w:rPr>
          <w:spacing w:val="-39"/>
        </w:rPr>
        <w:t>），</w:t>
      </w:r>
      <w:r>
        <w:rPr>
          <w:spacing w:val="4"/>
        </w:rPr>
        <w:t>原环境保护部自然生态保护司于</w:t>
      </w:r>
      <w:r>
        <w:rPr>
          <w:spacing w:val="-43"/>
        </w:rPr>
        <w:t xml:space="preserve"> </w:t>
      </w:r>
      <w:r>
        <w:rPr>
          <w:rFonts w:ascii="Times New Roman" w:eastAsia="Times New Roman" w:hAnsi="Times New Roman" w:cs="Times New Roman"/>
          <w:spacing w:val="4"/>
        </w:rPr>
        <w:t xml:space="preserve">2017 </w:t>
      </w:r>
      <w:r>
        <w:rPr>
          <w:spacing w:val="4"/>
        </w:rPr>
        <w:t>年</w:t>
      </w:r>
      <w:r>
        <w:rPr>
          <w:spacing w:val="-38"/>
        </w:rPr>
        <w:t xml:space="preserve"> </w:t>
      </w:r>
      <w:r>
        <w:rPr>
          <w:rFonts w:ascii="Times New Roman" w:eastAsia="Times New Roman" w:hAnsi="Times New Roman" w:cs="Times New Roman"/>
          <w:spacing w:val="4"/>
        </w:rPr>
        <w:t>5</w:t>
      </w:r>
      <w:r>
        <w:rPr>
          <w:rFonts w:ascii="Times New Roman" w:eastAsia="Times New Roman" w:hAnsi="Times New Roman" w:cs="Times New Roman"/>
          <w:spacing w:val="17"/>
          <w:w w:val="101"/>
        </w:rPr>
        <w:t xml:space="preserve"> </w:t>
      </w:r>
      <w:r>
        <w:rPr>
          <w:spacing w:val="4"/>
        </w:rPr>
        <w:t>月</w:t>
      </w:r>
      <w:r>
        <w:t xml:space="preserve"> </w:t>
      </w:r>
      <w:r>
        <w:rPr>
          <w:spacing w:val="10"/>
        </w:rPr>
        <w:t>下达了《生物多样性观测技术导则 植物多样性观测固定样地的设置》国家环境保护标准项</w:t>
      </w:r>
      <w:r>
        <w:t xml:space="preserve"> </w:t>
      </w:r>
      <w:r>
        <w:rPr>
          <w:spacing w:val="8"/>
        </w:rPr>
        <w:t>目任务书，项目统一编号为</w:t>
      </w:r>
      <w:r>
        <w:rPr>
          <w:spacing w:val="-38"/>
        </w:rPr>
        <w:t xml:space="preserve"> </w:t>
      </w:r>
      <w:r>
        <w:rPr>
          <w:rFonts w:ascii="Times New Roman" w:eastAsia="Times New Roman" w:hAnsi="Times New Roman" w:cs="Times New Roman"/>
          <w:spacing w:val="8"/>
        </w:rPr>
        <w:t>2017-51</w:t>
      </w:r>
      <w:r>
        <w:rPr>
          <w:rFonts w:ascii="Times New Roman" w:eastAsia="Times New Roman" w:hAnsi="Times New Roman" w:cs="Times New Roman"/>
          <w:spacing w:val="-20"/>
        </w:rPr>
        <w:t xml:space="preserve"> </w:t>
      </w:r>
      <w:r>
        <w:rPr>
          <w:spacing w:val="8"/>
        </w:rPr>
        <w:t>。项目由生态环境部南京环境科学研究所主持，南京林</w:t>
      </w:r>
      <w:r>
        <w:t xml:space="preserve"> </w:t>
      </w:r>
      <w:r>
        <w:rPr>
          <w:spacing w:val="6"/>
        </w:rPr>
        <w:t>业大学参加。</w:t>
      </w:r>
    </w:p>
    <w:p>
      <w:pPr>
        <w:spacing w:before="241" w:line="222" w:lineRule="auto"/>
        <w:ind w:left="33"/>
        <w:rPr>
          <w:rFonts w:ascii="SimHei" w:eastAsia="SimHei" w:hAnsi="SimHei" w:cs="SimHei"/>
          <w:sz w:val="24"/>
          <w:szCs w:val="24"/>
        </w:rPr>
      </w:pPr>
      <w:r>
        <w:rPr>
          <w:rFonts w:ascii="SimHei" w:eastAsia="SimHei" w:hAnsi="SimHei" w:cs="SimHei"/>
          <w:spacing w:val="-5"/>
          <w:sz w:val="24"/>
          <w:szCs w:val="24"/>
        </w:rPr>
        <w:t>1.2</w:t>
      </w:r>
      <w:r>
        <w:rPr>
          <w:rFonts w:ascii="SimHei" w:eastAsia="SimHei" w:hAnsi="SimHei" w:cs="SimHei"/>
          <w:spacing w:val="30"/>
          <w:sz w:val="24"/>
          <w:szCs w:val="24"/>
        </w:rPr>
        <w:t xml:space="preserve">  </w:t>
      </w:r>
      <w:r>
        <w:rPr>
          <w:rFonts w:ascii="SimHei" w:eastAsia="SimHei" w:hAnsi="SimHei" w:cs="SimHei"/>
          <w:spacing w:val="-5"/>
          <w:sz w:val="24"/>
          <w:szCs w:val="24"/>
        </w:rPr>
        <w:t>工作过程</w:t>
      </w:r>
    </w:p>
    <w:p>
      <w:pPr>
        <w:pStyle w:val="BodyText"/>
        <w:spacing w:before="250" w:line="321" w:lineRule="auto"/>
        <w:ind w:left="19" w:right="16" w:firstLine="422"/>
        <w:jc w:val="both"/>
      </w:pPr>
      <w:r>
        <w:rPr>
          <w:spacing w:val="7"/>
        </w:rPr>
        <w:t>按照《国家环境保护标准制修订工作管理办法》（国环规科技</w:t>
      </w:r>
      <w:r>
        <w:rPr>
          <w:spacing w:val="6"/>
        </w:rPr>
        <w:t>〔</w:t>
      </w:r>
      <w:r>
        <w:rPr>
          <w:rFonts w:ascii="Times New Roman" w:eastAsia="Times New Roman" w:hAnsi="Times New Roman" w:cs="Times New Roman"/>
          <w:spacing w:val="6"/>
        </w:rPr>
        <w:t>2017</w:t>
      </w:r>
      <w:r>
        <w:rPr>
          <w:spacing w:val="6"/>
        </w:rPr>
        <w:t>〕</w:t>
      </w:r>
      <w:r>
        <w:rPr>
          <w:rFonts w:ascii="Times New Roman" w:eastAsia="Times New Roman" w:hAnsi="Times New Roman" w:cs="Times New Roman"/>
          <w:spacing w:val="6"/>
        </w:rPr>
        <w:t>1</w:t>
      </w:r>
      <w:r>
        <w:rPr>
          <w:rFonts w:ascii="Times New Roman" w:eastAsia="Times New Roman" w:hAnsi="Times New Roman" w:cs="Times New Roman"/>
          <w:spacing w:val="17"/>
          <w:w w:val="101"/>
        </w:rPr>
        <w:t xml:space="preserve"> </w:t>
      </w:r>
      <w:r>
        <w:rPr>
          <w:spacing w:val="6"/>
        </w:rPr>
        <w:t>号）</w:t>
      </w:r>
      <w:r>
        <w:rPr>
          <w:spacing w:val="-59"/>
        </w:rPr>
        <w:t xml:space="preserve"> </w:t>
      </w:r>
      <w:r>
        <w:rPr>
          <w:spacing w:val="6"/>
        </w:rPr>
        <w:t>的有关要</w:t>
      </w:r>
      <w:r>
        <w:t xml:space="preserve"> </w:t>
      </w:r>
      <w:r>
        <w:rPr>
          <w:spacing w:val="8"/>
        </w:rPr>
        <w:t>求，项目承担单位组织相关专家成立了本标准编制组。编制组成员查阅了国内外相关资料，</w:t>
      </w:r>
      <w:r>
        <w:rPr>
          <w:spacing w:val="18"/>
        </w:rPr>
        <w:t xml:space="preserve"> </w:t>
      </w:r>
      <w:r>
        <w:rPr>
          <w:spacing w:val="8"/>
        </w:rPr>
        <w:t>在前期项目研究、文献资料分析和现场调研的基础上</w:t>
      </w:r>
      <w:r>
        <w:rPr>
          <w:spacing w:val="7"/>
        </w:rPr>
        <w:t>，召开了多次研讨会，讨论并确定了标</w:t>
      </w:r>
      <w:r>
        <w:t xml:space="preserve"> </w:t>
      </w:r>
      <w:r>
        <w:rPr>
          <w:spacing w:val="5"/>
        </w:rPr>
        <w:t>准编制工作的原则、程序、步骤和方法。</w:t>
      </w:r>
      <w:r>
        <w:rPr>
          <w:rFonts w:ascii="Times New Roman" w:eastAsia="Times New Roman" w:hAnsi="Times New Roman" w:cs="Times New Roman"/>
          <w:spacing w:val="5"/>
        </w:rPr>
        <w:t xml:space="preserve">2017 </w:t>
      </w:r>
      <w:r>
        <w:rPr>
          <w:spacing w:val="5"/>
        </w:rPr>
        <w:t>年</w:t>
      </w:r>
      <w:r>
        <w:rPr>
          <w:spacing w:val="-10"/>
        </w:rPr>
        <w:t xml:space="preserve"> </w:t>
      </w:r>
      <w:r>
        <w:rPr>
          <w:rFonts w:ascii="Times New Roman" w:eastAsia="Times New Roman" w:hAnsi="Times New Roman" w:cs="Times New Roman"/>
          <w:spacing w:val="5"/>
        </w:rPr>
        <w:t xml:space="preserve">11 </w:t>
      </w:r>
      <w:r>
        <w:rPr>
          <w:spacing w:val="5"/>
        </w:rPr>
        <w:t>月，进行了开题论证；</w:t>
      </w:r>
      <w:r>
        <w:rPr>
          <w:rFonts w:ascii="Times New Roman" w:eastAsia="Times New Roman" w:hAnsi="Times New Roman" w:cs="Times New Roman"/>
          <w:spacing w:val="5"/>
        </w:rPr>
        <w:t xml:space="preserve">2018 </w:t>
      </w:r>
      <w:r>
        <w:rPr>
          <w:spacing w:val="5"/>
        </w:rPr>
        <w:t>年</w:t>
      </w:r>
      <w:r>
        <w:rPr>
          <w:spacing w:val="-39"/>
        </w:rPr>
        <w:t xml:space="preserve"> </w:t>
      </w:r>
      <w:r>
        <w:rPr>
          <w:rFonts w:ascii="Times New Roman" w:eastAsia="Times New Roman" w:hAnsi="Times New Roman" w:cs="Times New Roman"/>
          <w:spacing w:val="5"/>
        </w:rPr>
        <w:t>7</w:t>
      </w:r>
      <w:r>
        <w:rPr>
          <w:rFonts w:ascii="Times New Roman" w:eastAsia="Times New Roman" w:hAnsi="Times New Roman" w:cs="Times New Roman"/>
          <w:spacing w:val="17"/>
        </w:rPr>
        <w:t xml:space="preserve"> </w:t>
      </w:r>
      <w:r>
        <w:rPr>
          <w:spacing w:val="5"/>
        </w:rPr>
        <w:t>月，对</w:t>
      </w:r>
      <w:r>
        <w:t xml:space="preserve"> </w:t>
      </w:r>
      <w:r>
        <w:rPr>
          <w:spacing w:val="6"/>
        </w:rPr>
        <w:t>征求意见稿进行了技术审查；</w:t>
      </w:r>
      <w:r>
        <w:rPr>
          <w:rFonts w:ascii="Times New Roman" w:eastAsia="Times New Roman" w:hAnsi="Times New Roman" w:cs="Times New Roman"/>
          <w:spacing w:val="6"/>
        </w:rPr>
        <w:t xml:space="preserve">2019 </w:t>
      </w:r>
      <w:r>
        <w:rPr>
          <w:spacing w:val="6"/>
        </w:rPr>
        <w:t>年</w:t>
      </w:r>
      <w:r>
        <w:rPr>
          <w:spacing w:val="-38"/>
        </w:rPr>
        <w:t xml:space="preserve"> </w:t>
      </w:r>
      <w:r>
        <w:rPr>
          <w:rFonts w:ascii="Times New Roman" w:eastAsia="Times New Roman" w:hAnsi="Times New Roman" w:cs="Times New Roman"/>
          <w:spacing w:val="6"/>
        </w:rPr>
        <w:t>7</w:t>
      </w:r>
      <w:r>
        <w:rPr>
          <w:rFonts w:ascii="Times New Roman" w:eastAsia="Times New Roman" w:hAnsi="Times New Roman" w:cs="Times New Roman"/>
          <w:spacing w:val="15"/>
          <w:w w:val="101"/>
        </w:rPr>
        <w:t xml:space="preserve"> </w:t>
      </w:r>
      <w:r>
        <w:rPr>
          <w:spacing w:val="6"/>
        </w:rPr>
        <w:t>月</w:t>
      </w:r>
      <w:r>
        <w:rPr>
          <w:spacing w:val="-41"/>
        </w:rPr>
        <w:t xml:space="preserve"> </w:t>
      </w:r>
      <w:r>
        <w:rPr>
          <w:rFonts w:ascii="Times New Roman" w:eastAsia="Times New Roman" w:hAnsi="Times New Roman" w:cs="Times New Roman"/>
          <w:spacing w:val="5"/>
        </w:rPr>
        <w:t xml:space="preserve">2  </w:t>
      </w:r>
      <w:r>
        <w:rPr>
          <w:spacing w:val="5"/>
        </w:rPr>
        <w:t>日，向</w:t>
      </w:r>
      <w:r>
        <w:rPr>
          <w:spacing w:val="-37"/>
        </w:rPr>
        <w:t xml:space="preserve"> </w:t>
      </w:r>
      <w:r>
        <w:rPr>
          <w:rFonts w:ascii="Times New Roman" w:eastAsia="Times New Roman" w:hAnsi="Times New Roman" w:cs="Times New Roman"/>
          <w:spacing w:val="5"/>
        </w:rPr>
        <w:t xml:space="preserve">75 </w:t>
      </w:r>
      <w:r>
        <w:rPr>
          <w:spacing w:val="5"/>
        </w:rPr>
        <w:t>家相关单位（含部内业务司局）征求</w:t>
      </w:r>
      <w:r>
        <w:t xml:space="preserve"> </w:t>
      </w:r>
      <w:r>
        <w:rPr>
          <w:spacing w:val="7"/>
        </w:rPr>
        <w:t>了意见，共有</w:t>
      </w:r>
      <w:r>
        <w:rPr>
          <w:spacing w:val="-38"/>
        </w:rPr>
        <w:t xml:space="preserve"> </w:t>
      </w:r>
      <w:r>
        <w:rPr>
          <w:rFonts w:ascii="Times New Roman" w:eastAsia="Times New Roman" w:hAnsi="Times New Roman" w:cs="Times New Roman"/>
          <w:spacing w:val="7"/>
        </w:rPr>
        <w:t xml:space="preserve">6 </w:t>
      </w:r>
      <w:r>
        <w:rPr>
          <w:spacing w:val="7"/>
        </w:rPr>
        <w:t>家单位提出了</w:t>
      </w:r>
      <w:r>
        <w:rPr>
          <w:spacing w:val="-21"/>
        </w:rPr>
        <w:t xml:space="preserve"> </w:t>
      </w:r>
      <w:r>
        <w:rPr>
          <w:rFonts w:ascii="Times New Roman" w:eastAsia="Times New Roman" w:hAnsi="Times New Roman" w:cs="Times New Roman"/>
          <w:spacing w:val="7"/>
        </w:rPr>
        <w:t xml:space="preserve">18 </w:t>
      </w:r>
      <w:r>
        <w:rPr>
          <w:spacing w:val="7"/>
        </w:rPr>
        <w:t>条意见；</w:t>
      </w:r>
      <w:r>
        <w:rPr>
          <w:rFonts w:ascii="Times New Roman" w:eastAsia="Times New Roman" w:hAnsi="Times New Roman" w:cs="Times New Roman"/>
          <w:spacing w:val="7"/>
        </w:rPr>
        <w:t>2</w:t>
      </w:r>
      <w:r>
        <w:rPr>
          <w:rFonts w:ascii="Times New Roman" w:eastAsia="Times New Roman" w:hAnsi="Times New Roman" w:cs="Times New Roman"/>
          <w:spacing w:val="6"/>
        </w:rPr>
        <w:t xml:space="preserve">019 </w:t>
      </w:r>
      <w:r>
        <w:rPr>
          <w:spacing w:val="6"/>
        </w:rPr>
        <w:t>年</w:t>
      </w:r>
      <w:r>
        <w:rPr>
          <w:spacing w:val="-37"/>
        </w:rPr>
        <w:t xml:space="preserve"> </w:t>
      </w:r>
      <w:r>
        <w:rPr>
          <w:rFonts w:ascii="Times New Roman" w:eastAsia="Times New Roman" w:hAnsi="Times New Roman" w:cs="Times New Roman"/>
          <w:spacing w:val="6"/>
        </w:rPr>
        <w:t xml:space="preserve">9 </w:t>
      </w:r>
      <w:r>
        <w:rPr>
          <w:spacing w:val="6"/>
        </w:rPr>
        <w:t>月，编制组根据反馈意见修改了标准文</w:t>
      </w:r>
      <w:r>
        <w:t xml:space="preserve"> </w:t>
      </w:r>
      <w:r>
        <w:rPr>
          <w:spacing w:val="10"/>
        </w:rPr>
        <w:t>本形成了标准送审稿及编制说明；</w:t>
      </w:r>
      <w:r>
        <w:rPr>
          <w:rFonts w:ascii="Times New Roman" w:eastAsia="Times New Roman" w:hAnsi="Times New Roman" w:cs="Times New Roman"/>
          <w:spacing w:val="10"/>
        </w:rPr>
        <w:t xml:space="preserve">2020 </w:t>
      </w:r>
      <w:r>
        <w:rPr>
          <w:spacing w:val="10"/>
        </w:rPr>
        <w:t>年</w:t>
      </w:r>
      <w:r>
        <w:rPr>
          <w:spacing w:val="-36"/>
        </w:rPr>
        <w:t xml:space="preserve"> </w:t>
      </w:r>
      <w:r>
        <w:rPr>
          <w:rFonts w:ascii="Times New Roman" w:eastAsia="Times New Roman" w:hAnsi="Times New Roman" w:cs="Times New Roman"/>
          <w:spacing w:val="10"/>
        </w:rPr>
        <w:t>6</w:t>
      </w:r>
      <w:r>
        <w:rPr>
          <w:rFonts w:ascii="Times New Roman" w:eastAsia="Times New Roman" w:hAnsi="Times New Roman" w:cs="Times New Roman"/>
          <w:spacing w:val="19"/>
        </w:rPr>
        <w:t xml:space="preserve"> </w:t>
      </w:r>
      <w:r>
        <w:rPr>
          <w:spacing w:val="10"/>
        </w:rPr>
        <w:t>月，对送审稿进行了技术审查，编制组</w:t>
      </w:r>
      <w:r>
        <w:rPr>
          <w:spacing w:val="9"/>
        </w:rPr>
        <w:t>根据审</w:t>
      </w:r>
      <w:r>
        <w:t xml:space="preserve"> </w:t>
      </w:r>
      <w:r>
        <w:rPr>
          <w:spacing w:val="6"/>
        </w:rPr>
        <w:t>议委员会提出的意见和建议，完善了标准文本；</w:t>
      </w:r>
      <w:r>
        <w:rPr>
          <w:rFonts w:ascii="Times New Roman" w:eastAsia="Times New Roman" w:hAnsi="Times New Roman" w:cs="Times New Roman"/>
          <w:spacing w:val="6"/>
        </w:rPr>
        <w:t xml:space="preserve">2020 </w:t>
      </w:r>
      <w:r>
        <w:rPr>
          <w:spacing w:val="6"/>
        </w:rPr>
        <w:t>年</w:t>
      </w:r>
      <w:r>
        <w:rPr>
          <w:spacing w:val="-6"/>
        </w:rPr>
        <w:t xml:space="preserve"> </w:t>
      </w:r>
      <w:r>
        <w:rPr>
          <w:rFonts w:ascii="Times New Roman" w:eastAsia="Times New Roman" w:hAnsi="Times New Roman" w:cs="Times New Roman"/>
          <w:spacing w:val="6"/>
        </w:rPr>
        <w:t xml:space="preserve">11 </w:t>
      </w:r>
      <w:r>
        <w:rPr>
          <w:spacing w:val="6"/>
        </w:rPr>
        <w:t>月，</w:t>
      </w:r>
      <w:r>
        <w:rPr>
          <w:spacing w:val="-58"/>
        </w:rPr>
        <w:t xml:space="preserve"> </w:t>
      </w:r>
      <w:r>
        <w:rPr>
          <w:spacing w:val="6"/>
        </w:rPr>
        <w:t>自然生态保护司审议通过该</w:t>
      </w:r>
      <w:r>
        <w:t xml:space="preserve"> </w:t>
      </w:r>
      <w:r>
        <w:rPr>
          <w:spacing w:val="9"/>
        </w:rPr>
        <w:t>标准，根据司务会审查意见修改后，形成了目前的第二次征求意见稿及其编制说明。</w:t>
      </w:r>
    </w:p>
    <w:p>
      <w:pPr>
        <w:spacing w:line="272" w:lineRule="auto"/>
        <w:rPr>
          <w:rFonts w:ascii="Arial"/>
          <w:sz w:val="21"/>
        </w:rPr>
      </w:pPr>
    </w:p>
    <w:p>
      <w:pPr>
        <w:spacing w:before="91" w:line="222" w:lineRule="auto"/>
        <w:ind w:left="20"/>
        <w:rPr>
          <w:rFonts w:ascii="SimHei" w:eastAsia="SimHei" w:hAnsi="SimHei" w:cs="SimHei"/>
          <w:sz w:val="28"/>
          <w:szCs w:val="28"/>
        </w:rPr>
      </w:pPr>
      <w:r>
        <w:rPr>
          <w:rFonts w:ascii="SimHei" w:eastAsia="SimHei" w:hAnsi="SimHei" w:cs="SimHei"/>
          <w:spacing w:val="-1"/>
          <w:sz w:val="28"/>
          <w:szCs w:val="28"/>
        </w:rPr>
        <w:t>2</w:t>
      </w:r>
      <w:r>
        <w:rPr>
          <w:rFonts w:ascii="SimHei" w:eastAsia="SimHei" w:hAnsi="SimHei" w:cs="SimHei"/>
          <w:spacing w:val="-1"/>
          <w:sz w:val="28"/>
          <w:szCs w:val="28"/>
        </w:rPr>
        <w:t xml:space="preserve">  </w:t>
      </w:r>
      <w:r>
        <w:rPr>
          <w:rFonts w:ascii="SimHei" w:eastAsia="SimHei" w:hAnsi="SimHei" w:cs="SimHei"/>
          <w:spacing w:val="-1"/>
          <w:sz w:val="28"/>
          <w:szCs w:val="28"/>
        </w:rPr>
        <w:t>标准制（修）订的必要性分析</w:t>
      </w:r>
    </w:p>
    <w:p>
      <w:pPr>
        <w:spacing w:line="289" w:lineRule="auto"/>
        <w:rPr>
          <w:rFonts w:ascii="Arial"/>
          <w:sz w:val="21"/>
        </w:rPr>
      </w:pPr>
    </w:p>
    <w:p>
      <w:pPr>
        <w:spacing w:before="79" w:line="222" w:lineRule="auto"/>
        <w:ind w:left="19"/>
        <w:rPr>
          <w:rFonts w:ascii="SimHei" w:eastAsia="SimHei" w:hAnsi="SimHei" w:cs="SimHei"/>
          <w:sz w:val="24"/>
          <w:szCs w:val="24"/>
        </w:rPr>
      </w:pPr>
      <w:r>
        <w:rPr>
          <w:rFonts w:ascii="SimHei" w:eastAsia="SimHei" w:hAnsi="SimHei" w:cs="SimHei"/>
          <w:spacing w:val="-2"/>
          <w:sz w:val="24"/>
          <w:szCs w:val="24"/>
        </w:rPr>
        <w:t>2.1</w:t>
      </w:r>
      <w:r>
        <w:rPr>
          <w:rFonts w:ascii="SimHei" w:eastAsia="SimHei" w:hAnsi="SimHei" w:cs="SimHei"/>
          <w:spacing w:val="38"/>
          <w:sz w:val="24"/>
          <w:szCs w:val="24"/>
        </w:rPr>
        <w:t xml:space="preserve">  </w:t>
      </w:r>
      <w:r>
        <w:rPr>
          <w:rFonts w:ascii="SimHei" w:eastAsia="SimHei" w:hAnsi="SimHei" w:cs="SimHei"/>
          <w:spacing w:val="-2"/>
          <w:sz w:val="24"/>
          <w:szCs w:val="24"/>
        </w:rPr>
        <w:t>国家及生态环境主管部门的相关要求</w:t>
      </w:r>
    </w:p>
    <w:p>
      <w:pPr>
        <w:pStyle w:val="BodyText"/>
        <w:spacing w:before="254" w:line="306" w:lineRule="auto"/>
        <w:ind w:left="9" w:firstLine="435"/>
        <w:jc w:val="both"/>
      </w:pPr>
      <w:r>
        <w:rPr>
          <w:spacing w:val="7"/>
        </w:rPr>
        <w:t>《中华人民共和国环境保护法》第十七条规定，“国家建立、健全环境监测制度。国务</w:t>
      </w:r>
      <w:r>
        <w:rPr>
          <w:spacing w:val="8"/>
        </w:rPr>
        <w:t xml:space="preserve"> </w:t>
      </w:r>
      <w:r>
        <w:rPr>
          <w:spacing w:val="8"/>
        </w:rPr>
        <w:t>院环境保护主管部门制定监测规范，会同有关部门组织监测网络，统一规</w:t>
      </w:r>
      <w:r>
        <w:rPr>
          <w:spacing w:val="7"/>
        </w:rPr>
        <w:t>划国家环境质量监</w:t>
      </w:r>
      <w:r>
        <w:t xml:space="preserve"> </w:t>
      </w:r>
      <w:r>
        <w:rPr>
          <w:spacing w:val="7"/>
        </w:rPr>
        <w:t>测站（点）</w:t>
      </w:r>
      <w:r>
        <w:rPr>
          <w:spacing w:val="-46"/>
        </w:rPr>
        <w:t xml:space="preserve"> </w:t>
      </w:r>
      <w:r>
        <w:rPr>
          <w:spacing w:val="7"/>
        </w:rPr>
        <w:t>的设置，建立监测数据共享机制，加强对环境监测的管理</w:t>
      </w:r>
      <w:r>
        <w:rPr>
          <w:spacing w:val="-70"/>
        </w:rPr>
        <w:t xml:space="preserve"> </w:t>
      </w:r>
      <w:r>
        <w:rPr>
          <w:spacing w:val="7"/>
        </w:rPr>
        <w:t>”；第三十九条规定，</w:t>
      </w:r>
      <w:r>
        <w:t xml:space="preserve"> </w:t>
      </w:r>
      <w:r>
        <w:rPr>
          <w:spacing w:val="7"/>
        </w:rPr>
        <w:t>“</w:t>
      </w:r>
      <w:r>
        <w:rPr>
          <w:spacing w:val="-61"/>
        </w:rPr>
        <w:t xml:space="preserve"> </w:t>
      </w:r>
      <w:r>
        <w:rPr>
          <w:spacing w:val="7"/>
        </w:rPr>
        <w:t>国家建立、健全环境与健康监测、调查和风险评估制度</w:t>
      </w:r>
      <w:r>
        <w:rPr>
          <w:spacing w:val="-70"/>
        </w:rPr>
        <w:t xml:space="preserve"> </w:t>
      </w:r>
      <w:r>
        <w:rPr>
          <w:spacing w:val="7"/>
        </w:rPr>
        <w:t>”。</w:t>
      </w:r>
    </w:p>
    <w:p>
      <w:pPr>
        <w:pStyle w:val="BodyText"/>
        <w:spacing w:before="115" w:line="306" w:lineRule="auto"/>
        <w:ind w:left="19" w:right="54" w:firstLine="425"/>
        <w:jc w:val="both"/>
      </w:pPr>
      <w:r>
        <w:rPr>
          <w:spacing w:val="6"/>
        </w:rPr>
        <w:t>《中国生物多样性保护战略与行动计划》（</w:t>
      </w:r>
      <w:r>
        <w:rPr>
          <w:rFonts w:ascii="Times New Roman" w:eastAsia="Times New Roman" w:hAnsi="Times New Roman" w:cs="Times New Roman"/>
          <w:spacing w:val="6"/>
        </w:rPr>
        <w:t>2</w:t>
      </w:r>
      <w:r>
        <w:rPr>
          <w:rFonts w:ascii="Times New Roman" w:eastAsia="Times New Roman" w:hAnsi="Times New Roman" w:cs="Times New Roman"/>
          <w:spacing w:val="5"/>
        </w:rPr>
        <w:t xml:space="preserve">011-2030 </w:t>
      </w:r>
      <w:r>
        <w:rPr>
          <w:spacing w:val="5"/>
        </w:rPr>
        <w:t>年）提出，到</w:t>
      </w:r>
      <w:r>
        <w:rPr>
          <w:spacing w:val="-43"/>
        </w:rPr>
        <w:t xml:space="preserve"> </w:t>
      </w:r>
      <w:r>
        <w:rPr>
          <w:rFonts w:ascii="Times New Roman" w:eastAsia="Times New Roman" w:hAnsi="Times New Roman" w:cs="Times New Roman"/>
          <w:spacing w:val="5"/>
        </w:rPr>
        <w:t xml:space="preserve">2020 </w:t>
      </w:r>
      <w:r>
        <w:rPr>
          <w:spacing w:val="5"/>
        </w:rPr>
        <w:t>年生物多样性</w:t>
      </w:r>
      <w:r>
        <w:t xml:space="preserve"> </w:t>
      </w:r>
      <w:r>
        <w:rPr>
          <w:spacing w:val="8"/>
        </w:rPr>
        <w:t>监测、评估与预警体系得到改善；在加强生</w:t>
      </w:r>
      <w:r>
        <w:rPr>
          <w:spacing w:val="7"/>
        </w:rPr>
        <w:t>物多样性保护能力建设方面，需“进一步加强生</w:t>
      </w:r>
      <w:r>
        <w:t xml:space="preserve"> </w:t>
      </w:r>
      <w:r>
        <w:rPr>
          <w:spacing w:val="6"/>
        </w:rPr>
        <w:t>物多样性监测能力建设，提高生物多样性预警和管理水平</w:t>
      </w:r>
      <w:r>
        <w:rPr>
          <w:spacing w:val="-60"/>
        </w:rPr>
        <w:t xml:space="preserve"> </w:t>
      </w:r>
      <w:r>
        <w:rPr>
          <w:spacing w:val="6"/>
        </w:rPr>
        <w:t>”；行动</w:t>
      </w:r>
      <w:r>
        <w:rPr>
          <w:spacing w:val="-37"/>
        </w:rPr>
        <w:t xml:space="preserve"> </w:t>
      </w:r>
      <w:r>
        <w:rPr>
          <w:rFonts w:ascii="Times New Roman" w:eastAsia="Times New Roman" w:hAnsi="Times New Roman" w:cs="Times New Roman"/>
          <w:spacing w:val="6"/>
        </w:rPr>
        <w:t xml:space="preserve">9 </w:t>
      </w:r>
      <w:r>
        <w:rPr>
          <w:spacing w:val="6"/>
        </w:rPr>
        <w:t>提出“建立生态系统和</w:t>
      </w:r>
      <w:r>
        <w:t xml:space="preserve"> </w:t>
      </w:r>
      <w:r>
        <w:rPr>
          <w:spacing w:val="8"/>
        </w:rPr>
        <w:t>物种资源的监测标准体系，推进生物多样性监测工作的标准化和规范化</w:t>
      </w:r>
      <w:r>
        <w:rPr>
          <w:spacing w:val="-56"/>
        </w:rPr>
        <w:t xml:space="preserve"> </w:t>
      </w:r>
      <w:r>
        <w:rPr>
          <w:spacing w:val="8"/>
        </w:rPr>
        <w:t>”。</w:t>
      </w:r>
    </w:p>
    <w:p>
      <w:pPr>
        <w:pStyle w:val="BodyText"/>
        <w:spacing w:before="114" w:line="279" w:lineRule="auto"/>
        <w:ind w:left="19" w:right="54" w:firstLine="425"/>
      </w:pPr>
      <w:r>
        <w:rPr>
          <w:spacing w:val="6"/>
        </w:rPr>
        <w:t>《国家环境保护标准“十三五</w:t>
      </w:r>
      <w:r>
        <w:rPr>
          <w:spacing w:val="-54"/>
        </w:rPr>
        <w:t xml:space="preserve"> </w:t>
      </w:r>
      <w:r>
        <w:rPr>
          <w:spacing w:val="6"/>
        </w:rPr>
        <w:t>”发展规划》要求“继续完善生物多样性调查、监测与评</w:t>
      </w:r>
      <w:r>
        <w:t xml:space="preserve"> </w:t>
      </w:r>
      <w:r>
        <w:rPr>
          <w:spacing w:val="5"/>
        </w:rPr>
        <w:t>估技术规范</w:t>
      </w:r>
      <w:r>
        <w:rPr>
          <w:spacing w:val="-73"/>
        </w:rPr>
        <w:t xml:space="preserve"> </w:t>
      </w:r>
      <w:r>
        <w:rPr>
          <w:spacing w:val="5"/>
        </w:rPr>
        <w:t>”。制定本标准是国家环境保护标准体系建设的客观要求。</w:t>
      </w:r>
    </w:p>
    <w:p>
      <w:pPr>
        <w:pStyle w:val="BodyText"/>
        <w:spacing w:before="116" w:line="297" w:lineRule="auto"/>
        <w:ind w:left="19" w:right="54" w:firstLine="417"/>
        <w:jc w:val="both"/>
      </w:pPr>
      <w:r>
        <w:rPr>
          <w:rFonts w:ascii="Times New Roman" w:eastAsia="Times New Roman" w:hAnsi="Times New Roman" w:cs="Times New Roman"/>
          <w:spacing w:val="10"/>
        </w:rPr>
        <w:t xml:space="preserve">2015 </w:t>
      </w:r>
      <w:r>
        <w:rPr>
          <w:spacing w:val="10"/>
        </w:rPr>
        <w:t>年</w:t>
      </w:r>
      <w:r>
        <w:rPr>
          <w:spacing w:val="-21"/>
        </w:rPr>
        <w:t xml:space="preserve"> </w:t>
      </w:r>
      <w:r>
        <w:rPr>
          <w:rFonts w:ascii="Times New Roman" w:eastAsia="Times New Roman" w:hAnsi="Times New Roman" w:cs="Times New Roman"/>
          <w:spacing w:val="10"/>
        </w:rPr>
        <w:t>1</w:t>
      </w:r>
      <w:r>
        <w:rPr>
          <w:rFonts w:ascii="Times New Roman" w:eastAsia="Times New Roman" w:hAnsi="Times New Roman" w:cs="Times New Roman"/>
          <w:spacing w:val="20"/>
        </w:rPr>
        <w:t xml:space="preserve"> </w:t>
      </w:r>
      <w:r>
        <w:rPr>
          <w:spacing w:val="10"/>
        </w:rPr>
        <w:t>月，国务院批准了关于启动生物多样性</w:t>
      </w:r>
      <w:r>
        <w:rPr>
          <w:spacing w:val="9"/>
        </w:rPr>
        <w:t>保护重大工程的请示，生物多样性保</w:t>
      </w:r>
      <w:r>
        <w:t xml:space="preserve"> </w:t>
      </w:r>
      <w:r>
        <w:rPr>
          <w:spacing w:val="9"/>
        </w:rPr>
        <w:t>护重大工程被列入中央政治局常委会</w:t>
      </w:r>
      <w:r>
        <w:rPr>
          <w:spacing w:val="-28"/>
        </w:rPr>
        <w:t xml:space="preserve"> </w:t>
      </w:r>
      <w:r>
        <w:rPr>
          <w:rFonts w:ascii="Times New Roman" w:eastAsia="Times New Roman" w:hAnsi="Times New Roman" w:cs="Times New Roman"/>
          <w:spacing w:val="9"/>
        </w:rPr>
        <w:t xml:space="preserve">2015 </w:t>
      </w:r>
      <w:r>
        <w:rPr>
          <w:spacing w:val="9"/>
        </w:rPr>
        <w:t>年重点工作，本标准作为生物多样性保护重大工</w:t>
      </w:r>
      <w:r>
        <w:t xml:space="preserve"> </w:t>
      </w:r>
      <w:r>
        <w:rPr>
          <w:spacing w:val="9"/>
        </w:rPr>
        <w:t>程的重要配套，其制定和实施将有力地保障生物多样性保护重大工程的有序推进。</w:t>
      </w:r>
    </w:p>
    <w:p>
      <w:pPr>
        <w:spacing w:line="297" w:lineRule="auto"/>
        <w:sectPr>
          <w:footerReference w:type="default" r:id="rId4"/>
          <w:pgSz w:w="11906" w:h="16839"/>
          <w:pgMar w:top="1430" w:right="1744" w:bottom="1362" w:left="1785" w:header="0" w:footer="1200" w:gutter="0"/>
          <w:cols w:space="708"/>
        </w:sectPr>
      </w:pPr>
    </w:p>
    <w:p>
      <w:pPr>
        <w:spacing w:before="91" w:line="222" w:lineRule="auto"/>
        <w:ind w:left="19"/>
        <w:rPr>
          <w:rFonts w:ascii="SimHei" w:eastAsia="SimHei" w:hAnsi="SimHei" w:cs="SimHei"/>
          <w:sz w:val="24"/>
          <w:szCs w:val="24"/>
        </w:rPr>
      </w:pPr>
      <w:r>
        <w:rPr>
          <w:rFonts w:ascii="SimHei" w:eastAsia="SimHei" w:hAnsi="SimHei" w:cs="SimHei"/>
          <w:spacing w:val="-2"/>
          <w:sz w:val="24"/>
          <w:szCs w:val="24"/>
        </w:rPr>
        <w:t>2.2</w:t>
      </w:r>
      <w:r>
        <w:rPr>
          <w:rFonts w:ascii="SimHei" w:eastAsia="SimHei" w:hAnsi="SimHei" w:cs="SimHei"/>
          <w:spacing w:val="36"/>
          <w:sz w:val="24"/>
          <w:szCs w:val="24"/>
        </w:rPr>
        <w:t xml:space="preserve">  </w:t>
      </w:r>
      <w:r>
        <w:rPr>
          <w:rFonts w:ascii="SimHei" w:eastAsia="SimHei" w:hAnsi="SimHei" w:cs="SimHei"/>
          <w:spacing w:val="-2"/>
          <w:sz w:val="24"/>
          <w:szCs w:val="24"/>
        </w:rPr>
        <w:t>适应全球生物多样性保护的要求</w:t>
      </w:r>
    </w:p>
    <w:p>
      <w:pPr>
        <w:pStyle w:val="BodyText"/>
        <w:spacing w:before="256" w:line="317" w:lineRule="auto"/>
        <w:ind w:left="19" w:right="32" w:firstLine="421"/>
        <w:jc w:val="both"/>
      </w:pPr>
      <w:r>
        <w:rPr>
          <w:spacing w:val="7"/>
        </w:rPr>
        <w:t>我国是《生物多样性公约》的缔约方。《生物多样性公约》第</w:t>
      </w:r>
      <w:r>
        <w:rPr>
          <w:spacing w:val="-37"/>
        </w:rPr>
        <w:t xml:space="preserve"> </w:t>
      </w:r>
      <w:r>
        <w:rPr>
          <w:rFonts w:ascii="Times New Roman" w:eastAsia="Times New Roman" w:hAnsi="Times New Roman" w:cs="Times New Roman"/>
          <w:spacing w:val="7"/>
        </w:rPr>
        <w:t xml:space="preserve">7 </w:t>
      </w:r>
      <w:r>
        <w:rPr>
          <w:spacing w:val="7"/>
        </w:rPr>
        <w:t>条要</w:t>
      </w:r>
      <w:r>
        <w:rPr>
          <w:spacing w:val="6"/>
        </w:rPr>
        <w:t>求通过抽样调查和</w:t>
      </w:r>
      <w:r>
        <w:t xml:space="preserve"> </w:t>
      </w:r>
      <w:r>
        <w:rPr>
          <w:spacing w:val="8"/>
        </w:rPr>
        <w:t>其他技术，监测生物多样性组成部分及对生物多样性产生不利影响的活动。</w:t>
      </w:r>
      <w:r>
        <w:rPr>
          <w:rFonts w:ascii="Times New Roman" w:eastAsia="Times New Roman" w:hAnsi="Times New Roman" w:cs="Times New Roman"/>
          <w:spacing w:val="8"/>
        </w:rPr>
        <w:t xml:space="preserve">2022 </w:t>
      </w:r>
      <w:r>
        <w:rPr>
          <w:spacing w:val="8"/>
        </w:rPr>
        <w:t>年</w:t>
      </w:r>
      <w:r>
        <w:rPr>
          <w:spacing w:val="-7"/>
        </w:rPr>
        <w:t xml:space="preserve"> </w:t>
      </w:r>
      <w:r>
        <w:rPr>
          <w:rFonts w:ascii="Times New Roman" w:eastAsia="Times New Roman" w:hAnsi="Times New Roman" w:cs="Times New Roman"/>
          <w:spacing w:val="8"/>
        </w:rPr>
        <w:t>12</w:t>
      </w:r>
      <w:r>
        <w:rPr>
          <w:rFonts w:ascii="Times New Roman" w:eastAsia="Times New Roman" w:hAnsi="Times New Roman" w:cs="Times New Roman"/>
          <w:spacing w:val="17"/>
        </w:rPr>
        <w:t xml:space="preserve"> </w:t>
      </w:r>
      <w:r>
        <w:rPr>
          <w:spacing w:val="8"/>
        </w:rPr>
        <w:t>月，</w:t>
      </w:r>
      <w:r>
        <w:t xml:space="preserve"> </w:t>
      </w:r>
      <w:r>
        <w:rPr>
          <w:spacing w:val="8"/>
        </w:rPr>
        <w:t>《生物多样性公约》第十五次缔约方大会（</w:t>
      </w:r>
      <w:r>
        <w:rPr>
          <w:rFonts w:ascii="Times New Roman" w:eastAsia="Times New Roman" w:hAnsi="Times New Roman" w:cs="Times New Roman"/>
        </w:rPr>
        <w:t>COP</w:t>
      </w:r>
      <w:r>
        <w:rPr>
          <w:rFonts w:ascii="Times New Roman" w:eastAsia="Times New Roman" w:hAnsi="Times New Roman" w:cs="Times New Roman"/>
          <w:spacing w:val="8"/>
        </w:rPr>
        <w:t>15</w:t>
      </w:r>
      <w:r>
        <w:rPr>
          <w:spacing w:val="8"/>
        </w:rPr>
        <w:t>）第二阶段会议成功举办，会议达成</w:t>
      </w:r>
      <w:r>
        <w:rPr>
          <w:spacing w:val="7"/>
        </w:rPr>
        <w:t>了历</w:t>
      </w:r>
      <w:r>
        <w:t xml:space="preserve"> </w:t>
      </w:r>
      <w:r>
        <w:rPr>
          <w:spacing w:val="6"/>
        </w:rPr>
        <w:t>史性的成果文件——“</w:t>
      </w:r>
      <w:r>
        <w:rPr>
          <w:spacing w:val="-64"/>
        </w:rPr>
        <w:t xml:space="preserve"> </w:t>
      </w:r>
      <w:r>
        <w:rPr>
          <w:spacing w:val="6"/>
        </w:rPr>
        <w:t>昆明—蒙特利尔全球生物多样性框架</w:t>
      </w:r>
      <w:r>
        <w:rPr>
          <w:spacing w:val="-70"/>
        </w:rPr>
        <w:t xml:space="preserve"> </w:t>
      </w:r>
      <w:r>
        <w:rPr>
          <w:spacing w:val="6"/>
        </w:rPr>
        <w:t>”，该框架涵盖</w:t>
      </w:r>
      <w:r>
        <w:rPr>
          <w:spacing w:val="5"/>
        </w:rPr>
        <w:t>阻止和扭转自然</w:t>
      </w:r>
      <w:r>
        <w:t xml:space="preserve"> </w:t>
      </w:r>
      <w:r>
        <w:rPr>
          <w:spacing w:val="8"/>
        </w:rPr>
        <w:t>损失的具体措施，要求到</w:t>
      </w:r>
      <w:r>
        <w:rPr>
          <w:spacing w:val="-22"/>
        </w:rPr>
        <w:t xml:space="preserve"> </w:t>
      </w:r>
      <w:r>
        <w:rPr>
          <w:rFonts w:ascii="Times New Roman" w:eastAsia="Times New Roman" w:hAnsi="Times New Roman" w:cs="Times New Roman"/>
          <w:spacing w:val="8"/>
        </w:rPr>
        <w:t xml:space="preserve">2030 </w:t>
      </w:r>
      <w:r>
        <w:rPr>
          <w:spacing w:val="8"/>
        </w:rPr>
        <w:t>年保护地球上</w:t>
      </w:r>
      <w:r>
        <w:rPr>
          <w:spacing w:val="-37"/>
        </w:rPr>
        <w:t xml:space="preserve"> </w:t>
      </w:r>
      <w:r>
        <w:rPr>
          <w:rFonts w:ascii="Times New Roman" w:eastAsia="Times New Roman" w:hAnsi="Times New Roman" w:cs="Times New Roman"/>
          <w:spacing w:val="8"/>
        </w:rPr>
        <w:t>30%</w:t>
      </w:r>
      <w:r>
        <w:rPr>
          <w:spacing w:val="8"/>
        </w:rPr>
        <w:t>的土地、沿海地区和海洋，同时，要恢复</w:t>
      </w:r>
      <w:r>
        <w:t xml:space="preserve"> </w:t>
      </w:r>
      <w:r>
        <w:rPr>
          <w:rFonts w:ascii="Times New Roman" w:eastAsia="Times New Roman" w:hAnsi="Times New Roman" w:cs="Times New Roman"/>
          <w:spacing w:val="8"/>
        </w:rPr>
        <w:t>30%</w:t>
      </w:r>
      <w:r>
        <w:rPr>
          <w:spacing w:val="8"/>
        </w:rPr>
        <w:t>退化的陆地和海洋生态系统，为全球生物多样性治理擘画了新的蓝图。“昆明—蒙特利</w:t>
      </w:r>
      <w:r>
        <w:rPr>
          <w:spacing w:val="5"/>
        </w:rPr>
        <w:t xml:space="preserve"> </w:t>
      </w:r>
      <w:r>
        <w:rPr>
          <w:spacing w:val="8"/>
        </w:rPr>
        <w:t>尔全球生物多样性框架</w:t>
      </w:r>
      <w:r>
        <w:rPr>
          <w:spacing w:val="-70"/>
        </w:rPr>
        <w:t xml:space="preserve"> </w:t>
      </w:r>
      <w:r>
        <w:rPr>
          <w:spacing w:val="8"/>
        </w:rPr>
        <w:t>”行动目标</w:t>
      </w:r>
      <w:r>
        <w:rPr>
          <w:spacing w:val="-41"/>
        </w:rPr>
        <w:t xml:space="preserve"> </w:t>
      </w:r>
      <w:r>
        <w:rPr>
          <w:rFonts w:ascii="Times New Roman" w:eastAsia="Times New Roman" w:hAnsi="Times New Roman" w:cs="Times New Roman"/>
          <w:spacing w:val="8"/>
        </w:rPr>
        <w:t xml:space="preserve">20 </w:t>
      </w:r>
      <w:r>
        <w:rPr>
          <w:spacing w:val="8"/>
        </w:rPr>
        <w:t>提出，加强生物多样性科研和</w:t>
      </w:r>
      <w:r>
        <w:rPr>
          <w:spacing w:val="7"/>
        </w:rPr>
        <w:t>监测能力。</w:t>
      </w:r>
    </w:p>
    <w:p>
      <w:pPr>
        <w:spacing w:before="242" w:line="222" w:lineRule="auto"/>
        <w:ind w:left="19"/>
        <w:rPr>
          <w:rFonts w:ascii="SimHei" w:eastAsia="SimHei" w:hAnsi="SimHei" w:cs="SimHei"/>
          <w:sz w:val="24"/>
          <w:szCs w:val="24"/>
        </w:rPr>
      </w:pPr>
      <w:r>
        <w:rPr>
          <w:rFonts w:ascii="SimHei" w:eastAsia="SimHei" w:hAnsi="SimHei" w:cs="SimHei"/>
          <w:spacing w:val="-1"/>
          <w:sz w:val="24"/>
          <w:szCs w:val="24"/>
        </w:rPr>
        <w:t>2.3</w:t>
      </w:r>
      <w:r>
        <w:rPr>
          <w:rFonts w:ascii="SimHei" w:eastAsia="SimHei" w:hAnsi="SimHei" w:cs="SimHei"/>
          <w:spacing w:val="31"/>
          <w:sz w:val="24"/>
          <w:szCs w:val="24"/>
        </w:rPr>
        <w:t xml:space="preserve">  </w:t>
      </w:r>
      <w:r>
        <w:rPr>
          <w:rFonts w:ascii="SimHei" w:eastAsia="SimHei" w:hAnsi="SimHei" w:cs="SimHei"/>
          <w:spacing w:val="-1"/>
          <w:sz w:val="24"/>
          <w:szCs w:val="24"/>
        </w:rPr>
        <w:t>解决现行植物多样性观测标准存在的主要问题</w:t>
      </w:r>
    </w:p>
    <w:p>
      <w:pPr>
        <w:pStyle w:val="BodyText"/>
        <w:spacing w:before="255" w:line="319" w:lineRule="auto"/>
        <w:ind w:left="19" w:right="82" w:firstLine="419"/>
        <w:jc w:val="both"/>
      </w:pPr>
      <w:r>
        <w:rPr>
          <w:spacing w:val="7"/>
        </w:rPr>
        <w:t>近年来，国内相关部门已经制定了一些植物多样性观测标准，但都没有对植物多样性观</w:t>
      </w:r>
      <w:r>
        <w:rPr>
          <w:spacing w:val="17"/>
        </w:rPr>
        <w:t xml:space="preserve"> </w:t>
      </w:r>
      <w:r>
        <w:rPr>
          <w:spacing w:val="4"/>
        </w:rPr>
        <w:t>测固定样地（以下简称“样地</w:t>
      </w:r>
      <w:r>
        <w:rPr>
          <w:spacing w:val="-65"/>
        </w:rPr>
        <w:t xml:space="preserve"> </w:t>
      </w:r>
      <w:r>
        <w:rPr>
          <w:spacing w:val="4"/>
        </w:rPr>
        <w:t>”）的设置进行具体规定。如《生物多样性观测技术导则 陆生</w:t>
      </w:r>
      <w:r>
        <w:t xml:space="preserve"> </w:t>
      </w:r>
      <w:r>
        <w:rPr>
          <w:spacing w:val="6"/>
        </w:rPr>
        <w:t>维管植物》（</w:t>
      </w:r>
      <w:r>
        <w:rPr>
          <w:rFonts w:ascii="Times New Roman" w:eastAsia="Times New Roman" w:hAnsi="Times New Roman" w:cs="Times New Roman"/>
        </w:rPr>
        <w:t>HJ</w:t>
      </w:r>
      <w:r>
        <w:rPr>
          <w:rFonts w:ascii="Times New Roman" w:eastAsia="Times New Roman" w:hAnsi="Times New Roman" w:cs="Times New Roman"/>
          <w:spacing w:val="6"/>
        </w:rPr>
        <w:t xml:space="preserve"> 710.</w:t>
      </w:r>
      <w:r>
        <w:rPr>
          <w:rFonts w:ascii="Times New Roman" w:eastAsia="Times New Roman" w:hAnsi="Times New Roman" w:cs="Times New Roman"/>
          <w:spacing w:val="-24"/>
        </w:rPr>
        <w:t xml:space="preserve"> </w:t>
      </w:r>
      <w:r>
        <w:rPr>
          <w:rFonts w:ascii="Times New Roman" w:eastAsia="Times New Roman" w:hAnsi="Times New Roman" w:cs="Times New Roman"/>
          <w:spacing w:val="6"/>
        </w:rPr>
        <w:t>1</w:t>
      </w:r>
      <w:r>
        <w:rPr>
          <w:spacing w:val="-40"/>
        </w:rPr>
        <w:t>），</w:t>
      </w:r>
      <w:r>
        <w:rPr>
          <w:spacing w:val="6"/>
        </w:rPr>
        <w:t>主要对群落调查方法进行了规定</w:t>
      </w:r>
      <w:r>
        <w:rPr>
          <w:spacing w:val="5"/>
        </w:rPr>
        <w:t>，对样地设计和样地测量没有具体</w:t>
      </w:r>
      <w:r>
        <w:t xml:space="preserve"> </w:t>
      </w:r>
      <w:r>
        <w:rPr>
          <w:spacing w:val="8"/>
        </w:rPr>
        <w:t>规定。国内其他部门也相继出台了一些行业标准，</w:t>
      </w:r>
      <w:r>
        <w:rPr>
          <w:spacing w:val="7"/>
        </w:rPr>
        <w:t>如原国家林业局发布的《森林生态系统定</w:t>
      </w:r>
      <w:r>
        <w:t xml:space="preserve"> </w:t>
      </w:r>
      <w:r>
        <w:rPr>
          <w:spacing w:val="-7"/>
        </w:rPr>
        <w:t>位观测指标体系》（</w:t>
      </w:r>
      <w:r>
        <w:rPr>
          <w:rFonts w:ascii="Times New Roman" w:eastAsia="Times New Roman" w:hAnsi="Times New Roman" w:cs="Times New Roman"/>
          <w:spacing w:val="-7"/>
        </w:rPr>
        <w:t>LY/T</w:t>
      </w:r>
      <w:r>
        <w:rPr>
          <w:rFonts w:ascii="Times New Roman" w:eastAsia="Times New Roman" w:hAnsi="Times New Roman" w:cs="Times New Roman"/>
          <w:spacing w:val="24"/>
          <w:w w:val="101"/>
        </w:rPr>
        <w:t xml:space="preserve"> </w:t>
      </w:r>
      <w:r>
        <w:rPr>
          <w:rFonts w:ascii="Times New Roman" w:eastAsia="Times New Roman" w:hAnsi="Times New Roman" w:cs="Times New Roman"/>
          <w:spacing w:val="-7"/>
        </w:rPr>
        <w:t>1606</w:t>
      </w:r>
      <w:r>
        <w:rPr>
          <w:spacing w:val="-7"/>
        </w:rPr>
        <w:t>）、《森林生态系统监测指标体系》（</w:t>
      </w:r>
      <w:r>
        <w:rPr>
          <w:rFonts w:ascii="Times New Roman" w:eastAsia="Times New Roman" w:hAnsi="Times New Roman" w:cs="Times New Roman"/>
          <w:spacing w:val="-7"/>
        </w:rPr>
        <w:t>DB11T 4</w:t>
      </w:r>
      <w:r>
        <w:rPr>
          <w:rFonts w:ascii="Times New Roman" w:eastAsia="Times New Roman" w:hAnsi="Times New Roman" w:cs="Times New Roman"/>
          <w:spacing w:val="-8"/>
        </w:rPr>
        <w:t>77</w:t>
      </w:r>
      <w:r>
        <w:rPr>
          <w:spacing w:val="-8"/>
        </w:rPr>
        <w:t>）、《森林生态系</w:t>
      </w:r>
      <w:r>
        <w:t xml:space="preserve"> </w:t>
      </w:r>
      <w:r>
        <w:rPr>
          <w:spacing w:val="-7"/>
        </w:rPr>
        <w:t>统长期定位观测方法》（</w:t>
      </w:r>
      <w:r>
        <w:rPr>
          <w:rFonts w:ascii="Times New Roman" w:eastAsia="Times New Roman" w:hAnsi="Times New Roman" w:cs="Times New Roman"/>
          <w:spacing w:val="-7"/>
        </w:rPr>
        <w:t>LY/T</w:t>
      </w:r>
      <w:r>
        <w:rPr>
          <w:rFonts w:ascii="Times New Roman" w:eastAsia="Times New Roman" w:hAnsi="Times New Roman" w:cs="Times New Roman"/>
          <w:spacing w:val="38"/>
          <w:w w:val="101"/>
        </w:rPr>
        <w:t xml:space="preserve"> </w:t>
      </w:r>
      <w:r>
        <w:rPr>
          <w:rFonts w:ascii="Times New Roman" w:eastAsia="Times New Roman" w:hAnsi="Times New Roman" w:cs="Times New Roman"/>
          <w:spacing w:val="-7"/>
        </w:rPr>
        <w:t>1952</w:t>
      </w:r>
      <w:r>
        <w:rPr>
          <w:spacing w:val="-7"/>
        </w:rPr>
        <w:t>）、《湿地生态系统定位观测指标体系》（</w:t>
      </w:r>
      <w:r>
        <w:rPr>
          <w:rFonts w:ascii="Times New Roman" w:eastAsia="Times New Roman" w:hAnsi="Times New Roman" w:cs="Times New Roman"/>
          <w:spacing w:val="-7"/>
        </w:rPr>
        <w:t>LY/T</w:t>
      </w:r>
      <w:r>
        <w:rPr>
          <w:rFonts w:ascii="Times New Roman" w:eastAsia="Times New Roman" w:hAnsi="Times New Roman" w:cs="Times New Roman"/>
          <w:spacing w:val="25"/>
        </w:rPr>
        <w:t xml:space="preserve"> </w:t>
      </w:r>
      <w:r>
        <w:rPr>
          <w:rFonts w:ascii="Times New Roman" w:eastAsia="Times New Roman" w:hAnsi="Times New Roman" w:cs="Times New Roman"/>
          <w:spacing w:val="-7"/>
        </w:rPr>
        <w:t>1707</w:t>
      </w:r>
      <w:r>
        <w:rPr>
          <w:spacing w:val="-7"/>
        </w:rPr>
        <w:t>）、《荒</w:t>
      </w:r>
      <w:r>
        <w:t xml:space="preserve"> </w:t>
      </w:r>
      <w:r>
        <w:rPr>
          <w:spacing w:val="3"/>
        </w:rPr>
        <w:t>漠生态系统定位观测技术规范》（</w:t>
      </w:r>
      <w:r>
        <w:rPr>
          <w:rFonts w:ascii="Times New Roman" w:eastAsia="Times New Roman" w:hAnsi="Times New Roman" w:cs="Times New Roman"/>
        </w:rPr>
        <w:t>LY</w:t>
      </w:r>
      <w:r>
        <w:rPr>
          <w:rFonts w:ascii="Times New Roman" w:eastAsia="Times New Roman" w:hAnsi="Times New Roman" w:cs="Times New Roman"/>
          <w:spacing w:val="3"/>
        </w:rPr>
        <w:t>/T</w:t>
      </w:r>
      <w:r>
        <w:rPr>
          <w:rFonts w:ascii="Times New Roman" w:eastAsia="Times New Roman" w:hAnsi="Times New Roman" w:cs="Times New Roman"/>
          <w:spacing w:val="40"/>
        </w:rPr>
        <w:t xml:space="preserve"> </w:t>
      </w:r>
      <w:r>
        <w:rPr>
          <w:rFonts w:ascii="Times New Roman" w:eastAsia="Times New Roman" w:hAnsi="Times New Roman" w:cs="Times New Roman"/>
          <w:spacing w:val="3"/>
        </w:rPr>
        <w:t>1752</w:t>
      </w:r>
      <w:r>
        <w:rPr>
          <w:spacing w:val="3"/>
        </w:rPr>
        <w:t>）和《荒漠生态系统定位观测指标体系》（</w:t>
      </w:r>
      <w:r>
        <w:rPr>
          <w:rFonts w:ascii="Times New Roman" w:eastAsia="Times New Roman" w:hAnsi="Times New Roman" w:cs="Times New Roman"/>
        </w:rPr>
        <w:t>LY</w:t>
      </w:r>
      <w:r>
        <w:rPr>
          <w:rFonts w:ascii="Times New Roman" w:eastAsia="Times New Roman" w:hAnsi="Times New Roman" w:cs="Times New Roman"/>
          <w:spacing w:val="3"/>
        </w:rPr>
        <w:t>/T</w:t>
      </w:r>
      <w:r>
        <w:rPr>
          <w:rFonts w:ascii="Times New Roman" w:eastAsia="Times New Roman" w:hAnsi="Times New Roman" w:cs="Times New Roman"/>
        </w:rPr>
        <w:t xml:space="preserve"> </w:t>
      </w:r>
      <w:r>
        <w:rPr>
          <w:rFonts w:ascii="Times New Roman" w:eastAsia="Times New Roman" w:hAnsi="Times New Roman" w:cs="Times New Roman"/>
          <w:spacing w:val="9"/>
        </w:rPr>
        <w:t>1698</w:t>
      </w:r>
      <w:r>
        <w:rPr>
          <w:spacing w:val="9"/>
        </w:rPr>
        <w:t>）等。这些标准的内容，均未涉及</w:t>
      </w:r>
      <w:r>
        <w:rPr>
          <w:spacing w:val="8"/>
        </w:rPr>
        <w:t>本标准的主要技术环节。</w:t>
      </w:r>
    </w:p>
    <w:p>
      <w:pPr>
        <w:pStyle w:val="BodyText"/>
        <w:spacing w:before="115" w:line="297" w:lineRule="auto"/>
        <w:ind w:left="18" w:right="32" w:firstLine="420"/>
        <w:jc w:val="both"/>
      </w:pPr>
      <w:r>
        <w:rPr>
          <w:spacing w:val="3"/>
        </w:rPr>
        <w:t>样地设置的技术难度较大、经济成本较高，如果没有针对固定样地建设制定统一的标准，</w:t>
      </w:r>
      <w:r>
        <w:rPr>
          <w:spacing w:val="18"/>
        </w:rPr>
        <w:t xml:space="preserve"> </w:t>
      </w:r>
      <w:r>
        <w:rPr>
          <w:spacing w:val="8"/>
        </w:rPr>
        <w:t>将造成样地设置精度低、工作效率不高，严重影响到</w:t>
      </w:r>
      <w:r>
        <w:rPr>
          <w:spacing w:val="7"/>
        </w:rPr>
        <w:t>植物多样性长期监测的准确性。本标准</w:t>
      </w:r>
      <w:r>
        <w:t xml:space="preserve"> </w:t>
      </w:r>
      <w:r>
        <w:rPr>
          <w:spacing w:val="9"/>
        </w:rPr>
        <w:t>通过规范固定样地的设置，统一固定样地设置技术要求，进而加强植物多样性的</w:t>
      </w:r>
      <w:r>
        <w:rPr>
          <w:spacing w:val="8"/>
        </w:rPr>
        <w:t>科学观测。</w:t>
      </w:r>
    </w:p>
    <w:p>
      <w:pPr>
        <w:spacing w:line="271" w:lineRule="auto"/>
        <w:rPr>
          <w:rFonts w:ascii="Arial"/>
          <w:sz w:val="21"/>
        </w:rPr>
      </w:pPr>
    </w:p>
    <w:p>
      <w:pPr>
        <w:spacing w:before="91" w:line="223" w:lineRule="auto"/>
        <w:ind w:left="22"/>
        <w:rPr>
          <w:rFonts w:ascii="SimHei" w:eastAsia="SimHei" w:hAnsi="SimHei" w:cs="SimHei"/>
          <w:sz w:val="28"/>
          <w:szCs w:val="28"/>
        </w:rPr>
      </w:pPr>
      <w:r>
        <w:rPr>
          <w:rFonts w:ascii="SimHei" w:eastAsia="SimHei" w:hAnsi="SimHei" w:cs="SimHei"/>
          <w:spacing w:val="-4"/>
          <w:sz w:val="28"/>
          <w:szCs w:val="28"/>
        </w:rPr>
        <w:t>3</w:t>
      </w:r>
      <w:r>
        <w:rPr>
          <w:rFonts w:ascii="SimHei" w:eastAsia="SimHei" w:hAnsi="SimHei" w:cs="SimHei"/>
          <w:spacing w:val="17"/>
          <w:sz w:val="28"/>
          <w:szCs w:val="28"/>
        </w:rPr>
        <w:t xml:space="preserve">  </w:t>
      </w:r>
      <w:r>
        <w:rPr>
          <w:rFonts w:ascii="SimHei" w:eastAsia="SimHei" w:hAnsi="SimHei" w:cs="SimHei"/>
          <w:spacing w:val="-4"/>
          <w:sz w:val="28"/>
          <w:szCs w:val="28"/>
        </w:rPr>
        <w:t>国内外相关标准情况</w:t>
      </w:r>
    </w:p>
    <w:p>
      <w:pPr>
        <w:spacing w:line="288" w:lineRule="auto"/>
        <w:rPr>
          <w:rFonts w:ascii="Arial"/>
          <w:sz w:val="21"/>
        </w:rPr>
      </w:pPr>
    </w:p>
    <w:p>
      <w:pPr>
        <w:spacing w:before="79" w:line="222" w:lineRule="auto"/>
        <w:ind w:left="21"/>
        <w:rPr>
          <w:rFonts w:ascii="SimHei" w:eastAsia="SimHei" w:hAnsi="SimHei" w:cs="SimHei"/>
          <w:sz w:val="24"/>
          <w:szCs w:val="24"/>
        </w:rPr>
      </w:pPr>
      <w:r>
        <w:rPr>
          <w:rFonts w:ascii="SimHei" w:eastAsia="SimHei" w:hAnsi="SimHei" w:cs="SimHei"/>
          <w:spacing w:val="-3"/>
          <w:sz w:val="24"/>
          <w:szCs w:val="24"/>
        </w:rPr>
        <w:t>3.1</w:t>
      </w:r>
      <w:r>
        <w:rPr>
          <w:rFonts w:ascii="SimHei" w:eastAsia="SimHei" w:hAnsi="SimHei" w:cs="SimHei"/>
          <w:spacing w:val="36"/>
          <w:sz w:val="24"/>
          <w:szCs w:val="24"/>
        </w:rPr>
        <w:t xml:space="preserve">  </w:t>
      </w:r>
      <w:r>
        <w:rPr>
          <w:rFonts w:ascii="SimHei" w:eastAsia="SimHei" w:hAnsi="SimHei" w:cs="SimHei"/>
          <w:spacing w:val="-3"/>
          <w:sz w:val="24"/>
          <w:szCs w:val="24"/>
        </w:rPr>
        <w:t>国外标准情况的研究</w:t>
      </w:r>
    </w:p>
    <w:p>
      <w:pPr>
        <w:pStyle w:val="BodyText"/>
        <w:spacing w:before="254" w:line="228" w:lineRule="auto"/>
        <w:ind w:left="449"/>
      </w:pPr>
      <w:r>
        <w:rPr>
          <w:spacing w:val="7"/>
        </w:rPr>
        <w:t>（</w:t>
      </w:r>
      <w:r>
        <w:rPr>
          <w:rFonts w:ascii="Times New Roman" w:eastAsia="Times New Roman" w:hAnsi="Times New Roman" w:cs="Times New Roman"/>
          <w:spacing w:val="7"/>
        </w:rPr>
        <w:t>1</w:t>
      </w:r>
      <w:r>
        <w:rPr>
          <w:spacing w:val="7"/>
        </w:rPr>
        <w:t>）全球森林监测网络</w:t>
      </w:r>
    </w:p>
    <w:p>
      <w:pPr>
        <w:pStyle w:val="BodyText"/>
        <w:spacing w:before="115" w:line="319" w:lineRule="auto"/>
        <w:ind w:left="15" w:right="84" w:firstLine="426"/>
      </w:pPr>
      <w:r>
        <w:rPr>
          <w:spacing w:val="11"/>
        </w:rPr>
        <w:t>美国史密森热带研究所热带森林研究中心等机构推动建立的全球</w:t>
      </w:r>
      <w:r>
        <w:rPr>
          <w:spacing w:val="10"/>
        </w:rPr>
        <w:t>森林监测网络（</w:t>
      </w:r>
      <w:r>
        <w:rPr>
          <w:rFonts w:ascii="Times New Roman" w:eastAsia="Times New Roman" w:hAnsi="Times New Roman" w:cs="Times New Roman"/>
        </w:rPr>
        <w:t xml:space="preserve">Forest </w:t>
      </w:r>
      <w:r>
        <w:rPr>
          <w:rFonts w:ascii="Times New Roman" w:eastAsia="Times New Roman" w:hAnsi="Times New Roman" w:cs="Times New Roman"/>
        </w:rPr>
        <w:t>Global</w:t>
      </w:r>
      <w:r>
        <w:rPr>
          <w:rFonts w:ascii="Times New Roman" w:eastAsia="Times New Roman" w:hAnsi="Times New Roman" w:cs="Times New Roman"/>
          <w:spacing w:val="34"/>
        </w:rPr>
        <w:t xml:space="preserve"> </w:t>
      </w:r>
      <w:r>
        <w:rPr>
          <w:rFonts w:ascii="Times New Roman" w:eastAsia="Times New Roman" w:hAnsi="Times New Roman" w:cs="Times New Roman"/>
        </w:rPr>
        <w:t>Earth</w:t>
      </w:r>
      <w:r>
        <w:rPr>
          <w:rFonts w:ascii="Times New Roman" w:eastAsia="Times New Roman" w:hAnsi="Times New Roman" w:cs="Times New Roman"/>
          <w:spacing w:val="42"/>
          <w:w w:val="101"/>
        </w:rPr>
        <w:t xml:space="preserve"> </w:t>
      </w:r>
      <w:r>
        <w:rPr>
          <w:rFonts w:ascii="Times New Roman" w:eastAsia="Times New Roman" w:hAnsi="Times New Roman" w:cs="Times New Roman"/>
        </w:rPr>
        <w:t>Observatory</w:t>
      </w:r>
      <w:r>
        <w:rPr>
          <w:rFonts w:ascii="Times New Roman" w:eastAsia="Times New Roman" w:hAnsi="Times New Roman" w:cs="Times New Roman"/>
          <w:spacing w:val="18"/>
        </w:rPr>
        <w:t>,</w:t>
      </w:r>
      <w:r>
        <w:rPr>
          <w:rFonts w:ascii="Times New Roman" w:eastAsia="Times New Roman" w:hAnsi="Times New Roman" w:cs="Times New Roman"/>
          <w:spacing w:val="30"/>
          <w:w w:val="101"/>
        </w:rPr>
        <w:t xml:space="preserve"> </w:t>
      </w:r>
      <w:r>
        <w:rPr>
          <w:rFonts w:ascii="Times New Roman" w:eastAsia="Times New Roman" w:hAnsi="Times New Roman" w:cs="Times New Roman"/>
        </w:rPr>
        <w:t>ForestGEO</w:t>
      </w:r>
      <w:r>
        <w:rPr>
          <w:rFonts w:ascii="Times New Roman" w:eastAsia="Times New Roman" w:hAnsi="Times New Roman" w:cs="Times New Roman"/>
          <w:spacing w:val="18"/>
        </w:rPr>
        <w:t xml:space="preserve"> </w:t>
      </w:r>
      <w:r>
        <w:rPr>
          <w:spacing w:val="18"/>
        </w:rPr>
        <w:t>）</w:t>
      </w:r>
      <w:r>
        <w:rPr>
          <w:spacing w:val="-55"/>
        </w:rPr>
        <w:t xml:space="preserve"> </w:t>
      </w:r>
      <w:r>
        <w:rPr>
          <w:spacing w:val="18"/>
        </w:rPr>
        <w:t>是</w:t>
      </w:r>
      <w:r>
        <w:rPr>
          <w:spacing w:val="-21"/>
        </w:rPr>
        <w:t xml:space="preserve"> </w:t>
      </w:r>
      <w:r>
        <w:rPr>
          <w:spacing w:val="18"/>
        </w:rPr>
        <w:t>目</w:t>
      </w:r>
      <w:r>
        <w:rPr>
          <w:spacing w:val="-60"/>
        </w:rPr>
        <w:t xml:space="preserve"> </w:t>
      </w:r>
      <w:r>
        <w:rPr>
          <w:spacing w:val="18"/>
        </w:rPr>
        <w:t>前全球最</w:t>
      </w:r>
      <w:r>
        <w:rPr>
          <w:spacing w:val="-58"/>
        </w:rPr>
        <w:t xml:space="preserve"> </w:t>
      </w:r>
      <w:r>
        <w:rPr>
          <w:spacing w:val="18"/>
        </w:rPr>
        <w:t>大</w:t>
      </w:r>
      <w:r>
        <w:rPr>
          <w:spacing w:val="-46"/>
        </w:rPr>
        <w:t xml:space="preserve"> </w:t>
      </w:r>
      <w:r>
        <w:rPr>
          <w:spacing w:val="18"/>
        </w:rPr>
        <w:t>的森林生物</w:t>
      </w:r>
      <w:r>
        <w:rPr>
          <w:spacing w:val="-54"/>
        </w:rPr>
        <w:t xml:space="preserve"> </w:t>
      </w:r>
      <w:r>
        <w:rPr>
          <w:spacing w:val="18"/>
        </w:rPr>
        <w:t>多样</w:t>
      </w:r>
      <w:r>
        <w:rPr>
          <w:spacing w:val="-58"/>
        </w:rPr>
        <w:t xml:space="preserve"> </w:t>
      </w:r>
      <w:r>
        <w:rPr>
          <w:spacing w:val="18"/>
        </w:rPr>
        <w:t>性监测</w:t>
      </w:r>
      <w:r>
        <w:rPr>
          <w:spacing w:val="-47"/>
        </w:rPr>
        <w:t xml:space="preserve"> </w:t>
      </w:r>
      <w:r>
        <w:rPr>
          <w:spacing w:val="18"/>
        </w:rPr>
        <w:t>网</w:t>
      </w:r>
      <w:r>
        <w:rPr>
          <w:spacing w:val="17"/>
        </w:rPr>
        <w:t>络</w:t>
      </w:r>
      <w:r>
        <w:rPr>
          <w:spacing w:val="-41"/>
        </w:rPr>
        <w:t xml:space="preserve"> </w:t>
      </w:r>
      <w:r>
        <w:rPr>
          <w:spacing w:val="17"/>
        </w:rPr>
        <w:t>。</w:t>
      </w:r>
      <w:r>
        <w:t xml:space="preserve"> </w:t>
      </w:r>
      <w:r>
        <w:rPr>
          <w:rFonts w:ascii="Times New Roman" w:eastAsia="Times New Roman" w:hAnsi="Times New Roman" w:cs="Times New Roman"/>
        </w:rPr>
        <w:t>ForestGEO</w:t>
      </w:r>
      <w:r>
        <w:rPr>
          <w:rFonts w:ascii="Times New Roman" w:eastAsia="Times New Roman" w:hAnsi="Times New Roman" w:cs="Times New Roman"/>
          <w:spacing w:val="8"/>
        </w:rPr>
        <w:t xml:space="preserve"> </w:t>
      </w:r>
      <w:r>
        <w:rPr>
          <w:spacing w:val="8"/>
        </w:rPr>
        <w:t>在全球</w:t>
      </w:r>
      <w:r>
        <w:rPr>
          <w:spacing w:val="-40"/>
        </w:rPr>
        <w:t xml:space="preserve"> </w:t>
      </w:r>
      <w:r>
        <w:rPr>
          <w:rFonts w:ascii="Times New Roman" w:eastAsia="Times New Roman" w:hAnsi="Times New Roman" w:cs="Times New Roman"/>
          <w:spacing w:val="8"/>
        </w:rPr>
        <w:t>25°S</w:t>
      </w:r>
      <w:r>
        <w:rPr>
          <w:spacing w:val="8"/>
          <w:sz w:val="18"/>
          <w:szCs w:val="18"/>
        </w:rPr>
        <w:t>～</w:t>
      </w:r>
      <w:r>
        <w:rPr>
          <w:rFonts w:ascii="Times New Roman" w:eastAsia="Times New Roman" w:hAnsi="Times New Roman" w:cs="Times New Roman"/>
          <w:spacing w:val="8"/>
        </w:rPr>
        <w:t>61°N</w:t>
      </w:r>
      <w:r>
        <w:rPr>
          <w:rFonts w:ascii="Times New Roman" w:eastAsia="Times New Roman" w:hAnsi="Times New Roman" w:cs="Times New Roman"/>
          <w:spacing w:val="15"/>
          <w:w w:val="101"/>
        </w:rPr>
        <w:t xml:space="preserve"> </w:t>
      </w:r>
      <w:r>
        <w:rPr>
          <w:spacing w:val="8"/>
        </w:rPr>
        <w:t>之间的</w:t>
      </w:r>
      <w:r>
        <w:rPr>
          <w:spacing w:val="-41"/>
        </w:rPr>
        <w:t xml:space="preserve"> </w:t>
      </w:r>
      <w:r>
        <w:rPr>
          <w:rFonts w:ascii="Times New Roman" w:eastAsia="Times New Roman" w:hAnsi="Times New Roman" w:cs="Times New Roman"/>
          <w:spacing w:val="8"/>
        </w:rPr>
        <w:t xml:space="preserve">24 </w:t>
      </w:r>
      <w:r>
        <w:rPr>
          <w:spacing w:val="8"/>
        </w:rPr>
        <w:t>个国家和地区建立了</w:t>
      </w:r>
      <w:r>
        <w:rPr>
          <w:spacing w:val="-36"/>
        </w:rPr>
        <w:t xml:space="preserve"> </w:t>
      </w:r>
      <w:r>
        <w:rPr>
          <w:rFonts w:ascii="Times New Roman" w:eastAsia="Times New Roman" w:hAnsi="Times New Roman" w:cs="Times New Roman"/>
          <w:spacing w:val="8"/>
        </w:rPr>
        <w:t xml:space="preserve">63 </w:t>
      </w:r>
      <w:r>
        <w:rPr>
          <w:spacing w:val="8"/>
        </w:rPr>
        <w:t>个</w:t>
      </w:r>
      <w:r>
        <w:rPr>
          <w:spacing w:val="-41"/>
        </w:rPr>
        <w:t xml:space="preserve"> </w:t>
      </w:r>
      <w:r>
        <w:rPr>
          <w:rFonts w:ascii="Times New Roman" w:eastAsia="Times New Roman" w:hAnsi="Times New Roman" w:cs="Times New Roman"/>
          <w:spacing w:val="8"/>
        </w:rPr>
        <w:t>2</w:t>
      </w:r>
      <w:r>
        <w:rPr>
          <w:spacing w:val="8"/>
          <w:sz w:val="18"/>
          <w:szCs w:val="18"/>
        </w:rPr>
        <w:t>～</w:t>
      </w:r>
      <w:r>
        <w:rPr>
          <w:rFonts w:ascii="Times New Roman" w:eastAsia="Times New Roman" w:hAnsi="Times New Roman" w:cs="Times New Roman"/>
          <w:spacing w:val="8"/>
        </w:rPr>
        <w:t xml:space="preserve">120 </w:t>
      </w:r>
      <w:r>
        <w:rPr>
          <w:rFonts w:ascii="Times New Roman" w:eastAsia="Times New Roman" w:hAnsi="Times New Roman" w:cs="Times New Roman"/>
        </w:rPr>
        <w:t>hm</w:t>
      </w:r>
      <w:r>
        <w:rPr>
          <w:rFonts w:ascii="Times New Roman" w:eastAsia="Times New Roman" w:hAnsi="Times New Roman" w:cs="Times New Roman"/>
          <w:spacing w:val="7"/>
          <w:position w:val="6"/>
          <w:sz w:val="13"/>
          <w:szCs w:val="13"/>
        </w:rPr>
        <w:t>2</w:t>
      </w:r>
      <w:r>
        <w:rPr>
          <w:rFonts w:ascii="Times New Roman" w:eastAsia="Times New Roman" w:hAnsi="Times New Roman" w:cs="Times New Roman"/>
          <w:spacing w:val="13"/>
          <w:w w:val="102"/>
          <w:position w:val="6"/>
          <w:sz w:val="13"/>
          <w:szCs w:val="13"/>
        </w:rPr>
        <w:t xml:space="preserve"> </w:t>
      </w:r>
      <w:r>
        <w:rPr>
          <w:spacing w:val="7"/>
        </w:rPr>
        <w:t>大小不等的</w:t>
      </w:r>
      <w:r>
        <w:t xml:space="preserve"> </w:t>
      </w:r>
      <w:r>
        <w:rPr>
          <w:spacing w:val="7"/>
        </w:rPr>
        <w:t>固定样地，其中</w:t>
      </w:r>
      <w:r>
        <w:rPr>
          <w:spacing w:val="-39"/>
        </w:rPr>
        <w:t xml:space="preserve"> </w:t>
      </w:r>
      <w:r>
        <w:rPr>
          <w:rFonts w:ascii="Times New Roman" w:eastAsia="Times New Roman" w:hAnsi="Times New Roman" w:cs="Times New Roman"/>
          <w:spacing w:val="7"/>
        </w:rPr>
        <w:t>90%</w:t>
      </w:r>
      <w:r>
        <w:rPr>
          <w:spacing w:val="7"/>
        </w:rPr>
        <w:t>的样地面积超过</w:t>
      </w:r>
      <w:r>
        <w:rPr>
          <w:spacing w:val="-23"/>
        </w:rPr>
        <w:t xml:space="preserve"> </w:t>
      </w:r>
      <w:r>
        <w:rPr>
          <w:rFonts w:ascii="Times New Roman" w:eastAsia="Times New Roman" w:hAnsi="Times New Roman" w:cs="Times New Roman"/>
          <w:spacing w:val="7"/>
        </w:rPr>
        <w:t>10</w:t>
      </w:r>
      <w:r>
        <w:rPr>
          <w:rFonts w:ascii="Times New Roman" w:eastAsia="Times New Roman" w:hAnsi="Times New Roman" w:cs="Times New Roman"/>
          <w:spacing w:val="6"/>
        </w:rPr>
        <w:t xml:space="preserve"> </w:t>
      </w:r>
      <w:r>
        <w:rPr>
          <w:rFonts w:ascii="Times New Roman" w:eastAsia="Times New Roman" w:hAnsi="Times New Roman" w:cs="Times New Roman"/>
        </w:rPr>
        <w:t>hm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5"/>
          <w:position w:val="6"/>
          <w:sz w:val="13"/>
          <w:szCs w:val="13"/>
        </w:rPr>
        <w:t xml:space="preserve"> </w:t>
      </w:r>
      <w:r>
        <w:rPr>
          <w:spacing w:val="6"/>
        </w:rPr>
        <w:t>。样地涵盖了全部</w:t>
      </w:r>
      <w:r>
        <w:rPr>
          <w:spacing w:val="-23"/>
        </w:rPr>
        <w:t xml:space="preserve"> </w:t>
      </w:r>
      <w:r>
        <w:rPr>
          <w:rFonts w:ascii="Times New Roman" w:eastAsia="Times New Roman" w:hAnsi="Times New Roman" w:cs="Times New Roman"/>
          <w:spacing w:val="6"/>
        </w:rPr>
        <w:t xml:space="preserve">12 </w:t>
      </w:r>
      <w:r>
        <w:rPr>
          <w:spacing w:val="6"/>
        </w:rPr>
        <w:t>种土壤类型中除旱成土之</w:t>
      </w:r>
      <w:r>
        <w:t xml:space="preserve"> </w:t>
      </w:r>
      <w:r>
        <w:rPr>
          <w:spacing w:val="7"/>
        </w:rPr>
        <w:t>外的</w:t>
      </w:r>
      <w:r>
        <w:rPr>
          <w:spacing w:val="-19"/>
        </w:rPr>
        <w:t xml:space="preserve"> </w:t>
      </w:r>
      <w:r>
        <w:rPr>
          <w:rFonts w:ascii="Times New Roman" w:eastAsia="Times New Roman" w:hAnsi="Times New Roman" w:cs="Times New Roman"/>
          <w:spacing w:val="7"/>
        </w:rPr>
        <w:t xml:space="preserve">11 </w:t>
      </w:r>
      <w:r>
        <w:rPr>
          <w:spacing w:val="7"/>
        </w:rPr>
        <w:t>种，总面积达到</w:t>
      </w:r>
      <w:r>
        <w:rPr>
          <w:spacing w:val="-23"/>
        </w:rPr>
        <w:t xml:space="preserve"> </w:t>
      </w:r>
      <w:r>
        <w:rPr>
          <w:rFonts w:ascii="Times New Roman" w:eastAsia="Times New Roman" w:hAnsi="Times New Roman" w:cs="Times New Roman"/>
          <w:spacing w:val="7"/>
        </w:rPr>
        <w:t xml:space="preserve">1653 </w:t>
      </w:r>
      <w:r>
        <w:rPr>
          <w:rFonts w:ascii="Times New Roman" w:eastAsia="Times New Roman" w:hAnsi="Times New Roman" w:cs="Times New Roman"/>
        </w:rPr>
        <w:t>hm</w:t>
      </w:r>
      <w:r>
        <w:rPr>
          <w:rFonts w:ascii="Times New Roman" w:eastAsia="Times New Roman" w:hAnsi="Times New Roman" w:cs="Times New Roman"/>
          <w:spacing w:val="7"/>
          <w:position w:val="6"/>
          <w:sz w:val="13"/>
          <w:szCs w:val="13"/>
        </w:rPr>
        <w:t>2</w:t>
      </w:r>
      <w:r>
        <w:rPr>
          <w:rFonts w:ascii="Times New Roman" w:eastAsia="Times New Roman" w:hAnsi="Times New Roman" w:cs="Times New Roman"/>
          <w:spacing w:val="-8"/>
          <w:position w:val="6"/>
          <w:sz w:val="13"/>
          <w:szCs w:val="13"/>
        </w:rPr>
        <w:t xml:space="preserve"> </w:t>
      </w:r>
      <w:r>
        <w:rPr>
          <w:spacing w:val="7"/>
        </w:rPr>
        <w:t>，较好地代表了不同的地带性森林，包括热带雨林、北美</w:t>
      </w:r>
      <w:r>
        <w:t xml:space="preserve"> </w:t>
      </w:r>
      <w:r>
        <w:rPr>
          <w:spacing w:val="7"/>
        </w:rPr>
        <w:t>和中国东部的温带和亚热带森林。</w:t>
      </w:r>
      <w:r>
        <w:rPr>
          <w:rFonts w:ascii="Times New Roman" w:eastAsia="Times New Roman" w:hAnsi="Times New Roman" w:cs="Times New Roman"/>
        </w:rPr>
        <w:t>ForestGEO</w:t>
      </w:r>
      <w:r>
        <w:rPr>
          <w:rFonts w:ascii="Times New Roman" w:eastAsia="Times New Roman" w:hAnsi="Times New Roman" w:cs="Times New Roman"/>
          <w:spacing w:val="28"/>
        </w:rPr>
        <w:t xml:space="preserve"> </w:t>
      </w:r>
      <w:r>
        <w:rPr>
          <w:spacing w:val="7"/>
        </w:rPr>
        <w:t>网络采用统一的监测标准，即对胸径大于</w:t>
      </w:r>
      <w:r>
        <w:rPr>
          <w:spacing w:val="-21"/>
        </w:rPr>
        <w:t xml:space="preserve"> </w:t>
      </w:r>
      <w:r>
        <w:rPr>
          <w:rFonts w:ascii="Times New Roman" w:eastAsia="Times New Roman" w:hAnsi="Times New Roman" w:cs="Times New Roman"/>
          <w:spacing w:val="6"/>
        </w:rPr>
        <w:t xml:space="preserve">1 </w:t>
      </w:r>
      <w:r>
        <w:rPr>
          <w:rFonts w:ascii="Times New Roman" w:eastAsia="Times New Roman" w:hAnsi="Times New Roman" w:cs="Times New Roman"/>
        </w:rPr>
        <w:t xml:space="preserve">cm </w:t>
      </w:r>
      <w:r>
        <w:rPr>
          <w:spacing w:val="6"/>
        </w:rPr>
        <w:t>的每个木本植物个体挂牌、空间定位、鉴定到种并测量胸径，每</w:t>
      </w:r>
      <w:r>
        <w:rPr>
          <w:spacing w:val="-34"/>
        </w:rPr>
        <w:t xml:space="preserve"> </w:t>
      </w:r>
      <w:r>
        <w:rPr>
          <w:rFonts w:ascii="Times New Roman" w:eastAsia="Times New Roman" w:hAnsi="Times New Roman" w:cs="Times New Roman"/>
          <w:spacing w:val="6"/>
        </w:rPr>
        <w:t xml:space="preserve">5 </w:t>
      </w:r>
      <w:r>
        <w:rPr>
          <w:spacing w:val="6"/>
        </w:rPr>
        <w:t>年复查</w:t>
      </w:r>
      <w:r>
        <w:rPr>
          <w:spacing w:val="-23"/>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8"/>
        </w:rPr>
        <w:t xml:space="preserve"> </w:t>
      </w:r>
      <w:r>
        <w:rPr>
          <w:spacing w:val="6"/>
        </w:rPr>
        <w:t>次，同时还制定</w:t>
      </w:r>
      <w:r>
        <w:t xml:space="preserve"> </w:t>
      </w:r>
      <w:r>
        <w:rPr>
          <w:spacing w:val="9"/>
        </w:rPr>
        <w:t>了监测幼苗、种子产量、物候、枯倒木和凋落物等植物生活史各阶段的方案。</w:t>
      </w:r>
    </w:p>
    <w:p>
      <w:pPr>
        <w:pStyle w:val="BodyText"/>
        <w:spacing w:before="114" w:line="226" w:lineRule="auto"/>
        <w:ind w:left="449"/>
        <w:sectPr>
          <w:footerReference w:type="default" r:id="rId5"/>
          <w:pgSz w:w="11906" w:h="16839"/>
          <w:pgMar w:top="1431" w:right="1712" w:bottom="1362" w:left="1785" w:header="0" w:footer="1200" w:gutter="0"/>
          <w:pgNumType w:start="2"/>
          <w:cols w:space="708"/>
        </w:sectPr>
      </w:pPr>
      <w:r>
        <w:rPr>
          <w:spacing w:val="8"/>
        </w:rPr>
        <w:t>（</w:t>
      </w:r>
      <w:r>
        <w:rPr>
          <w:rFonts w:ascii="Times New Roman" w:eastAsia="Times New Roman" w:hAnsi="Times New Roman" w:cs="Times New Roman"/>
          <w:spacing w:val="8"/>
        </w:rPr>
        <w:t>2</w:t>
      </w:r>
      <w:r>
        <w:rPr>
          <w:spacing w:val="8"/>
        </w:rPr>
        <w:t>）热带生态评估与监测网络</w:t>
      </w:r>
    </w:p>
    <w:p>
      <w:pPr>
        <w:pStyle w:val="BodyText"/>
        <w:spacing w:before="116" w:line="297" w:lineRule="auto"/>
        <w:ind w:left="36" w:firstLine="407"/>
      </w:pPr>
      <w:r>
        <w:rPr>
          <w:spacing w:val="12"/>
        </w:rPr>
        <w:t>热带生态评估与监测网络（</w:t>
      </w:r>
      <w:r>
        <w:rPr>
          <w:rFonts w:ascii="Times New Roman" w:eastAsia="Times New Roman" w:hAnsi="Times New Roman" w:cs="Times New Roman"/>
        </w:rPr>
        <w:t>Tropical</w:t>
      </w:r>
      <w:r>
        <w:rPr>
          <w:rFonts w:ascii="Times New Roman" w:eastAsia="Times New Roman" w:hAnsi="Times New Roman" w:cs="Times New Roman"/>
          <w:spacing w:val="12"/>
        </w:rPr>
        <w:t xml:space="preserve"> </w:t>
      </w:r>
      <w:r>
        <w:rPr>
          <w:rFonts w:ascii="Times New Roman" w:eastAsia="Times New Roman" w:hAnsi="Times New Roman" w:cs="Times New Roman"/>
        </w:rPr>
        <w:t>Ecology</w:t>
      </w:r>
      <w:r>
        <w:rPr>
          <w:rFonts w:ascii="Times New Roman" w:eastAsia="Times New Roman" w:hAnsi="Times New Roman" w:cs="Times New Roman"/>
          <w:spacing w:val="12"/>
        </w:rPr>
        <w:t xml:space="preserve"> </w:t>
      </w:r>
      <w:r>
        <w:rPr>
          <w:rFonts w:ascii="Times New Roman" w:eastAsia="Times New Roman" w:hAnsi="Times New Roman" w:cs="Times New Roman"/>
        </w:rPr>
        <w:t>Assessment</w:t>
      </w:r>
      <w:r>
        <w:rPr>
          <w:rFonts w:ascii="Times New Roman" w:eastAsia="Times New Roman" w:hAnsi="Times New Roman" w:cs="Times New Roman"/>
          <w:spacing w:val="12"/>
        </w:rPr>
        <w:t xml:space="preserve"> </w:t>
      </w:r>
      <w:r>
        <w:rPr>
          <w:rFonts w:ascii="Times New Roman" w:eastAsia="Times New Roman" w:hAnsi="Times New Roman" w:cs="Times New Roman"/>
        </w:rPr>
        <w:t>and</w:t>
      </w:r>
      <w:r>
        <w:rPr>
          <w:rFonts w:ascii="Times New Roman" w:eastAsia="Times New Roman" w:hAnsi="Times New Roman" w:cs="Times New Roman"/>
          <w:spacing w:val="12"/>
        </w:rPr>
        <w:t xml:space="preserve"> </w:t>
      </w:r>
      <w:r>
        <w:rPr>
          <w:rFonts w:ascii="Times New Roman" w:eastAsia="Times New Roman" w:hAnsi="Times New Roman" w:cs="Times New Roman"/>
        </w:rPr>
        <w:t>Monitoring</w:t>
      </w:r>
      <w:r>
        <w:rPr>
          <w:rFonts w:ascii="Times New Roman" w:eastAsia="Times New Roman" w:hAnsi="Times New Roman" w:cs="Times New Roman"/>
          <w:spacing w:val="12"/>
        </w:rPr>
        <w:t xml:space="preserve"> </w:t>
      </w:r>
      <w:r>
        <w:rPr>
          <w:rFonts w:ascii="Times New Roman" w:eastAsia="Times New Roman" w:hAnsi="Times New Roman" w:cs="Times New Roman"/>
        </w:rPr>
        <w:t>Network</w:t>
      </w:r>
      <w:r>
        <w:rPr>
          <w:rFonts w:ascii="Times New Roman" w:eastAsia="Times New Roman" w:hAnsi="Times New Roman" w:cs="Times New Roman"/>
          <w:spacing w:val="12"/>
        </w:rPr>
        <w:t xml:space="preserve">, </w:t>
      </w:r>
      <w:r>
        <w:rPr>
          <w:rFonts w:ascii="Times New Roman" w:eastAsia="Times New Roman" w:hAnsi="Times New Roman" w:cs="Times New Roman"/>
        </w:rPr>
        <w:t>TEAM</w:t>
      </w:r>
      <w:r>
        <w:rPr>
          <w:spacing w:val="12"/>
        </w:rPr>
        <w:t>）</w:t>
      </w:r>
      <w:r>
        <w:rPr>
          <w:spacing w:val="18"/>
        </w:rPr>
        <w:t xml:space="preserve"> </w:t>
      </w:r>
      <w:r>
        <w:rPr>
          <w:spacing w:val="12"/>
        </w:rPr>
        <w:t xml:space="preserve">由保护国际、密苏里植物园等机构共同发起，跨越中美、南美、东南亚和非洲热带森林的 </w:t>
      </w:r>
      <w:r>
        <w:rPr>
          <w:rFonts w:ascii="Times New Roman" w:eastAsia="Times New Roman" w:hAnsi="Times New Roman" w:cs="Times New Roman"/>
          <w:spacing w:val="10"/>
        </w:rPr>
        <w:t xml:space="preserve">17 </w:t>
      </w:r>
      <w:r>
        <w:rPr>
          <w:spacing w:val="10"/>
        </w:rPr>
        <w:t>个研究点，每个样区采用相同的气候</w:t>
      </w:r>
      <w:r>
        <w:rPr>
          <w:spacing w:val="9"/>
        </w:rPr>
        <w:t>、植被、陆地脊椎动物和样区周围人类——</w:t>
      </w:r>
      <w:r>
        <w:rPr>
          <w:spacing w:val="-55"/>
        </w:rPr>
        <w:t xml:space="preserve"> </w:t>
      </w:r>
      <w:r>
        <w:rPr>
          <w:spacing w:val="9"/>
        </w:rPr>
        <w:t>自然系</w:t>
      </w:r>
    </w:p>
    <w:p>
      <w:pPr>
        <w:spacing w:line="297" w:lineRule="auto"/>
        <w:sectPr>
          <w:footerReference w:type="default" r:id="rId6"/>
          <w:type w:val="nextPage"/>
          <w:pgSz w:w="11906" w:h="16839"/>
          <w:pgMar w:top="1431" w:right="1712" w:bottom="1362" w:left="1785" w:header="0" w:footer="1200" w:gutter="0"/>
          <w:pgNumType w:start="3"/>
          <w:cols w:space="708"/>
          <w:titlePg w:val="0"/>
        </w:sectPr>
      </w:pPr>
    </w:p>
    <w:p>
      <w:pPr>
        <w:pStyle w:val="BodyText"/>
        <w:spacing w:before="119" w:line="311" w:lineRule="auto"/>
        <w:ind w:left="19" w:right="51" w:firstLine="5"/>
        <w:jc w:val="both"/>
      </w:pPr>
      <w:r>
        <w:rPr>
          <w:spacing w:val="5"/>
        </w:rPr>
        <w:t>统的监测标准。</w:t>
      </w:r>
      <w:r>
        <w:rPr>
          <w:rFonts w:ascii="Times New Roman" w:eastAsia="Times New Roman" w:hAnsi="Times New Roman" w:cs="Times New Roman"/>
        </w:rPr>
        <w:t>TEAM</w:t>
      </w:r>
      <w:r>
        <w:rPr>
          <w:rFonts w:ascii="Times New Roman" w:eastAsia="Times New Roman" w:hAnsi="Times New Roman" w:cs="Times New Roman"/>
          <w:spacing w:val="29"/>
          <w:w w:val="101"/>
        </w:rPr>
        <w:t xml:space="preserve"> </w:t>
      </w:r>
      <w:r>
        <w:rPr>
          <w:spacing w:val="5"/>
        </w:rPr>
        <w:t>的目标是从样地尺度（</w:t>
      </w:r>
      <w:r>
        <w:rPr>
          <w:rFonts w:ascii="Times New Roman" w:eastAsia="Times New Roman" w:hAnsi="Times New Roman" w:cs="Times New Roman"/>
          <w:spacing w:val="5"/>
        </w:rPr>
        <w:t xml:space="preserve">1 </w:t>
      </w:r>
      <w:r>
        <w:rPr>
          <w:rFonts w:ascii="Times New Roman" w:eastAsia="Times New Roman" w:hAnsi="Times New Roman" w:cs="Times New Roman"/>
        </w:rPr>
        <w:t>hm</w:t>
      </w:r>
      <w:r>
        <w:rPr>
          <w:rFonts w:ascii="Times New Roman" w:eastAsia="Times New Roman" w:hAnsi="Times New Roman" w:cs="Times New Roman"/>
          <w:spacing w:val="5"/>
          <w:position w:val="6"/>
          <w:sz w:val="13"/>
          <w:szCs w:val="13"/>
        </w:rPr>
        <w:t>2</w:t>
      </w:r>
      <w:r>
        <w:rPr>
          <w:spacing w:val="5"/>
        </w:rPr>
        <w:t>）、景观尺度</w:t>
      </w:r>
      <w:r>
        <w:rPr>
          <w:spacing w:val="4"/>
        </w:rPr>
        <w:t>、区域尺度到全球尺度上监</w:t>
      </w:r>
      <w:r>
        <w:t xml:space="preserve"> </w:t>
      </w:r>
      <w:r>
        <w:rPr>
          <w:spacing w:val="11"/>
        </w:rPr>
        <w:t>测热带森林生物多样性动态和生态系统服务功能的变化。在样地尺度上，每个</w:t>
      </w:r>
      <w:r>
        <w:rPr>
          <w:spacing w:val="-23"/>
        </w:rPr>
        <w:t xml:space="preserve"> </w:t>
      </w:r>
      <w:r>
        <w:rPr>
          <w:rFonts w:ascii="Times New Roman" w:eastAsia="Times New Roman" w:hAnsi="Times New Roman" w:cs="Times New Roman"/>
        </w:rPr>
        <w:t>TEAM</w:t>
      </w:r>
      <w:r>
        <w:rPr>
          <w:rFonts w:ascii="Times New Roman" w:eastAsia="Times New Roman" w:hAnsi="Times New Roman" w:cs="Times New Roman"/>
          <w:spacing w:val="11"/>
        </w:rPr>
        <w:t xml:space="preserve"> </w:t>
      </w:r>
      <w:r>
        <w:rPr>
          <w:spacing w:val="11"/>
        </w:rPr>
        <w:t>样区</w:t>
      </w:r>
      <w:r>
        <w:t xml:space="preserve"> </w:t>
      </w:r>
      <w:r>
        <w:rPr>
          <w:spacing w:val="7"/>
        </w:rPr>
        <w:t>由在核心研究区内的至少</w:t>
      </w:r>
      <w:r>
        <w:rPr>
          <w:spacing w:val="-25"/>
        </w:rPr>
        <w:t xml:space="preserve"> </w:t>
      </w:r>
      <w:r>
        <w:rPr>
          <w:rFonts w:ascii="Times New Roman" w:eastAsia="Times New Roman" w:hAnsi="Times New Roman" w:cs="Times New Roman"/>
          <w:spacing w:val="7"/>
        </w:rPr>
        <w:t xml:space="preserve">6 </w:t>
      </w:r>
      <w:r>
        <w:rPr>
          <w:spacing w:val="7"/>
        </w:rPr>
        <w:t>个</w:t>
      </w:r>
      <w:r>
        <w:rPr>
          <w:spacing w:val="-23"/>
        </w:rPr>
        <w:t xml:space="preserve"> </w:t>
      </w:r>
      <w:r>
        <w:rPr>
          <w:rFonts w:ascii="Times New Roman" w:eastAsia="Times New Roman" w:hAnsi="Times New Roman" w:cs="Times New Roman"/>
          <w:spacing w:val="7"/>
        </w:rPr>
        <w:t xml:space="preserve">1 </w:t>
      </w:r>
      <w:r>
        <w:rPr>
          <w:rFonts w:ascii="Times New Roman" w:eastAsia="Times New Roman" w:hAnsi="Times New Roman" w:cs="Times New Roman"/>
        </w:rPr>
        <w:t>hm</w:t>
      </w:r>
      <w:r>
        <w:rPr>
          <w:rFonts w:ascii="Times New Roman" w:eastAsia="Times New Roman" w:hAnsi="Times New Roman" w:cs="Times New Roman"/>
          <w:spacing w:val="7"/>
          <w:position w:val="6"/>
          <w:sz w:val="13"/>
          <w:szCs w:val="13"/>
        </w:rPr>
        <w:t>2</w:t>
      </w:r>
      <w:r>
        <w:rPr>
          <w:rFonts w:ascii="Times New Roman" w:eastAsia="Times New Roman" w:hAnsi="Times New Roman" w:cs="Times New Roman"/>
          <w:spacing w:val="11"/>
          <w:position w:val="6"/>
          <w:sz w:val="13"/>
          <w:szCs w:val="13"/>
        </w:rPr>
        <w:t xml:space="preserve"> </w:t>
      </w:r>
      <w:r>
        <w:rPr>
          <w:spacing w:val="7"/>
        </w:rPr>
        <w:t>森林样地组成，样地在研究区域内设置为随机分布，间</w:t>
      </w:r>
      <w:r>
        <w:t xml:space="preserve"> </w:t>
      </w:r>
      <w:r>
        <w:rPr>
          <w:spacing w:val="8"/>
        </w:rPr>
        <w:t>距在</w:t>
      </w:r>
      <w:r>
        <w:rPr>
          <w:spacing w:val="-43"/>
        </w:rPr>
        <w:t xml:space="preserve"> </w:t>
      </w:r>
      <w:r>
        <w:rPr>
          <w:rFonts w:ascii="Times New Roman" w:eastAsia="Times New Roman" w:hAnsi="Times New Roman" w:cs="Times New Roman"/>
          <w:spacing w:val="8"/>
        </w:rPr>
        <w:t xml:space="preserve">2 </w:t>
      </w:r>
      <w:r>
        <w:rPr>
          <w:rFonts w:ascii="Times New Roman" w:eastAsia="Times New Roman" w:hAnsi="Times New Roman" w:cs="Times New Roman"/>
        </w:rPr>
        <w:t>km</w:t>
      </w:r>
      <w:r>
        <w:rPr>
          <w:rFonts w:ascii="Times New Roman" w:eastAsia="Times New Roman" w:hAnsi="Times New Roman" w:cs="Times New Roman"/>
          <w:spacing w:val="36"/>
        </w:rPr>
        <w:t xml:space="preserve"> </w:t>
      </w:r>
      <w:r>
        <w:rPr>
          <w:spacing w:val="8"/>
        </w:rPr>
        <w:t>以上，对胸径在</w:t>
      </w:r>
      <w:r>
        <w:rPr>
          <w:spacing w:val="-21"/>
        </w:rPr>
        <w:t xml:space="preserve"> </w:t>
      </w:r>
      <w:r>
        <w:rPr>
          <w:rFonts w:ascii="Times New Roman" w:eastAsia="Times New Roman" w:hAnsi="Times New Roman" w:cs="Times New Roman"/>
          <w:spacing w:val="8"/>
        </w:rPr>
        <w:t xml:space="preserve">10 </w:t>
      </w:r>
      <w:r>
        <w:rPr>
          <w:rFonts w:ascii="Times New Roman" w:eastAsia="Times New Roman" w:hAnsi="Times New Roman" w:cs="Times New Roman"/>
        </w:rPr>
        <w:t>cm</w:t>
      </w:r>
      <w:r>
        <w:rPr>
          <w:rFonts w:ascii="Times New Roman" w:eastAsia="Times New Roman" w:hAnsi="Times New Roman" w:cs="Times New Roman"/>
          <w:spacing w:val="35"/>
          <w:w w:val="101"/>
        </w:rPr>
        <w:t xml:space="preserve"> </w:t>
      </w:r>
      <w:r>
        <w:rPr>
          <w:spacing w:val="8"/>
        </w:rPr>
        <w:t>以上的木本和藤本</w:t>
      </w:r>
      <w:r>
        <w:rPr>
          <w:spacing w:val="7"/>
        </w:rPr>
        <w:t>植物进行空间定位并鉴定到种，每年复</w:t>
      </w:r>
      <w:r>
        <w:t xml:space="preserve"> </w:t>
      </w:r>
      <w:r>
        <w:rPr>
          <w:spacing w:val="8"/>
        </w:rPr>
        <w:t>查</w:t>
      </w:r>
      <w:r>
        <w:rPr>
          <w:spacing w:val="-20"/>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18"/>
        </w:rPr>
        <w:t xml:space="preserve"> </w:t>
      </w:r>
      <w:r>
        <w:rPr>
          <w:spacing w:val="8"/>
        </w:rPr>
        <w:t>次，用于监测和研究热带森林生物多样性和森林碳库的动态变化及机制。</w:t>
      </w:r>
    </w:p>
    <w:p>
      <w:pPr>
        <w:pStyle w:val="BodyText"/>
        <w:spacing w:before="113" w:line="228" w:lineRule="auto"/>
        <w:ind w:left="449"/>
      </w:pPr>
      <w:r>
        <w:rPr>
          <w:spacing w:val="7"/>
        </w:rPr>
        <w:t>（</w:t>
      </w:r>
      <w:r>
        <w:rPr>
          <w:rFonts w:ascii="Times New Roman" w:eastAsia="Times New Roman" w:hAnsi="Times New Roman" w:cs="Times New Roman"/>
          <w:spacing w:val="7"/>
        </w:rPr>
        <w:t>3</w:t>
      </w:r>
      <w:r>
        <w:rPr>
          <w:spacing w:val="7"/>
        </w:rPr>
        <w:t>）泛欧洲森林监测网络</w:t>
      </w:r>
    </w:p>
    <w:p>
      <w:pPr>
        <w:pStyle w:val="BodyText"/>
        <w:spacing w:before="110" w:line="321" w:lineRule="auto"/>
        <w:ind w:left="18" w:right="51" w:firstLine="421"/>
      </w:pPr>
      <w:r>
        <w:rPr>
          <w:spacing w:val="14"/>
        </w:rPr>
        <w:t>泛欧洲森林监测网络（</w:t>
      </w:r>
      <w:r>
        <w:rPr>
          <w:rFonts w:ascii="Times New Roman" w:eastAsia="Times New Roman" w:hAnsi="Times New Roman" w:cs="Times New Roman"/>
        </w:rPr>
        <w:t>Pan</w:t>
      </w:r>
      <w:r>
        <w:rPr>
          <w:rFonts w:ascii="Times New Roman" w:eastAsia="Times New Roman" w:hAnsi="Times New Roman" w:cs="Times New Roman"/>
          <w:spacing w:val="14"/>
        </w:rPr>
        <w:t>-</w:t>
      </w:r>
      <w:r>
        <w:rPr>
          <w:rFonts w:ascii="Times New Roman" w:eastAsia="Times New Roman" w:hAnsi="Times New Roman" w:cs="Times New Roman"/>
        </w:rPr>
        <w:t>European</w:t>
      </w:r>
      <w:r>
        <w:rPr>
          <w:rFonts w:ascii="Times New Roman" w:eastAsia="Times New Roman" w:hAnsi="Times New Roman" w:cs="Times New Roman"/>
          <w:spacing w:val="14"/>
        </w:rPr>
        <w:t xml:space="preserve"> </w:t>
      </w:r>
      <w:r>
        <w:rPr>
          <w:rFonts w:ascii="Times New Roman" w:eastAsia="Times New Roman" w:hAnsi="Times New Roman" w:cs="Times New Roman"/>
        </w:rPr>
        <w:t>Forest</w:t>
      </w:r>
      <w:r>
        <w:rPr>
          <w:rFonts w:ascii="Times New Roman" w:eastAsia="Times New Roman" w:hAnsi="Times New Roman" w:cs="Times New Roman"/>
          <w:spacing w:val="14"/>
        </w:rPr>
        <w:t xml:space="preserve"> </w:t>
      </w:r>
      <w:r>
        <w:rPr>
          <w:rFonts w:ascii="Times New Roman" w:eastAsia="Times New Roman" w:hAnsi="Times New Roman" w:cs="Times New Roman"/>
        </w:rPr>
        <w:t>Monitoring</w:t>
      </w:r>
      <w:r>
        <w:rPr>
          <w:rFonts w:ascii="Times New Roman" w:eastAsia="Times New Roman" w:hAnsi="Times New Roman" w:cs="Times New Roman"/>
          <w:spacing w:val="14"/>
        </w:rPr>
        <w:t xml:space="preserve"> </w:t>
      </w:r>
      <w:r>
        <w:rPr>
          <w:rFonts w:ascii="Times New Roman" w:eastAsia="Times New Roman" w:hAnsi="Times New Roman" w:cs="Times New Roman"/>
        </w:rPr>
        <w:t>Network</w:t>
      </w:r>
      <w:r>
        <w:rPr>
          <w:rFonts w:ascii="Times New Roman" w:eastAsia="Times New Roman" w:hAnsi="Times New Roman" w:cs="Times New Roman"/>
          <w:spacing w:val="14"/>
        </w:rPr>
        <w:t xml:space="preserve">, </w:t>
      </w:r>
      <w:r>
        <w:rPr>
          <w:rFonts w:ascii="Times New Roman" w:eastAsia="Times New Roman" w:hAnsi="Times New Roman" w:cs="Times New Roman"/>
        </w:rPr>
        <w:t>PEFMN</w:t>
      </w:r>
      <w:r>
        <w:rPr>
          <w:spacing w:val="14"/>
        </w:rPr>
        <w:t>）由国家</w:t>
      </w:r>
      <w:r>
        <w:rPr>
          <w:spacing w:val="13"/>
        </w:rPr>
        <w:t>水平上</w:t>
      </w:r>
      <w:r>
        <w:t xml:space="preserve"> </w:t>
      </w:r>
      <w:r>
        <w:rPr>
          <w:spacing w:val="13"/>
        </w:rPr>
        <w:t>的森林清查体系扩展而成，主要目标是保障欧洲森林的可持续利用。</w:t>
      </w:r>
      <w:r>
        <w:rPr>
          <w:rFonts w:ascii="Times New Roman" w:eastAsia="Times New Roman" w:hAnsi="Times New Roman" w:cs="Times New Roman"/>
        </w:rPr>
        <w:t>PEFMN</w:t>
      </w:r>
      <w:r>
        <w:rPr>
          <w:rFonts w:ascii="Times New Roman" w:eastAsia="Times New Roman" w:hAnsi="Times New Roman" w:cs="Times New Roman"/>
          <w:spacing w:val="44"/>
        </w:rPr>
        <w:t xml:space="preserve"> </w:t>
      </w:r>
      <w:r>
        <w:rPr>
          <w:spacing w:val="13"/>
        </w:rPr>
        <w:t>由</w:t>
      </w:r>
      <w:r>
        <w:rPr>
          <w:spacing w:val="12"/>
        </w:rPr>
        <w:t>超过</w:t>
      </w:r>
      <w:r>
        <w:rPr>
          <w:spacing w:val="-34"/>
        </w:rPr>
        <w:t xml:space="preserve"> </w:t>
      </w:r>
      <w:r>
        <w:rPr>
          <w:rFonts w:ascii="Times New Roman" w:eastAsia="Times New Roman" w:hAnsi="Times New Roman" w:cs="Times New Roman"/>
          <w:spacing w:val="12"/>
        </w:rPr>
        <w:t>6800</w:t>
      </w:r>
      <w:r>
        <w:rPr>
          <w:rFonts w:ascii="Times New Roman" w:eastAsia="Times New Roman" w:hAnsi="Times New Roman" w:cs="Times New Roman"/>
        </w:rPr>
        <w:t xml:space="preserve"> </w:t>
      </w:r>
      <w:r>
        <w:rPr>
          <w:spacing w:val="6"/>
        </w:rPr>
        <w:t>个的第一层次（</w:t>
      </w:r>
      <w:r>
        <w:rPr>
          <w:rFonts w:ascii="Times New Roman" w:eastAsia="Times New Roman" w:hAnsi="Times New Roman" w:cs="Times New Roman"/>
        </w:rPr>
        <w:t>Level</w:t>
      </w:r>
      <w:r>
        <w:rPr>
          <w:rFonts w:ascii="Times New Roman" w:eastAsia="Times New Roman" w:hAnsi="Times New Roman" w:cs="Times New Roman"/>
          <w:spacing w:val="46"/>
          <w:w w:val="101"/>
        </w:rPr>
        <w:t xml:space="preserve"> </w:t>
      </w:r>
      <w:r>
        <w:rPr>
          <w:rFonts w:ascii="Times New Roman" w:eastAsia="Times New Roman" w:hAnsi="Times New Roman" w:cs="Times New Roman"/>
          <w:spacing w:val="6"/>
        </w:rPr>
        <w:t>1</w:t>
      </w:r>
      <w:r>
        <w:rPr>
          <w:spacing w:val="6"/>
        </w:rPr>
        <w:t>）样地和超过</w:t>
      </w:r>
      <w:r>
        <w:rPr>
          <w:spacing w:val="-40"/>
        </w:rPr>
        <w:t xml:space="preserve"> </w:t>
      </w:r>
      <w:r>
        <w:rPr>
          <w:rFonts w:ascii="Times New Roman" w:eastAsia="Times New Roman" w:hAnsi="Times New Roman" w:cs="Times New Roman"/>
          <w:spacing w:val="6"/>
        </w:rPr>
        <w:t xml:space="preserve">760 </w:t>
      </w:r>
      <w:r>
        <w:rPr>
          <w:spacing w:val="6"/>
        </w:rPr>
        <w:t>个的第二层次（</w:t>
      </w:r>
      <w:r>
        <w:rPr>
          <w:rFonts w:ascii="Times New Roman" w:eastAsia="Times New Roman" w:hAnsi="Times New Roman" w:cs="Times New Roman"/>
        </w:rPr>
        <w:t>Level</w:t>
      </w:r>
      <w:r>
        <w:rPr>
          <w:rFonts w:ascii="Times New Roman" w:eastAsia="Times New Roman" w:hAnsi="Times New Roman" w:cs="Times New Roman"/>
          <w:spacing w:val="6"/>
        </w:rPr>
        <w:t xml:space="preserve"> 2</w:t>
      </w:r>
      <w:r>
        <w:rPr>
          <w:spacing w:val="6"/>
        </w:rPr>
        <w:t>）样地组成，两个层次的样</w:t>
      </w:r>
      <w:r>
        <w:t xml:space="preserve"> </w:t>
      </w:r>
      <w:r>
        <w:rPr>
          <w:spacing w:val="8"/>
        </w:rPr>
        <w:t>地监测相互补充。第一层次样地由大范围内、在时间</w:t>
      </w:r>
      <w:r>
        <w:rPr>
          <w:spacing w:val="7"/>
        </w:rPr>
        <w:t>和空间上有代表性的森林样地组成，普</w:t>
      </w:r>
      <w:r>
        <w:t xml:space="preserve"> </w:t>
      </w:r>
      <w:r>
        <w:rPr>
          <w:spacing w:val="9"/>
        </w:rPr>
        <w:t>遍采用样圆法，样圆面积通常为</w:t>
      </w:r>
      <w:r>
        <w:rPr>
          <w:spacing w:val="-40"/>
        </w:rPr>
        <w:t xml:space="preserve"> </w:t>
      </w:r>
      <w:r>
        <w:rPr>
          <w:rFonts w:ascii="Times New Roman" w:eastAsia="Times New Roman" w:hAnsi="Times New Roman" w:cs="Times New Roman"/>
          <w:spacing w:val="9"/>
        </w:rPr>
        <w:t>2400 m</w:t>
      </w:r>
      <w:r>
        <w:rPr>
          <w:rFonts w:ascii="Times New Roman" w:eastAsia="Times New Roman" w:hAnsi="Times New Roman" w:cs="Times New Roman"/>
          <w:spacing w:val="9"/>
          <w:position w:val="6"/>
          <w:sz w:val="13"/>
          <w:szCs w:val="13"/>
        </w:rPr>
        <w:t xml:space="preserve">2 </w:t>
      </w:r>
      <w:r>
        <w:rPr>
          <w:spacing w:val="9"/>
        </w:rPr>
        <w:t>。每个欧盟国</w:t>
      </w:r>
      <w:r>
        <w:rPr>
          <w:spacing w:val="8"/>
        </w:rPr>
        <w:t>家最少应该在</w:t>
      </w:r>
      <w:r>
        <w:rPr>
          <w:spacing w:val="-21"/>
        </w:rPr>
        <w:t xml:space="preserve"> </w:t>
      </w:r>
      <w:r>
        <w:rPr>
          <w:rFonts w:ascii="Times New Roman" w:eastAsia="Times New Roman" w:hAnsi="Times New Roman" w:cs="Times New Roman"/>
          <w:spacing w:val="8"/>
        </w:rPr>
        <w:t xml:space="preserve">16 </w:t>
      </w:r>
      <w:r>
        <w:rPr>
          <w:rFonts w:ascii="Times New Roman" w:eastAsia="Times New Roman" w:hAnsi="Times New Roman" w:cs="Times New Roman"/>
        </w:rPr>
        <w:t>km</w:t>
      </w:r>
      <w:r>
        <w:rPr>
          <w:spacing w:val="8"/>
        </w:rPr>
        <w:t>×</w:t>
      </w:r>
      <w:r>
        <w:rPr>
          <w:rFonts w:ascii="Times New Roman" w:eastAsia="Times New Roman" w:hAnsi="Times New Roman" w:cs="Times New Roman"/>
          <w:spacing w:val="8"/>
        </w:rPr>
        <w:t xml:space="preserve">16 </w:t>
      </w:r>
      <w:r>
        <w:rPr>
          <w:rFonts w:ascii="Times New Roman" w:eastAsia="Times New Roman" w:hAnsi="Times New Roman" w:cs="Times New Roman"/>
        </w:rPr>
        <w:t>km</w:t>
      </w:r>
      <w:r>
        <w:rPr>
          <w:rFonts w:ascii="Times New Roman" w:eastAsia="Times New Roman" w:hAnsi="Times New Roman" w:cs="Times New Roman"/>
          <w:spacing w:val="18"/>
        </w:rPr>
        <w:t xml:space="preserve"> </w:t>
      </w:r>
      <w:r>
        <w:rPr>
          <w:spacing w:val="8"/>
        </w:rPr>
        <w:t>面积内</w:t>
      </w:r>
      <w:r>
        <w:t xml:space="preserve"> </w:t>
      </w:r>
      <w:r>
        <w:rPr>
          <w:spacing w:val="11"/>
        </w:rPr>
        <w:t>设置一个样圆。</w:t>
      </w:r>
      <w:r>
        <w:rPr>
          <w:rFonts w:ascii="Times New Roman" w:eastAsia="Times New Roman" w:hAnsi="Times New Roman" w:cs="Times New Roman"/>
          <w:spacing w:val="11"/>
        </w:rPr>
        <w:t>2003</w:t>
      </w:r>
      <w:r>
        <w:rPr>
          <w:spacing w:val="11"/>
          <w:sz w:val="18"/>
          <w:szCs w:val="18"/>
        </w:rPr>
        <w:t>～</w:t>
      </w:r>
      <w:r>
        <w:rPr>
          <w:rFonts w:ascii="Times New Roman" w:eastAsia="Times New Roman" w:hAnsi="Times New Roman" w:cs="Times New Roman"/>
          <w:spacing w:val="11"/>
        </w:rPr>
        <w:t xml:space="preserve">2006 </w:t>
      </w:r>
      <w:r>
        <w:rPr>
          <w:spacing w:val="11"/>
        </w:rPr>
        <w:t>年，欧盟对第一层次样地的土壤、森</w:t>
      </w:r>
      <w:r>
        <w:rPr>
          <w:spacing w:val="10"/>
        </w:rPr>
        <w:t>林结构和植物多样性进行</w:t>
      </w:r>
      <w:r>
        <w:t xml:space="preserve"> </w:t>
      </w:r>
      <w:r>
        <w:rPr>
          <w:spacing w:val="8"/>
        </w:rPr>
        <w:t>调查。为了掌握森林的变化机制，第二层次上的样地</w:t>
      </w:r>
      <w:r>
        <w:rPr>
          <w:spacing w:val="7"/>
        </w:rPr>
        <w:t>主要由物种组成、生境类型等尽可能相</w:t>
      </w:r>
      <w:r>
        <w:t xml:space="preserve"> </w:t>
      </w:r>
      <w:r>
        <w:rPr>
          <w:spacing w:val="6"/>
        </w:rPr>
        <w:t>同的森林组成，且样地的数量至少为第一层次样地的</w:t>
      </w:r>
      <w:r>
        <w:rPr>
          <w:spacing w:val="-23"/>
        </w:rPr>
        <w:t xml:space="preserve"> </w:t>
      </w:r>
      <w:r>
        <w:rPr>
          <w:rFonts w:ascii="Times New Roman" w:eastAsia="Times New Roman" w:hAnsi="Times New Roman" w:cs="Times New Roman"/>
          <w:spacing w:val="6"/>
        </w:rPr>
        <w:t>10%</w:t>
      </w:r>
      <w:r>
        <w:rPr>
          <w:spacing w:val="6"/>
        </w:rPr>
        <w:t>，样地的最小面积</w:t>
      </w:r>
      <w:r>
        <w:rPr>
          <w:spacing w:val="5"/>
        </w:rPr>
        <w:t>为</w:t>
      </w:r>
      <w:r>
        <w:rPr>
          <w:spacing w:val="-37"/>
        </w:rPr>
        <w:t xml:space="preserve"> </w:t>
      </w:r>
      <w:r>
        <w:rPr>
          <w:rFonts w:ascii="Times New Roman" w:eastAsia="Times New Roman" w:hAnsi="Times New Roman" w:cs="Times New Roman"/>
          <w:spacing w:val="5"/>
        </w:rPr>
        <w:t xml:space="preserve">0.25 </w:t>
      </w:r>
      <w:r>
        <w:rPr>
          <w:rFonts w:ascii="Times New Roman" w:eastAsia="Times New Roman" w:hAnsi="Times New Roman" w:cs="Times New Roman"/>
        </w:rPr>
        <w:t>hm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spacing w:val="5"/>
        </w:rPr>
        <w:t>。同</w:t>
      </w:r>
      <w:r>
        <w:t xml:space="preserve"> </w:t>
      </w:r>
      <w:r>
        <w:rPr>
          <w:spacing w:val="9"/>
        </w:rPr>
        <w:t>时，为方便长期监测和空间定位，可在样地内设置子样地。</w:t>
      </w:r>
    </w:p>
    <w:p>
      <w:pPr>
        <w:pStyle w:val="BodyText"/>
        <w:spacing w:before="113" w:line="228" w:lineRule="auto"/>
        <w:ind w:left="449"/>
      </w:pPr>
      <w:r>
        <w:rPr>
          <w:spacing w:val="7"/>
        </w:rPr>
        <w:t>（</w:t>
      </w:r>
      <w:r>
        <w:rPr>
          <w:rFonts w:ascii="Times New Roman" w:eastAsia="Times New Roman" w:hAnsi="Times New Roman" w:cs="Times New Roman"/>
          <w:spacing w:val="7"/>
        </w:rPr>
        <w:t>4</w:t>
      </w:r>
      <w:r>
        <w:rPr>
          <w:spacing w:val="7"/>
        </w:rPr>
        <w:t>）亚马逊森林清查网络</w:t>
      </w:r>
    </w:p>
    <w:p>
      <w:pPr>
        <w:pStyle w:val="BodyText"/>
        <w:spacing w:before="113" w:line="306" w:lineRule="auto"/>
        <w:ind w:left="20" w:right="51" w:firstLine="420"/>
      </w:pPr>
      <w:r>
        <w:rPr>
          <w:spacing w:val="17"/>
        </w:rPr>
        <w:t>亚马逊森林清查网络（</w:t>
      </w:r>
      <w:r>
        <w:rPr>
          <w:rFonts w:ascii="Times New Roman" w:eastAsia="Times New Roman" w:hAnsi="Times New Roman" w:cs="Times New Roman"/>
        </w:rPr>
        <w:t>Amazonian</w:t>
      </w:r>
      <w:r>
        <w:rPr>
          <w:rFonts w:ascii="Times New Roman" w:eastAsia="Times New Roman" w:hAnsi="Times New Roman" w:cs="Times New Roman"/>
          <w:spacing w:val="17"/>
        </w:rPr>
        <w:t xml:space="preserve"> </w:t>
      </w:r>
      <w:r>
        <w:rPr>
          <w:rFonts w:ascii="Times New Roman" w:eastAsia="Times New Roman" w:hAnsi="Times New Roman" w:cs="Times New Roman"/>
        </w:rPr>
        <w:t>Forest</w:t>
      </w:r>
      <w:r>
        <w:rPr>
          <w:rFonts w:ascii="Times New Roman" w:eastAsia="Times New Roman" w:hAnsi="Times New Roman" w:cs="Times New Roman"/>
          <w:spacing w:val="17"/>
        </w:rPr>
        <w:t xml:space="preserve"> </w:t>
      </w:r>
      <w:r>
        <w:rPr>
          <w:rFonts w:ascii="Times New Roman" w:eastAsia="Times New Roman" w:hAnsi="Times New Roman" w:cs="Times New Roman"/>
        </w:rPr>
        <w:t>Inventory</w:t>
      </w:r>
      <w:r>
        <w:rPr>
          <w:rFonts w:ascii="Times New Roman" w:eastAsia="Times New Roman" w:hAnsi="Times New Roman" w:cs="Times New Roman"/>
          <w:spacing w:val="17"/>
        </w:rPr>
        <w:t xml:space="preserve"> </w:t>
      </w:r>
      <w:r>
        <w:rPr>
          <w:rFonts w:ascii="Times New Roman" w:eastAsia="Times New Roman" w:hAnsi="Times New Roman" w:cs="Times New Roman"/>
        </w:rPr>
        <w:t>Network</w:t>
      </w:r>
      <w:r>
        <w:rPr>
          <w:spacing w:val="17"/>
        </w:rPr>
        <w:t>）是一个区域尺度上的森林</w:t>
      </w:r>
      <w:r>
        <w:rPr>
          <w:spacing w:val="3"/>
        </w:rPr>
        <w:t xml:space="preserve"> </w:t>
      </w:r>
      <w:r>
        <w:rPr>
          <w:spacing w:val="9"/>
        </w:rPr>
        <w:t>监测网络。样地建设从</w:t>
      </w:r>
      <w:r>
        <w:rPr>
          <w:spacing w:val="-27"/>
        </w:rPr>
        <w:t xml:space="preserve"> </w:t>
      </w:r>
      <w:r>
        <w:rPr>
          <w:rFonts w:ascii="Times New Roman" w:eastAsia="Times New Roman" w:hAnsi="Times New Roman" w:cs="Times New Roman"/>
          <w:spacing w:val="9"/>
        </w:rPr>
        <w:t xml:space="preserve">2001 </w:t>
      </w:r>
      <w:r>
        <w:rPr>
          <w:spacing w:val="9"/>
        </w:rPr>
        <w:t>年开始，并将亚马逊地区原有的样地纳入网络。样地面积通常</w:t>
      </w:r>
      <w:r>
        <w:t xml:space="preserve"> </w:t>
      </w:r>
      <w:r>
        <w:rPr>
          <w:spacing w:val="6"/>
        </w:rPr>
        <w:t>为</w:t>
      </w:r>
      <w:r>
        <w:rPr>
          <w:spacing w:val="-9"/>
        </w:rPr>
        <w:t xml:space="preserve"> </w:t>
      </w:r>
      <w:r>
        <w:rPr>
          <w:rFonts w:ascii="Times New Roman" w:eastAsia="Times New Roman" w:hAnsi="Times New Roman" w:cs="Times New Roman"/>
          <w:spacing w:val="6"/>
        </w:rPr>
        <w:t xml:space="preserve">1 </w:t>
      </w:r>
      <w:r>
        <w:rPr>
          <w:rFonts w:ascii="Times New Roman" w:eastAsia="Times New Roman" w:hAnsi="Times New Roman" w:cs="Times New Roman"/>
        </w:rPr>
        <w:t>hm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12"/>
          <w:w w:val="101"/>
          <w:position w:val="6"/>
          <w:sz w:val="13"/>
          <w:szCs w:val="13"/>
        </w:rPr>
        <w:t xml:space="preserve"> </w:t>
      </w:r>
      <w:r>
        <w:rPr>
          <w:spacing w:val="6"/>
        </w:rPr>
        <w:t>左右，形状可设为正方形或长方形，对胸径</w:t>
      </w:r>
      <w:r>
        <w:rPr>
          <w:spacing w:val="-23"/>
        </w:rPr>
        <w:t xml:space="preserve"> </w:t>
      </w:r>
      <w:r>
        <w:rPr>
          <w:rFonts w:ascii="Times New Roman" w:eastAsia="Times New Roman" w:hAnsi="Times New Roman" w:cs="Times New Roman"/>
          <w:spacing w:val="6"/>
        </w:rPr>
        <w:t xml:space="preserve">10 </w:t>
      </w:r>
      <w:r>
        <w:rPr>
          <w:rFonts w:ascii="Times New Roman" w:eastAsia="Times New Roman" w:hAnsi="Times New Roman" w:cs="Times New Roman"/>
        </w:rPr>
        <w:t>cm</w:t>
      </w:r>
      <w:r>
        <w:rPr>
          <w:rFonts w:ascii="Times New Roman" w:eastAsia="Times New Roman" w:hAnsi="Times New Roman" w:cs="Times New Roman"/>
          <w:spacing w:val="33"/>
        </w:rPr>
        <w:t xml:space="preserve"> </w:t>
      </w:r>
      <w:r>
        <w:rPr>
          <w:spacing w:val="6"/>
        </w:rPr>
        <w:t>以上的木本植物个体进行挂牌、</w:t>
      </w:r>
      <w:r>
        <w:t xml:space="preserve"> </w:t>
      </w:r>
      <w:r>
        <w:rPr>
          <w:spacing w:val="9"/>
        </w:rPr>
        <w:t>空间定位、鉴定到种，并测量木本和藤本植物的胸径、树高以及叶面积指数。</w:t>
      </w:r>
    </w:p>
    <w:p>
      <w:pPr>
        <w:pStyle w:val="BodyText"/>
        <w:spacing w:before="114" w:line="228" w:lineRule="auto"/>
        <w:ind w:left="449"/>
      </w:pPr>
      <w:r>
        <w:rPr>
          <w:spacing w:val="4"/>
        </w:rPr>
        <w:t>（</w:t>
      </w:r>
      <w:r>
        <w:rPr>
          <w:rFonts w:ascii="Times New Roman" w:eastAsia="Times New Roman" w:hAnsi="Times New Roman" w:cs="Times New Roman"/>
          <w:spacing w:val="4"/>
        </w:rPr>
        <w:t>5</w:t>
      </w:r>
      <w:r>
        <w:rPr>
          <w:spacing w:val="4"/>
        </w:rPr>
        <w:t>）美国</w:t>
      </w:r>
    </w:p>
    <w:p>
      <w:pPr>
        <w:pStyle w:val="BodyText"/>
        <w:spacing w:before="115" w:line="317" w:lineRule="auto"/>
        <w:ind w:left="19" w:right="51" w:firstLine="420"/>
      </w:pPr>
      <w:r>
        <w:rPr>
          <w:spacing w:val="7"/>
        </w:rPr>
        <w:t>作为美国长期生态学研究网络成员之一，杜克森林是美国较为典型的长期定位生态研究</w:t>
      </w:r>
      <w:r>
        <w:rPr>
          <w:spacing w:val="12"/>
        </w:rPr>
        <w:t xml:space="preserve"> </w:t>
      </w:r>
      <w:r>
        <w:rPr>
          <w:spacing w:val="8"/>
        </w:rPr>
        <w:t>地点，先后建立了</w:t>
      </w:r>
      <w:r>
        <w:rPr>
          <w:spacing w:val="-29"/>
        </w:rPr>
        <w:t xml:space="preserve"> </w:t>
      </w:r>
      <w:r>
        <w:rPr>
          <w:rFonts w:ascii="Times New Roman" w:eastAsia="Times New Roman" w:hAnsi="Times New Roman" w:cs="Times New Roman"/>
          <w:spacing w:val="8"/>
        </w:rPr>
        <w:t xml:space="preserve">4 </w:t>
      </w:r>
      <w:r>
        <w:rPr>
          <w:spacing w:val="8"/>
        </w:rPr>
        <w:t>类样地，</w:t>
      </w:r>
      <w:r>
        <w:rPr>
          <w:rFonts w:ascii="Times New Roman" w:eastAsia="Times New Roman" w:hAnsi="Times New Roman" w:cs="Times New Roman"/>
          <w:spacing w:val="8"/>
        </w:rPr>
        <w:t>1931</w:t>
      </w:r>
      <w:r>
        <w:rPr>
          <w:rFonts w:ascii="Times New Roman" w:eastAsia="Times New Roman" w:hAnsi="Times New Roman" w:cs="Times New Roman"/>
          <w:spacing w:val="16"/>
        </w:rPr>
        <w:t xml:space="preserve"> </w:t>
      </w:r>
      <w:r>
        <w:rPr>
          <w:spacing w:val="8"/>
        </w:rPr>
        <w:t>至</w:t>
      </w:r>
      <w:r>
        <w:rPr>
          <w:spacing w:val="-21"/>
        </w:rPr>
        <w:t xml:space="preserve"> </w:t>
      </w:r>
      <w:r>
        <w:rPr>
          <w:rFonts w:ascii="Times New Roman" w:eastAsia="Times New Roman" w:hAnsi="Times New Roman" w:cs="Times New Roman"/>
          <w:spacing w:val="8"/>
        </w:rPr>
        <w:t xml:space="preserve">1947 </w:t>
      </w:r>
      <w:r>
        <w:rPr>
          <w:spacing w:val="8"/>
        </w:rPr>
        <w:t>年，建立了</w:t>
      </w:r>
      <w:r>
        <w:rPr>
          <w:spacing w:val="-32"/>
        </w:rPr>
        <w:t xml:space="preserve"> </w:t>
      </w:r>
      <w:r>
        <w:rPr>
          <w:rFonts w:ascii="Times New Roman" w:eastAsia="Times New Roman" w:hAnsi="Times New Roman" w:cs="Times New Roman"/>
          <w:spacing w:val="8"/>
        </w:rPr>
        <w:t xml:space="preserve">51 </w:t>
      </w:r>
      <w:r>
        <w:rPr>
          <w:spacing w:val="8"/>
        </w:rPr>
        <w:t>个永久性的每木调查森林样地，</w:t>
      </w:r>
      <w:r>
        <w:t xml:space="preserve"> </w:t>
      </w:r>
      <w:r>
        <w:rPr>
          <w:spacing w:val="6"/>
        </w:rPr>
        <w:t>单个面积从</w:t>
      </w:r>
      <w:r>
        <w:rPr>
          <w:spacing w:val="-44"/>
        </w:rPr>
        <w:t xml:space="preserve"> </w:t>
      </w:r>
      <w:r>
        <w:rPr>
          <w:rFonts w:ascii="Times New Roman" w:eastAsia="Times New Roman" w:hAnsi="Times New Roman" w:cs="Times New Roman"/>
          <w:spacing w:val="6"/>
        </w:rPr>
        <w:t>405 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14"/>
          <w:w w:val="101"/>
          <w:position w:val="6"/>
          <w:sz w:val="13"/>
          <w:szCs w:val="13"/>
        </w:rPr>
        <w:t xml:space="preserve"> </w:t>
      </w:r>
      <w:r>
        <w:rPr>
          <w:spacing w:val="6"/>
        </w:rPr>
        <w:t>到</w:t>
      </w:r>
      <w:r>
        <w:rPr>
          <w:spacing w:val="-42"/>
        </w:rPr>
        <w:t xml:space="preserve"> </w:t>
      </w:r>
      <w:r>
        <w:rPr>
          <w:rFonts w:ascii="Times New Roman" w:eastAsia="Times New Roman" w:hAnsi="Times New Roman" w:cs="Times New Roman"/>
          <w:spacing w:val="6"/>
        </w:rPr>
        <w:t>4047 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14"/>
          <w:position w:val="6"/>
          <w:sz w:val="13"/>
          <w:szCs w:val="13"/>
        </w:rPr>
        <w:t xml:space="preserve"> </w:t>
      </w:r>
      <w:r>
        <w:rPr>
          <w:spacing w:val="6"/>
        </w:rPr>
        <w:t>不等。从</w:t>
      </w:r>
      <w:r>
        <w:rPr>
          <w:spacing w:val="-23"/>
        </w:rPr>
        <w:t xml:space="preserve"> </w:t>
      </w:r>
      <w:r>
        <w:rPr>
          <w:rFonts w:ascii="Times New Roman" w:eastAsia="Times New Roman" w:hAnsi="Times New Roman" w:cs="Times New Roman"/>
          <w:spacing w:val="6"/>
        </w:rPr>
        <w:t xml:space="preserve">1930 </w:t>
      </w:r>
      <w:r>
        <w:rPr>
          <w:spacing w:val="6"/>
        </w:rPr>
        <w:t>年</w:t>
      </w:r>
      <w:r>
        <w:rPr>
          <w:spacing w:val="5"/>
        </w:rPr>
        <w:t>到</w:t>
      </w:r>
      <w:r>
        <w:rPr>
          <w:spacing w:val="-43"/>
        </w:rPr>
        <w:t xml:space="preserve"> </w:t>
      </w:r>
      <w:r>
        <w:rPr>
          <w:rFonts w:ascii="Times New Roman" w:eastAsia="Times New Roman" w:hAnsi="Times New Roman" w:cs="Times New Roman"/>
          <w:spacing w:val="5"/>
        </w:rPr>
        <w:t xml:space="preserve">20 </w:t>
      </w:r>
      <w:r>
        <w:rPr>
          <w:spacing w:val="5"/>
        </w:rPr>
        <w:t>世纪</w:t>
      </w:r>
      <w:r>
        <w:rPr>
          <w:spacing w:val="-40"/>
        </w:rPr>
        <w:t xml:space="preserve"> </w:t>
      </w:r>
      <w:r>
        <w:rPr>
          <w:rFonts w:ascii="Times New Roman" w:eastAsia="Times New Roman" w:hAnsi="Times New Roman" w:cs="Times New Roman"/>
          <w:spacing w:val="5"/>
        </w:rPr>
        <w:t xml:space="preserve">70 </w:t>
      </w:r>
      <w:r>
        <w:rPr>
          <w:spacing w:val="5"/>
        </w:rPr>
        <w:t>年代，建立了</w:t>
      </w:r>
      <w:r>
        <w:rPr>
          <w:spacing w:val="-32"/>
        </w:rPr>
        <w:t xml:space="preserve"> </w:t>
      </w:r>
      <w:r>
        <w:rPr>
          <w:rFonts w:ascii="Times New Roman" w:eastAsia="Times New Roman" w:hAnsi="Times New Roman" w:cs="Times New Roman"/>
          <w:spacing w:val="5"/>
        </w:rPr>
        <w:t xml:space="preserve">8 </w:t>
      </w:r>
      <w:r>
        <w:rPr>
          <w:spacing w:val="5"/>
        </w:rPr>
        <w:t>个大型永久森</w:t>
      </w:r>
      <w:r>
        <w:t xml:space="preserve"> </w:t>
      </w:r>
      <w:r>
        <w:rPr>
          <w:spacing w:val="7"/>
        </w:rPr>
        <w:t>林样地，共占地约</w:t>
      </w:r>
      <w:r>
        <w:rPr>
          <w:spacing w:val="-41"/>
        </w:rPr>
        <w:t xml:space="preserve"> </w:t>
      </w:r>
      <w:r>
        <w:rPr>
          <w:rFonts w:ascii="Times New Roman" w:eastAsia="Times New Roman" w:hAnsi="Times New Roman" w:cs="Times New Roman"/>
          <w:spacing w:val="7"/>
        </w:rPr>
        <w:t xml:space="preserve">24 </w:t>
      </w:r>
      <w:r>
        <w:rPr>
          <w:rFonts w:ascii="Times New Roman" w:eastAsia="Times New Roman" w:hAnsi="Times New Roman" w:cs="Times New Roman"/>
        </w:rPr>
        <w:t>hm</w:t>
      </w:r>
      <w:r>
        <w:rPr>
          <w:rFonts w:ascii="Times New Roman" w:eastAsia="Times New Roman" w:hAnsi="Times New Roman" w:cs="Times New Roman"/>
          <w:spacing w:val="7"/>
          <w:position w:val="6"/>
          <w:sz w:val="13"/>
          <w:szCs w:val="13"/>
        </w:rPr>
        <w:t>2</w:t>
      </w:r>
      <w:r>
        <w:rPr>
          <w:rFonts w:ascii="Times New Roman" w:eastAsia="Times New Roman" w:hAnsi="Times New Roman" w:cs="Times New Roman"/>
          <w:spacing w:val="-6"/>
          <w:position w:val="6"/>
          <w:sz w:val="13"/>
          <w:szCs w:val="13"/>
        </w:rPr>
        <w:t xml:space="preserve"> </w:t>
      </w:r>
      <w:r>
        <w:rPr>
          <w:spacing w:val="7"/>
        </w:rPr>
        <w:t>，面积从</w:t>
      </w:r>
      <w:r>
        <w:rPr>
          <w:spacing w:val="-18"/>
        </w:rPr>
        <w:t xml:space="preserve"> </w:t>
      </w:r>
      <w:r>
        <w:rPr>
          <w:rFonts w:ascii="Times New Roman" w:eastAsia="Times New Roman" w:hAnsi="Times New Roman" w:cs="Times New Roman"/>
          <w:spacing w:val="7"/>
        </w:rPr>
        <w:t xml:space="preserve">1 </w:t>
      </w:r>
      <w:r>
        <w:rPr>
          <w:rFonts w:ascii="Times New Roman" w:eastAsia="Times New Roman" w:hAnsi="Times New Roman" w:cs="Times New Roman"/>
        </w:rPr>
        <w:t>hm</w:t>
      </w:r>
      <w:r>
        <w:rPr>
          <w:rFonts w:ascii="Times New Roman" w:eastAsia="Times New Roman" w:hAnsi="Times New Roman" w:cs="Times New Roman"/>
          <w:spacing w:val="7"/>
          <w:position w:val="6"/>
          <w:sz w:val="13"/>
          <w:szCs w:val="13"/>
        </w:rPr>
        <w:t>2</w:t>
      </w:r>
      <w:r>
        <w:rPr>
          <w:rFonts w:ascii="Times New Roman" w:eastAsia="Times New Roman" w:hAnsi="Times New Roman" w:cs="Times New Roman"/>
          <w:spacing w:val="16"/>
          <w:position w:val="6"/>
          <w:sz w:val="13"/>
          <w:szCs w:val="13"/>
        </w:rPr>
        <w:t xml:space="preserve"> </w:t>
      </w:r>
      <w:r>
        <w:rPr>
          <w:spacing w:val="7"/>
        </w:rPr>
        <w:t>到</w:t>
      </w:r>
      <w:r>
        <w:rPr>
          <w:spacing w:val="-34"/>
        </w:rPr>
        <w:t xml:space="preserve"> </w:t>
      </w:r>
      <w:r>
        <w:rPr>
          <w:rFonts w:ascii="Times New Roman" w:eastAsia="Times New Roman" w:hAnsi="Times New Roman" w:cs="Times New Roman"/>
          <w:spacing w:val="7"/>
        </w:rPr>
        <w:t xml:space="preserve">6.5 </w:t>
      </w:r>
      <w:r>
        <w:rPr>
          <w:rFonts w:ascii="Times New Roman" w:eastAsia="Times New Roman" w:hAnsi="Times New Roman" w:cs="Times New Roman"/>
        </w:rPr>
        <w:t>hm</w:t>
      </w:r>
      <w:r>
        <w:rPr>
          <w:rFonts w:ascii="Times New Roman" w:eastAsia="Times New Roman" w:hAnsi="Times New Roman" w:cs="Times New Roman"/>
          <w:spacing w:val="7"/>
          <w:position w:val="6"/>
          <w:sz w:val="13"/>
          <w:szCs w:val="13"/>
        </w:rPr>
        <w:t xml:space="preserve">2 </w:t>
      </w:r>
      <w:r>
        <w:rPr>
          <w:spacing w:val="7"/>
        </w:rPr>
        <w:t>，约每</w:t>
      </w:r>
      <w:r>
        <w:rPr>
          <w:spacing w:val="-35"/>
        </w:rPr>
        <w:t xml:space="preserve"> </w:t>
      </w:r>
      <w:r>
        <w:rPr>
          <w:rFonts w:ascii="Times New Roman" w:eastAsia="Times New Roman" w:hAnsi="Times New Roman" w:cs="Times New Roman"/>
          <w:spacing w:val="7"/>
        </w:rPr>
        <w:t xml:space="preserve">5 </w:t>
      </w:r>
      <w:r>
        <w:rPr>
          <w:spacing w:val="7"/>
        </w:rPr>
        <w:t>年重新观测一次，调查记录永</w:t>
      </w:r>
      <w:r>
        <w:t xml:space="preserve"> </w:t>
      </w:r>
      <w:r>
        <w:rPr>
          <w:spacing w:val="11"/>
        </w:rPr>
        <w:t>久样地内所有胸径大于</w:t>
      </w:r>
      <w:r>
        <w:rPr>
          <w:spacing w:val="-22"/>
        </w:rPr>
        <w:t xml:space="preserve"> </w:t>
      </w:r>
      <w:r>
        <w:rPr>
          <w:rFonts w:ascii="Times New Roman" w:eastAsia="Times New Roman" w:hAnsi="Times New Roman" w:cs="Times New Roman"/>
          <w:spacing w:val="11"/>
        </w:rPr>
        <w:t xml:space="preserve">1 </w:t>
      </w:r>
      <w:r>
        <w:rPr>
          <w:rFonts w:ascii="Times New Roman" w:eastAsia="Times New Roman" w:hAnsi="Times New Roman" w:cs="Times New Roman"/>
        </w:rPr>
        <w:t>cm</w:t>
      </w:r>
      <w:r>
        <w:rPr>
          <w:spacing w:val="11"/>
        </w:rPr>
        <w:t>树木（包括新萌生的幼树）的胸径和高度。在调查植物种类组</w:t>
      </w:r>
      <w:r>
        <w:t xml:space="preserve"> </w:t>
      </w:r>
      <w:r>
        <w:rPr>
          <w:spacing w:val="6"/>
        </w:rPr>
        <w:t>成的永久样地方面，</w:t>
      </w:r>
      <w:r>
        <w:rPr>
          <w:rFonts w:ascii="Times New Roman" w:eastAsia="Times New Roman" w:hAnsi="Times New Roman" w:cs="Times New Roman"/>
          <w:spacing w:val="6"/>
        </w:rPr>
        <w:t xml:space="preserve">1977 </w:t>
      </w:r>
      <w:r>
        <w:rPr>
          <w:spacing w:val="6"/>
        </w:rPr>
        <w:t>年，建立了</w:t>
      </w:r>
      <w:r>
        <w:rPr>
          <w:spacing w:val="-23"/>
        </w:rPr>
        <w:t xml:space="preserve"> </w:t>
      </w:r>
      <w:r>
        <w:rPr>
          <w:rFonts w:ascii="Times New Roman" w:eastAsia="Times New Roman" w:hAnsi="Times New Roman" w:cs="Times New Roman"/>
          <w:spacing w:val="6"/>
        </w:rPr>
        <w:t xml:space="preserve">105 </w:t>
      </w:r>
      <w:r>
        <w:rPr>
          <w:spacing w:val="6"/>
        </w:rPr>
        <w:t>个</w:t>
      </w:r>
      <w:r>
        <w:rPr>
          <w:spacing w:val="-40"/>
        </w:rPr>
        <w:t xml:space="preserve"> </w:t>
      </w:r>
      <w:r>
        <w:rPr>
          <w:rFonts w:ascii="Times New Roman" w:eastAsia="Times New Roman" w:hAnsi="Times New Roman" w:cs="Times New Roman"/>
          <w:spacing w:val="6"/>
        </w:rPr>
        <w:t>20 m</w:t>
      </w:r>
      <w:r>
        <w:rPr>
          <w:spacing w:val="6"/>
        </w:rPr>
        <w:t>×</w:t>
      </w:r>
      <w:r>
        <w:rPr>
          <w:rFonts w:ascii="Times New Roman" w:eastAsia="Times New Roman" w:hAnsi="Times New Roman" w:cs="Times New Roman"/>
          <w:spacing w:val="6"/>
        </w:rPr>
        <w:t>50 m</w:t>
      </w:r>
      <w:r>
        <w:rPr>
          <w:rFonts w:ascii="Times New Roman" w:eastAsia="Times New Roman" w:hAnsi="Times New Roman" w:cs="Times New Roman"/>
          <w:spacing w:val="29"/>
        </w:rPr>
        <w:t xml:space="preserve"> </w:t>
      </w:r>
      <w:r>
        <w:rPr>
          <w:spacing w:val="6"/>
        </w:rPr>
        <w:t>的永</w:t>
      </w:r>
      <w:r>
        <w:rPr>
          <w:spacing w:val="5"/>
        </w:rPr>
        <w:t>久样地，用来研究杜克森林的</w:t>
      </w:r>
      <w:r>
        <w:t xml:space="preserve"> </w:t>
      </w:r>
      <w:r>
        <w:rPr>
          <w:spacing w:val="7"/>
        </w:rPr>
        <w:t>次生演替规律。</w:t>
      </w:r>
    </w:p>
    <w:p>
      <w:pPr>
        <w:pStyle w:val="BodyText"/>
        <w:spacing w:before="110" w:line="321" w:lineRule="auto"/>
        <w:ind w:left="19" w:firstLine="420"/>
        <w:sectPr>
          <w:footerReference w:type="default" r:id="rId7"/>
          <w:pgSz w:w="11906" w:h="16839"/>
          <w:pgMar w:top="1431" w:right="1745" w:bottom="1362" w:left="1785" w:header="0" w:footer="1200" w:gutter="0"/>
          <w:pgNumType w:start="4"/>
          <w:cols w:space="708"/>
        </w:sectPr>
      </w:pPr>
      <w:r>
        <w:rPr>
          <w:spacing w:val="9"/>
        </w:rPr>
        <w:t>在草地监测方面，</w:t>
      </w:r>
      <w:r>
        <w:rPr>
          <w:spacing w:val="-60"/>
        </w:rPr>
        <w:t xml:space="preserve"> </w:t>
      </w:r>
      <w:r>
        <w:rPr>
          <w:spacing w:val="9"/>
        </w:rPr>
        <w:t>以</w:t>
      </w:r>
      <w:r>
        <w:rPr>
          <w:spacing w:val="-38"/>
        </w:rPr>
        <w:t xml:space="preserve"> </w:t>
      </w:r>
      <w:r>
        <w:rPr>
          <w:rFonts w:ascii="Times New Roman" w:eastAsia="Times New Roman" w:hAnsi="Times New Roman" w:cs="Times New Roman"/>
        </w:rPr>
        <w:t>Jornada</w:t>
      </w:r>
      <w:r>
        <w:rPr>
          <w:rFonts w:ascii="Times New Roman" w:eastAsia="Times New Roman" w:hAnsi="Times New Roman" w:cs="Times New Roman"/>
          <w:spacing w:val="16"/>
          <w:w w:val="101"/>
        </w:rPr>
        <w:t xml:space="preserve"> </w:t>
      </w:r>
      <w:r>
        <w:rPr>
          <w:spacing w:val="9"/>
        </w:rPr>
        <w:t>草原试验站为例，</w:t>
      </w:r>
      <w:r>
        <w:rPr>
          <w:spacing w:val="-49"/>
        </w:rPr>
        <w:t xml:space="preserve"> </w:t>
      </w:r>
      <w:r>
        <w:rPr>
          <w:spacing w:val="9"/>
        </w:rPr>
        <w:t>自</w:t>
      </w:r>
      <w:r>
        <w:rPr>
          <w:spacing w:val="-18"/>
        </w:rPr>
        <w:t xml:space="preserve"> </w:t>
      </w:r>
      <w:r>
        <w:rPr>
          <w:rFonts w:ascii="Times New Roman" w:eastAsia="Times New Roman" w:hAnsi="Times New Roman" w:cs="Times New Roman"/>
          <w:spacing w:val="9"/>
        </w:rPr>
        <w:t>1</w:t>
      </w:r>
      <w:r>
        <w:rPr>
          <w:rFonts w:ascii="Times New Roman" w:eastAsia="Times New Roman" w:hAnsi="Times New Roman" w:cs="Times New Roman"/>
          <w:spacing w:val="8"/>
        </w:rPr>
        <w:t xml:space="preserve">915 </w:t>
      </w:r>
      <w:r>
        <w:rPr>
          <w:spacing w:val="8"/>
        </w:rPr>
        <w:t>年以来，在多种草地和土壤类</w:t>
      </w:r>
      <w:r>
        <w:t xml:space="preserve"> </w:t>
      </w:r>
      <w:r>
        <w:rPr>
          <w:spacing w:val="5"/>
        </w:rPr>
        <w:t>型上设置永久样方以记录植被的变化。</w:t>
      </w:r>
      <w:r>
        <w:rPr>
          <w:rFonts w:ascii="Times New Roman" w:eastAsia="Times New Roman" w:hAnsi="Times New Roman" w:cs="Times New Roman"/>
          <w:spacing w:val="5"/>
        </w:rPr>
        <w:t>1915</w:t>
      </w:r>
      <w:r>
        <w:rPr>
          <w:spacing w:val="5"/>
          <w:sz w:val="18"/>
          <w:szCs w:val="18"/>
        </w:rPr>
        <w:t>～</w:t>
      </w:r>
      <w:r>
        <w:rPr>
          <w:rFonts w:ascii="Times New Roman" w:eastAsia="Times New Roman" w:hAnsi="Times New Roman" w:cs="Times New Roman"/>
          <w:spacing w:val="5"/>
        </w:rPr>
        <w:t xml:space="preserve">1932 </w:t>
      </w:r>
      <w:r>
        <w:rPr>
          <w:spacing w:val="5"/>
        </w:rPr>
        <w:t>年间，共设置了</w:t>
      </w:r>
      <w:r>
        <w:rPr>
          <w:spacing w:val="-9"/>
        </w:rPr>
        <w:t xml:space="preserve"> </w:t>
      </w:r>
      <w:r>
        <w:rPr>
          <w:rFonts w:ascii="Times New Roman" w:eastAsia="Times New Roman" w:hAnsi="Times New Roman" w:cs="Times New Roman"/>
          <w:spacing w:val="5"/>
        </w:rPr>
        <w:t>100</w:t>
      </w:r>
      <w:r>
        <w:rPr>
          <w:rFonts w:ascii="Times New Roman" w:eastAsia="Times New Roman" w:hAnsi="Times New Roman" w:cs="Times New Roman"/>
          <w:spacing w:val="20"/>
        </w:rPr>
        <w:t xml:space="preserve"> </w:t>
      </w:r>
      <w:r>
        <w:rPr>
          <w:spacing w:val="5"/>
        </w:rPr>
        <w:t>多个</w:t>
      </w:r>
      <w:r>
        <w:rPr>
          <w:spacing w:val="-21"/>
        </w:rPr>
        <w:t xml:space="preserve"> </w:t>
      </w:r>
      <w:r>
        <w:rPr>
          <w:rFonts w:ascii="Times New Roman" w:eastAsia="Times New Roman" w:hAnsi="Times New Roman" w:cs="Times New Roman"/>
          <w:spacing w:val="5"/>
        </w:rPr>
        <w:t>1 m</w:t>
      </w:r>
      <w:r>
        <w:rPr>
          <w:spacing w:val="5"/>
        </w:rPr>
        <w:t>×</w:t>
      </w:r>
      <w:r>
        <w:rPr>
          <w:rFonts w:ascii="Times New Roman" w:eastAsia="Times New Roman" w:hAnsi="Times New Roman" w:cs="Times New Roman"/>
          <w:spacing w:val="5"/>
        </w:rPr>
        <w:t>1 m</w:t>
      </w:r>
      <w:r>
        <w:rPr>
          <w:rFonts w:ascii="Times New Roman" w:eastAsia="Times New Roman" w:hAnsi="Times New Roman" w:cs="Times New Roman"/>
          <w:spacing w:val="29"/>
          <w:w w:val="101"/>
        </w:rPr>
        <w:t xml:space="preserve"> </w:t>
      </w:r>
      <w:r>
        <w:rPr>
          <w:spacing w:val="5"/>
        </w:rPr>
        <w:t>的样</w:t>
      </w:r>
      <w:r>
        <w:t xml:space="preserve"> </w:t>
      </w:r>
      <w:r>
        <w:rPr>
          <w:spacing w:val="8"/>
        </w:rPr>
        <w:t>方，研究主要牧草种类对放牧和降水的响应，</w:t>
      </w:r>
      <w:r>
        <w:rPr>
          <w:spacing w:val="7"/>
        </w:rPr>
        <w:t>对多年生牧草的基部盖度、一年生禾草和杂草</w:t>
      </w:r>
      <w:r>
        <w:t xml:space="preserve"> </w:t>
      </w:r>
      <w:r>
        <w:rPr>
          <w:spacing w:val="18"/>
        </w:rPr>
        <w:t>及灌木的位置都进行了监测</w:t>
      </w:r>
      <w:r>
        <w:rPr>
          <w:spacing w:val="-47"/>
        </w:rPr>
        <w:t xml:space="preserve"> </w:t>
      </w:r>
      <w:r>
        <w:rPr>
          <w:spacing w:val="18"/>
        </w:rPr>
        <w:t>。在</w:t>
      </w:r>
      <w:r>
        <w:rPr>
          <w:spacing w:val="-11"/>
        </w:rPr>
        <w:t xml:space="preserve"> </w:t>
      </w:r>
      <w:r>
        <w:rPr>
          <w:rFonts w:ascii="Times New Roman" w:eastAsia="Times New Roman" w:hAnsi="Times New Roman" w:cs="Times New Roman"/>
          <w:spacing w:val="18"/>
        </w:rPr>
        <w:t>1947</w:t>
      </w:r>
      <w:r>
        <w:rPr>
          <w:rFonts w:ascii="Times New Roman" w:eastAsia="Times New Roman" w:hAnsi="Times New Roman" w:cs="Times New Roman"/>
          <w:spacing w:val="22"/>
          <w:w w:val="101"/>
        </w:rPr>
        <w:t xml:space="preserve"> </w:t>
      </w:r>
      <w:r>
        <w:rPr>
          <w:spacing w:val="18"/>
        </w:rPr>
        <w:t>年以前，对几乎所有的固定样方每年都要绘图，</w:t>
      </w:r>
      <w:r>
        <w:t xml:space="preserve"> </w:t>
      </w:r>
      <w:r>
        <w:rPr>
          <w:rFonts w:ascii="Times New Roman" w:eastAsia="Times New Roman" w:hAnsi="Times New Roman" w:cs="Times New Roman"/>
          <w:spacing w:val="6"/>
        </w:rPr>
        <w:t>1947-</w:t>
      </w:r>
      <w:r>
        <w:rPr>
          <w:rFonts w:ascii="Times New Roman" w:eastAsia="Times New Roman" w:hAnsi="Times New Roman" w:cs="Times New Roman"/>
          <w:spacing w:val="-10"/>
        </w:rPr>
        <w:t xml:space="preserve"> </w:t>
      </w:r>
      <w:r>
        <w:rPr>
          <w:rFonts w:ascii="Times New Roman" w:eastAsia="Times New Roman" w:hAnsi="Times New Roman" w:cs="Times New Roman"/>
          <w:spacing w:val="6"/>
        </w:rPr>
        <w:t xml:space="preserve">1979 </w:t>
      </w:r>
      <w:r>
        <w:rPr>
          <w:spacing w:val="6"/>
        </w:rPr>
        <w:t>年，对部分样方每年进行绘图；</w:t>
      </w:r>
      <w:r>
        <w:rPr>
          <w:spacing w:val="-60"/>
        </w:rPr>
        <w:t xml:space="preserve"> </w:t>
      </w:r>
      <w:r>
        <w:rPr>
          <w:rFonts w:ascii="Times New Roman" w:eastAsia="Times New Roman" w:hAnsi="Times New Roman" w:cs="Times New Roman"/>
          <w:spacing w:val="6"/>
        </w:rPr>
        <w:t xml:space="preserve">1995 </w:t>
      </w:r>
      <w:r>
        <w:rPr>
          <w:spacing w:val="6"/>
        </w:rPr>
        <w:t>年和</w:t>
      </w:r>
      <w:r>
        <w:rPr>
          <w:spacing w:val="-38"/>
        </w:rPr>
        <w:t xml:space="preserve"> </w:t>
      </w:r>
      <w:r>
        <w:rPr>
          <w:rFonts w:ascii="Times New Roman" w:eastAsia="Times New Roman" w:hAnsi="Times New Roman" w:cs="Times New Roman"/>
          <w:spacing w:val="6"/>
        </w:rPr>
        <w:t xml:space="preserve">2001 </w:t>
      </w:r>
      <w:r>
        <w:rPr>
          <w:spacing w:val="6"/>
        </w:rPr>
        <w:t>年，对</w:t>
      </w:r>
      <w:r>
        <w:rPr>
          <w:spacing w:val="-18"/>
        </w:rPr>
        <w:t xml:space="preserve"> </w:t>
      </w:r>
      <w:r>
        <w:rPr>
          <w:rFonts w:ascii="Times New Roman" w:eastAsia="Times New Roman" w:hAnsi="Times New Roman" w:cs="Times New Roman"/>
          <w:spacing w:val="6"/>
        </w:rPr>
        <w:t xml:space="preserve">160 </w:t>
      </w:r>
      <w:r>
        <w:rPr>
          <w:spacing w:val="6"/>
        </w:rPr>
        <w:t>个样方又重新定位和</w:t>
      </w:r>
      <w:r>
        <w:t xml:space="preserve"> </w:t>
      </w:r>
      <w:r>
        <w:rPr>
          <w:spacing w:val="5"/>
        </w:rPr>
        <w:t>绘图。从</w:t>
      </w:r>
      <w:r>
        <w:rPr>
          <w:spacing w:val="-14"/>
        </w:rPr>
        <w:t xml:space="preserve"> </w:t>
      </w:r>
      <w:r>
        <w:rPr>
          <w:rFonts w:ascii="Times New Roman" w:eastAsia="Times New Roman" w:hAnsi="Times New Roman" w:cs="Times New Roman"/>
          <w:spacing w:val="5"/>
        </w:rPr>
        <w:t xml:space="preserve">1989 </w:t>
      </w:r>
      <w:r>
        <w:rPr>
          <w:spacing w:val="5"/>
        </w:rPr>
        <w:t>年开始，在</w:t>
      </w:r>
      <w:r>
        <w:rPr>
          <w:spacing w:val="-38"/>
        </w:rPr>
        <w:t xml:space="preserve"> </w:t>
      </w:r>
      <w:r>
        <w:rPr>
          <w:rFonts w:ascii="Times New Roman" w:eastAsia="Times New Roman" w:hAnsi="Times New Roman" w:cs="Times New Roman"/>
          <w:spacing w:val="5"/>
        </w:rPr>
        <w:t xml:space="preserve">5 </w:t>
      </w:r>
      <w:r>
        <w:rPr>
          <w:spacing w:val="5"/>
        </w:rPr>
        <w:t>个生态系统类型中，选择</w:t>
      </w:r>
      <w:r>
        <w:rPr>
          <w:spacing w:val="-20"/>
        </w:rPr>
        <w:t xml:space="preserve"> </w:t>
      </w:r>
      <w:r>
        <w:rPr>
          <w:rFonts w:ascii="Times New Roman" w:eastAsia="Times New Roman" w:hAnsi="Times New Roman" w:cs="Times New Roman"/>
          <w:spacing w:val="5"/>
        </w:rPr>
        <w:t xml:space="preserve">15 </w:t>
      </w:r>
      <w:r>
        <w:rPr>
          <w:spacing w:val="5"/>
        </w:rPr>
        <w:t>个研究地点设置永久样方，利用非</w:t>
      </w:r>
      <w:r>
        <w:t xml:space="preserve"> </w:t>
      </w:r>
      <w:r>
        <w:rPr>
          <w:spacing w:val="9"/>
        </w:rPr>
        <w:t>破坏性的空间显示方法以度量植物地上生物量和净初级生产力的时空异质性，</w:t>
      </w:r>
      <w:r>
        <w:rPr>
          <w:spacing w:val="8"/>
        </w:rPr>
        <w:t>并进行比较。</w:t>
      </w:r>
      <w:r>
        <w:t xml:space="preserve"> </w:t>
      </w:r>
      <w:r>
        <w:rPr>
          <w:spacing w:val="8"/>
        </w:rPr>
        <w:t>其监测结果被用来分析和判断影响物种丰富度、植物</w:t>
      </w:r>
      <w:r>
        <w:rPr>
          <w:spacing w:val="7"/>
        </w:rPr>
        <w:t>生长和持续性的景观、气候和人类活动</w:t>
      </w:r>
      <w:r>
        <w:t xml:space="preserve"> </w:t>
      </w:r>
      <w:r>
        <w:rPr>
          <w:spacing w:val="5"/>
        </w:rPr>
        <w:t>的因素。</w:t>
      </w:r>
    </w:p>
    <w:p>
      <w:pPr>
        <w:pStyle w:val="BodyText"/>
        <w:spacing w:before="114" w:line="230" w:lineRule="auto"/>
        <w:ind w:left="449"/>
      </w:pPr>
      <w:r>
        <w:rPr>
          <w:spacing w:val="4"/>
        </w:rPr>
        <w:t>（</w:t>
      </w:r>
      <w:r>
        <w:rPr>
          <w:rFonts w:ascii="Times New Roman" w:eastAsia="Times New Roman" w:hAnsi="Times New Roman" w:cs="Times New Roman"/>
          <w:spacing w:val="4"/>
        </w:rPr>
        <w:t>6</w:t>
      </w:r>
      <w:r>
        <w:rPr>
          <w:spacing w:val="4"/>
        </w:rPr>
        <w:t>）瑞士</w:t>
      </w:r>
    </w:p>
    <w:p>
      <w:pPr>
        <w:spacing w:line="230" w:lineRule="auto"/>
        <w:sectPr>
          <w:footerReference w:type="default" r:id="rId8"/>
          <w:type w:val="nextPage"/>
          <w:pgSz w:w="11906" w:h="16839"/>
          <w:pgMar w:top="1431" w:right="1745" w:bottom="1362" w:left="1785" w:header="0" w:footer="1200" w:gutter="0"/>
          <w:pgNumType w:start="5"/>
          <w:cols w:space="708"/>
          <w:titlePg w:val="0"/>
        </w:sectPr>
      </w:pPr>
    </w:p>
    <w:p>
      <w:pPr>
        <w:pStyle w:val="BodyText"/>
        <w:spacing w:before="120" w:line="311" w:lineRule="auto"/>
        <w:ind w:left="21" w:right="68" w:firstLine="418"/>
      </w:pPr>
      <w:r>
        <w:rPr>
          <w:spacing w:val="13"/>
        </w:rPr>
        <w:t>瑞士生物多样性监测项目是一项对瑞士环境、森林和景观格局进行的长期监测计划，</w:t>
      </w:r>
      <w:r>
        <w:rPr>
          <w:spacing w:val="1"/>
        </w:rPr>
        <w:t xml:space="preserve"> </w:t>
      </w:r>
      <w:r>
        <w:rPr>
          <w:rFonts w:ascii="Times New Roman" w:eastAsia="Times New Roman" w:hAnsi="Times New Roman" w:cs="Times New Roman"/>
          <w:spacing w:val="11"/>
        </w:rPr>
        <w:t xml:space="preserve">1995 </w:t>
      </w:r>
      <w:r>
        <w:rPr>
          <w:spacing w:val="11"/>
        </w:rPr>
        <w:t>年开始试点研究。该项目的目的是监测整个瑞士所</w:t>
      </w:r>
      <w:r>
        <w:rPr>
          <w:spacing w:val="10"/>
        </w:rPr>
        <w:t>有层次生物多样性变化。瑞士生物</w:t>
      </w:r>
      <w:r>
        <w:t xml:space="preserve"> </w:t>
      </w:r>
      <w:r>
        <w:rPr>
          <w:spacing w:val="7"/>
        </w:rPr>
        <w:t>多样性监测项目采用系统抽样方法设计监测样地，根据生物多样性变化所要求的精度，确定</w:t>
      </w:r>
      <w:r>
        <w:rPr>
          <w:spacing w:val="18"/>
        </w:rPr>
        <w:t xml:space="preserve"> </w:t>
      </w:r>
      <w:r>
        <w:rPr>
          <w:spacing w:val="8"/>
        </w:rPr>
        <w:t>取样网格密度。该监测网络由系统分布的</w:t>
      </w:r>
      <w:r>
        <w:rPr>
          <w:spacing w:val="-38"/>
        </w:rPr>
        <w:t xml:space="preserve"> </w:t>
      </w:r>
      <w:r>
        <w:rPr>
          <w:rFonts w:ascii="Times New Roman" w:eastAsia="Times New Roman" w:hAnsi="Times New Roman" w:cs="Times New Roman"/>
          <w:spacing w:val="8"/>
        </w:rPr>
        <w:t xml:space="preserve">520 </w:t>
      </w:r>
      <w:r>
        <w:rPr>
          <w:spacing w:val="8"/>
        </w:rPr>
        <w:t>个</w:t>
      </w:r>
      <w:r>
        <w:rPr>
          <w:spacing w:val="-22"/>
        </w:rPr>
        <w:t xml:space="preserve"> </w:t>
      </w:r>
      <w:r>
        <w:rPr>
          <w:rFonts w:ascii="Times New Roman" w:eastAsia="Times New Roman" w:hAnsi="Times New Roman" w:cs="Times New Roman"/>
          <w:spacing w:val="8"/>
        </w:rPr>
        <w:t xml:space="preserve">1 </w:t>
      </w:r>
      <w:r>
        <w:rPr>
          <w:rFonts w:ascii="Times New Roman" w:eastAsia="Times New Roman" w:hAnsi="Times New Roman" w:cs="Times New Roman"/>
        </w:rPr>
        <w:t>km</w:t>
      </w:r>
      <w:r>
        <w:rPr>
          <w:spacing w:val="8"/>
        </w:rPr>
        <w:t>×</w:t>
      </w:r>
      <w:r>
        <w:rPr>
          <w:rFonts w:ascii="Times New Roman" w:eastAsia="Times New Roman" w:hAnsi="Times New Roman" w:cs="Times New Roman"/>
          <w:spacing w:val="8"/>
        </w:rPr>
        <w:t xml:space="preserve">1 </w:t>
      </w:r>
      <w:r>
        <w:rPr>
          <w:rFonts w:ascii="Times New Roman" w:eastAsia="Times New Roman" w:hAnsi="Times New Roman" w:cs="Times New Roman"/>
        </w:rPr>
        <w:t>km</w:t>
      </w:r>
      <w:r>
        <w:rPr>
          <w:rFonts w:ascii="Times New Roman" w:eastAsia="Times New Roman" w:hAnsi="Times New Roman" w:cs="Times New Roman"/>
          <w:spacing w:val="31"/>
        </w:rPr>
        <w:t xml:space="preserve"> </w:t>
      </w:r>
      <w:r>
        <w:rPr>
          <w:spacing w:val="8"/>
        </w:rPr>
        <w:t>的正方</w:t>
      </w:r>
      <w:r>
        <w:rPr>
          <w:spacing w:val="7"/>
        </w:rPr>
        <w:t>形单元组成，在网格单</w:t>
      </w:r>
      <w:r>
        <w:t xml:space="preserve"> </w:t>
      </w:r>
      <w:r>
        <w:rPr>
          <w:spacing w:val="9"/>
        </w:rPr>
        <w:t>元内进行生物多样性监测说明国外相关标准的特点、应用情况。</w:t>
      </w:r>
    </w:p>
    <w:p>
      <w:pPr>
        <w:spacing w:before="242" w:line="222" w:lineRule="auto"/>
        <w:ind w:left="21"/>
        <w:rPr>
          <w:rFonts w:ascii="SimHei" w:eastAsia="SimHei" w:hAnsi="SimHei" w:cs="SimHei"/>
          <w:sz w:val="24"/>
          <w:szCs w:val="24"/>
        </w:rPr>
      </w:pPr>
      <w:r>
        <w:rPr>
          <w:rFonts w:ascii="SimHei" w:eastAsia="SimHei" w:hAnsi="SimHei" w:cs="SimHei"/>
          <w:spacing w:val="-3"/>
          <w:sz w:val="24"/>
          <w:szCs w:val="24"/>
        </w:rPr>
        <w:t>3.2</w:t>
      </w:r>
      <w:r>
        <w:rPr>
          <w:rFonts w:ascii="SimHei" w:eastAsia="SimHei" w:hAnsi="SimHei" w:cs="SimHei"/>
          <w:spacing w:val="36"/>
          <w:sz w:val="24"/>
          <w:szCs w:val="24"/>
        </w:rPr>
        <w:t xml:space="preserve">  </w:t>
      </w:r>
      <w:r>
        <w:rPr>
          <w:rFonts w:ascii="SimHei" w:eastAsia="SimHei" w:hAnsi="SimHei" w:cs="SimHei"/>
          <w:spacing w:val="-3"/>
          <w:sz w:val="24"/>
          <w:szCs w:val="24"/>
        </w:rPr>
        <w:t>国内标准情况的研究</w:t>
      </w:r>
    </w:p>
    <w:p>
      <w:pPr>
        <w:pStyle w:val="BodyText"/>
        <w:spacing w:before="258" w:line="324" w:lineRule="auto"/>
        <w:ind w:left="19" w:right="3" w:firstLine="460"/>
      </w:pPr>
      <w:r>
        <w:rPr>
          <w:spacing w:val="6"/>
        </w:rPr>
        <w:t>目前，我国林业草原、农业农村、生态环境等部门和中国科学院组织开展了一系列植物</w:t>
      </w:r>
      <w:r>
        <w:rPr>
          <w:spacing w:val="14"/>
        </w:rPr>
        <w:t xml:space="preserve"> </w:t>
      </w:r>
      <w:r>
        <w:rPr>
          <w:spacing w:val="4"/>
        </w:rPr>
        <w:t>监测工作。全国第</w:t>
      </w:r>
      <w:r>
        <w:rPr>
          <w:spacing w:val="-23"/>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18"/>
        </w:rPr>
        <w:t xml:space="preserve"> </w:t>
      </w:r>
      <w:r>
        <w:rPr>
          <w:spacing w:val="4"/>
        </w:rPr>
        <w:t>次森林资源清查从</w:t>
      </w:r>
      <w:r>
        <w:rPr>
          <w:spacing w:val="-21"/>
        </w:rPr>
        <w:t xml:space="preserve"> </w:t>
      </w:r>
      <w:r>
        <w:rPr>
          <w:rFonts w:ascii="Times New Roman" w:eastAsia="Times New Roman" w:hAnsi="Times New Roman" w:cs="Times New Roman"/>
          <w:spacing w:val="4"/>
        </w:rPr>
        <w:t xml:space="preserve">1973 </w:t>
      </w:r>
      <w:r>
        <w:rPr>
          <w:spacing w:val="4"/>
        </w:rPr>
        <w:t>年开始，到</w:t>
      </w:r>
      <w:r>
        <w:rPr>
          <w:spacing w:val="-23"/>
        </w:rPr>
        <w:t xml:space="preserve"> </w:t>
      </w:r>
      <w:r>
        <w:rPr>
          <w:rFonts w:ascii="Times New Roman" w:eastAsia="Times New Roman" w:hAnsi="Times New Roman" w:cs="Times New Roman"/>
          <w:spacing w:val="4"/>
        </w:rPr>
        <w:t xml:space="preserve">1976 </w:t>
      </w:r>
      <w:r>
        <w:rPr>
          <w:spacing w:val="3"/>
        </w:rPr>
        <w:t>年结束。此后，每</w:t>
      </w:r>
      <w:r>
        <w:rPr>
          <w:spacing w:val="-37"/>
        </w:rPr>
        <w:t xml:space="preserve"> </w:t>
      </w:r>
      <w:r>
        <w:rPr>
          <w:rFonts w:ascii="Times New Roman" w:eastAsia="Times New Roman" w:hAnsi="Times New Roman" w:cs="Times New Roman"/>
          <w:spacing w:val="3"/>
        </w:rPr>
        <w:t xml:space="preserve">5 </w:t>
      </w:r>
      <w:r>
        <w:rPr>
          <w:spacing w:val="3"/>
        </w:rPr>
        <w:t xml:space="preserve">年清查一 </w:t>
      </w:r>
      <w:r>
        <w:rPr>
          <w:spacing w:val="7"/>
        </w:rPr>
        <w:t>次，优化完善了各省清查体系。从第</w:t>
      </w:r>
      <w:r>
        <w:rPr>
          <w:spacing w:val="-36"/>
        </w:rPr>
        <w:t xml:space="preserve"> </w:t>
      </w:r>
      <w:r>
        <w:rPr>
          <w:rFonts w:ascii="Times New Roman" w:eastAsia="Times New Roman" w:hAnsi="Times New Roman" w:cs="Times New Roman"/>
          <w:spacing w:val="7"/>
        </w:rPr>
        <w:t>6</w:t>
      </w:r>
      <w:r>
        <w:rPr>
          <w:rFonts w:ascii="Times New Roman" w:eastAsia="Times New Roman" w:hAnsi="Times New Roman" w:cs="Times New Roman"/>
          <w:spacing w:val="17"/>
          <w:w w:val="101"/>
        </w:rPr>
        <w:t xml:space="preserve"> </w:t>
      </w:r>
      <w:r>
        <w:rPr>
          <w:spacing w:val="7"/>
        </w:rPr>
        <w:t>次森林资源调查开始，原国家林</w:t>
      </w:r>
      <w:r>
        <w:rPr>
          <w:spacing w:val="6"/>
        </w:rPr>
        <w:t>业局要求固定样地的</w:t>
      </w:r>
      <w:r>
        <w:t xml:space="preserve"> </w:t>
      </w:r>
      <w:r>
        <w:rPr>
          <w:spacing w:val="9"/>
        </w:rPr>
        <w:t>设置按系统抽样的原则，在公里网交点上设置面积为</w:t>
      </w:r>
      <w:r>
        <w:rPr>
          <w:spacing w:val="-39"/>
        </w:rPr>
        <w:t xml:space="preserve"> </w:t>
      </w:r>
      <w:r>
        <w:rPr>
          <w:rFonts w:ascii="Times New Roman" w:eastAsia="Times New Roman" w:hAnsi="Times New Roman" w:cs="Times New Roman"/>
          <w:spacing w:val="8"/>
        </w:rPr>
        <w:t xml:space="preserve">0.067 </w:t>
      </w:r>
      <w:r>
        <w:rPr>
          <w:rFonts w:ascii="Times New Roman" w:eastAsia="Times New Roman" w:hAnsi="Times New Roman" w:cs="Times New Roman"/>
        </w:rPr>
        <w:t>hm</w:t>
      </w:r>
      <w:r>
        <w:rPr>
          <w:rFonts w:ascii="Times New Roman" w:eastAsia="Times New Roman" w:hAnsi="Times New Roman" w:cs="Times New Roman"/>
          <w:spacing w:val="8"/>
          <w:position w:val="6"/>
          <w:sz w:val="13"/>
          <w:szCs w:val="13"/>
        </w:rPr>
        <w:t>2</w:t>
      </w:r>
      <w:r>
        <w:rPr>
          <w:rFonts w:ascii="Times New Roman" w:eastAsia="Times New Roman" w:hAnsi="Times New Roman" w:cs="Times New Roman"/>
          <w:spacing w:val="27"/>
          <w:w w:val="101"/>
          <w:position w:val="6"/>
          <w:sz w:val="13"/>
          <w:szCs w:val="13"/>
        </w:rPr>
        <w:t xml:space="preserve"> </w:t>
      </w:r>
      <w:r>
        <w:rPr>
          <w:spacing w:val="8"/>
        </w:rPr>
        <w:t>的固定样地，对样地内胸径</w:t>
      </w:r>
      <w:r>
        <w:t xml:space="preserve"> </w:t>
      </w:r>
      <w:r>
        <w:rPr>
          <w:spacing w:val="9"/>
        </w:rPr>
        <w:t>为</w:t>
      </w:r>
      <w:r>
        <w:rPr>
          <w:spacing w:val="-37"/>
        </w:rPr>
        <w:t xml:space="preserve"> </w:t>
      </w:r>
      <w:r>
        <w:rPr>
          <w:rFonts w:ascii="Times New Roman" w:eastAsia="Times New Roman" w:hAnsi="Times New Roman" w:cs="Times New Roman"/>
          <w:spacing w:val="9"/>
        </w:rPr>
        <w:t xml:space="preserve">5 </w:t>
      </w:r>
      <w:r>
        <w:rPr>
          <w:rFonts w:ascii="Times New Roman" w:eastAsia="Times New Roman" w:hAnsi="Times New Roman" w:cs="Times New Roman"/>
        </w:rPr>
        <w:t>cm</w:t>
      </w:r>
      <w:r>
        <w:rPr>
          <w:rFonts w:ascii="Times New Roman" w:eastAsia="Times New Roman" w:hAnsi="Times New Roman" w:cs="Times New Roman"/>
          <w:spacing w:val="35"/>
          <w:w w:val="101"/>
        </w:rPr>
        <w:t xml:space="preserve"> </w:t>
      </w:r>
      <w:r>
        <w:rPr>
          <w:spacing w:val="9"/>
        </w:rPr>
        <w:t>以上的个体测量胸径。我国先后完成了</w:t>
      </w:r>
      <w:r>
        <w:rPr>
          <w:spacing w:val="-33"/>
        </w:rPr>
        <w:t xml:space="preserve"> </w:t>
      </w:r>
      <w:r>
        <w:rPr>
          <w:rFonts w:ascii="Times New Roman" w:eastAsia="Times New Roman" w:hAnsi="Times New Roman" w:cs="Times New Roman"/>
          <w:spacing w:val="9"/>
        </w:rPr>
        <w:t xml:space="preserve">8 </w:t>
      </w:r>
      <w:r>
        <w:rPr>
          <w:spacing w:val="9"/>
        </w:rPr>
        <w:t>次全国森林资源清查。在监测内</w:t>
      </w:r>
      <w:r>
        <w:rPr>
          <w:spacing w:val="8"/>
        </w:rPr>
        <w:t>容方面，</w:t>
      </w:r>
      <w:r>
        <w:t xml:space="preserve"> </w:t>
      </w:r>
      <w:r>
        <w:rPr>
          <w:spacing w:val="7"/>
        </w:rPr>
        <w:t xml:space="preserve">以森林资源面积和蓄积量为主，逐渐增加了森林健康、生态功能、生物多样性等生态状况指 </w:t>
      </w:r>
      <w:r>
        <w:rPr>
          <w:spacing w:val="7"/>
        </w:rPr>
        <w:t>标，从</w:t>
      </w:r>
      <w:r>
        <w:rPr>
          <w:spacing w:val="-41"/>
        </w:rPr>
        <w:t xml:space="preserve"> </w:t>
      </w:r>
      <w:r>
        <w:rPr>
          <w:rFonts w:ascii="Times New Roman" w:eastAsia="Times New Roman" w:hAnsi="Times New Roman" w:cs="Times New Roman"/>
          <w:spacing w:val="7"/>
        </w:rPr>
        <w:t xml:space="preserve">20 </w:t>
      </w:r>
      <w:r>
        <w:rPr>
          <w:spacing w:val="7"/>
        </w:rPr>
        <w:t>世纪</w:t>
      </w:r>
      <w:r>
        <w:rPr>
          <w:spacing w:val="-36"/>
        </w:rPr>
        <w:t xml:space="preserve"> </w:t>
      </w:r>
      <w:r>
        <w:rPr>
          <w:rFonts w:ascii="Times New Roman" w:eastAsia="Times New Roman" w:hAnsi="Times New Roman" w:cs="Times New Roman"/>
          <w:spacing w:val="7"/>
        </w:rPr>
        <w:t xml:space="preserve">90 </w:t>
      </w:r>
      <w:r>
        <w:rPr>
          <w:spacing w:val="7"/>
        </w:rPr>
        <w:t>年代以来，抽样调查、遥</w:t>
      </w:r>
      <w:r>
        <w:rPr>
          <w:spacing w:val="6"/>
        </w:rPr>
        <w:t>感技术、地理信息系统、全球定位、数据库和模</w:t>
      </w:r>
      <w:r>
        <w:t xml:space="preserve"> </w:t>
      </w:r>
      <w:r>
        <w:rPr>
          <w:spacing w:val="7"/>
        </w:rPr>
        <w:t xml:space="preserve">型分析等新技术逐渐得到了应用和推广，提升了森林资源监测的科技含量和技术水平。在技 </w:t>
      </w:r>
      <w:r>
        <w:rPr>
          <w:spacing w:val="4"/>
        </w:rPr>
        <w:t>术规范方面，</w:t>
      </w:r>
      <w:r>
        <w:rPr>
          <w:rFonts w:ascii="Times New Roman" w:eastAsia="Times New Roman" w:hAnsi="Times New Roman" w:cs="Times New Roman"/>
          <w:spacing w:val="4"/>
        </w:rPr>
        <w:t xml:space="preserve">1978 </w:t>
      </w:r>
      <w:r>
        <w:rPr>
          <w:spacing w:val="4"/>
        </w:rPr>
        <w:t>年，原农林部颁布了《全国森林资源连续清查技术规定》；</w:t>
      </w:r>
      <w:r>
        <w:rPr>
          <w:rFonts w:ascii="Times New Roman" w:eastAsia="Times New Roman" w:hAnsi="Times New Roman" w:cs="Times New Roman"/>
          <w:spacing w:val="4"/>
        </w:rPr>
        <w:t xml:space="preserve">1982 </w:t>
      </w:r>
      <w:r>
        <w:rPr>
          <w:spacing w:val="4"/>
        </w:rPr>
        <w:t xml:space="preserve">年，原林 </w:t>
      </w:r>
      <w:r>
        <w:rPr>
          <w:spacing w:val="5"/>
        </w:rPr>
        <w:t>业部制定了《森林资源调查主要技术规定》；</w:t>
      </w:r>
      <w:r>
        <w:rPr>
          <w:rFonts w:ascii="Times New Roman" w:eastAsia="Times New Roman" w:hAnsi="Times New Roman" w:cs="Times New Roman"/>
          <w:spacing w:val="5"/>
        </w:rPr>
        <w:t xml:space="preserve">2004 </w:t>
      </w:r>
      <w:r>
        <w:rPr>
          <w:spacing w:val="5"/>
        </w:rPr>
        <w:t xml:space="preserve">年，原国家林业局颁布了《国家森林资源 </w:t>
      </w:r>
      <w:r>
        <w:rPr>
          <w:spacing w:val="3"/>
        </w:rPr>
        <w:t>连续清查技术规定》；</w:t>
      </w:r>
      <w:r>
        <w:rPr>
          <w:rFonts w:ascii="Times New Roman" w:eastAsia="Times New Roman" w:hAnsi="Times New Roman" w:cs="Times New Roman"/>
          <w:spacing w:val="3"/>
        </w:rPr>
        <w:t xml:space="preserve">2008 </w:t>
      </w:r>
      <w:r>
        <w:rPr>
          <w:spacing w:val="3"/>
        </w:rPr>
        <w:t>年，原国家林业局又制定了《〈</w:t>
      </w:r>
      <w:r>
        <w:rPr>
          <w:spacing w:val="2"/>
        </w:rPr>
        <w:t>国家森林资源连续清查技术规定〉</w:t>
      </w:r>
      <w:r>
        <w:t xml:space="preserve"> </w:t>
      </w:r>
      <w:r>
        <w:rPr>
          <w:spacing w:val="2"/>
        </w:rPr>
        <w:t xml:space="preserve">补充技术规定》《国家森林资源连续清查森林生物量模型建立暂行办法（试行）》《国家森林 </w:t>
      </w:r>
      <w:r>
        <w:t>资源连续清查定点监测原则方案（试行）》。</w:t>
      </w:r>
    </w:p>
    <w:p>
      <w:pPr>
        <w:pStyle w:val="BodyText"/>
        <w:spacing w:before="111" w:line="315" w:lineRule="auto"/>
        <w:ind w:left="19" w:firstLine="436"/>
      </w:pPr>
      <w:r>
        <w:rPr>
          <w:rFonts w:ascii="Times New Roman" w:eastAsia="Times New Roman" w:hAnsi="Times New Roman" w:cs="Times New Roman"/>
          <w:spacing w:val="10"/>
        </w:rPr>
        <w:t xml:space="preserve">1978 </w:t>
      </w:r>
      <w:r>
        <w:rPr>
          <w:spacing w:val="10"/>
        </w:rPr>
        <w:t>年，原林业部正式确立“森林生态系统研究</w:t>
      </w:r>
      <w:r>
        <w:rPr>
          <w:spacing w:val="-70"/>
        </w:rPr>
        <w:t xml:space="preserve"> </w:t>
      </w:r>
      <w:r>
        <w:rPr>
          <w:spacing w:val="10"/>
        </w:rPr>
        <w:t>”规划，制订了全国发展规划草案。</w:t>
      </w:r>
      <w:r>
        <w:t xml:space="preserve"> </w:t>
      </w:r>
      <w:r>
        <w:rPr>
          <w:rFonts w:ascii="Times New Roman" w:eastAsia="Times New Roman" w:hAnsi="Times New Roman" w:cs="Times New Roman"/>
          <w:spacing w:val="7"/>
        </w:rPr>
        <w:t xml:space="preserve">1992 </w:t>
      </w:r>
      <w:r>
        <w:rPr>
          <w:spacing w:val="7"/>
        </w:rPr>
        <w:t>年，原林业部总结了森林生态系统定位研究工作，成立了由</w:t>
      </w:r>
      <w:r>
        <w:rPr>
          <w:spacing w:val="-20"/>
        </w:rPr>
        <w:t xml:space="preserve"> </w:t>
      </w:r>
      <w:r>
        <w:rPr>
          <w:rFonts w:ascii="Times New Roman" w:eastAsia="Times New Roman" w:hAnsi="Times New Roman" w:cs="Times New Roman"/>
          <w:spacing w:val="7"/>
        </w:rPr>
        <w:t xml:space="preserve">11 </w:t>
      </w:r>
      <w:r>
        <w:rPr>
          <w:spacing w:val="7"/>
        </w:rPr>
        <w:t>个定位站组成的</w:t>
      </w:r>
      <w:r>
        <w:rPr>
          <w:spacing w:val="6"/>
        </w:rPr>
        <w:t xml:space="preserve">中国森 </w:t>
      </w:r>
      <w:r>
        <w:rPr>
          <w:spacing w:val="1"/>
        </w:rPr>
        <w:t>林生态系统定位观测研究网络（</w:t>
      </w:r>
      <w:r>
        <w:rPr>
          <w:rFonts w:ascii="Times New Roman" w:eastAsia="Times New Roman" w:hAnsi="Times New Roman" w:cs="Times New Roman"/>
        </w:rPr>
        <w:t>CFERN</w:t>
      </w:r>
      <w:r>
        <w:rPr>
          <w:spacing w:val="-46"/>
          <w:w w:val="87"/>
        </w:rPr>
        <w:t>），</w:t>
      </w:r>
      <w:r>
        <w:rPr>
          <w:spacing w:val="1"/>
        </w:rPr>
        <w:t>制定了“林业部森林生态系统定位研究网络规划</w:t>
      </w:r>
      <w:r>
        <w:rPr>
          <w:spacing w:val="-67"/>
        </w:rPr>
        <w:t xml:space="preserve"> </w:t>
      </w:r>
      <w:r>
        <w:rPr>
          <w:spacing w:val="1"/>
        </w:rPr>
        <w:t>”。</w:t>
      </w:r>
      <w:r>
        <w:t xml:space="preserve"> </w:t>
      </w:r>
      <w:r>
        <w:rPr>
          <w:rFonts w:ascii="Times New Roman" w:eastAsia="Times New Roman" w:hAnsi="Times New Roman" w:cs="Times New Roman"/>
        </w:rPr>
        <w:t>CFERN</w:t>
      </w:r>
      <w:r>
        <w:rPr>
          <w:rFonts w:ascii="Times New Roman" w:eastAsia="Times New Roman" w:hAnsi="Times New Roman" w:cs="Times New Roman"/>
          <w:spacing w:val="11"/>
        </w:rPr>
        <w:t xml:space="preserve"> </w:t>
      </w:r>
      <w:r>
        <w:rPr>
          <w:spacing w:val="11"/>
        </w:rPr>
        <w:t>也建立了一套监测标准规范体系和取样方法：样区确定后，在森林内坡面的上部、</w:t>
      </w:r>
      <w:r>
        <w:rPr>
          <w:spacing w:val="12"/>
        </w:rPr>
        <w:t xml:space="preserve"> </w:t>
      </w:r>
      <w:r>
        <w:rPr>
          <w:spacing w:val="8"/>
        </w:rPr>
        <w:t>中部和下部各设置一条样带，在样带内选择代表性</w:t>
      </w:r>
      <w:r>
        <w:rPr>
          <w:spacing w:val="7"/>
        </w:rPr>
        <w:t>地段设置</w:t>
      </w:r>
      <w:r>
        <w:rPr>
          <w:spacing w:val="-40"/>
        </w:rPr>
        <w:t xml:space="preserve"> </w:t>
      </w:r>
      <w:r>
        <w:rPr>
          <w:rFonts w:ascii="Times New Roman" w:eastAsia="Times New Roman" w:hAnsi="Times New Roman" w:cs="Times New Roman"/>
          <w:spacing w:val="7"/>
        </w:rPr>
        <w:t>0.</w:t>
      </w:r>
      <w:r>
        <w:rPr>
          <w:rFonts w:ascii="Times New Roman" w:eastAsia="Times New Roman" w:hAnsi="Times New Roman" w:cs="Times New Roman"/>
          <w:spacing w:val="-25"/>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26"/>
        </w:rPr>
        <w:t xml:space="preserve"> </w:t>
      </w:r>
      <w:r>
        <w:rPr>
          <w:rFonts w:ascii="Times New Roman" w:eastAsia="Times New Roman" w:hAnsi="Times New Roman" w:cs="Times New Roman"/>
          <w:spacing w:val="7"/>
        </w:rPr>
        <w:t xml:space="preserve">1 </w:t>
      </w:r>
      <w:r>
        <w:rPr>
          <w:rFonts w:ascii="Times New Roman" w:eastAsia="Times New Roman" w:hAnsi="Times New Roman" w:cs="Times New Roman"/>
        </w:rPr>
        <w:t>hm</w:t>
      </w:r>
      <w:r>
        <w:rPr>
          <w:rFonts w:ascii="Times New Roman" w:eastAsia="Times New Roman" w:hAnsi="Times New Roman" w:cs="Times New Roman"/>
          <w:spacing w:val="7"/>
          <w:position w:val="6"/>
          <w:sz w:val="13"/>
          <w:szCs w:val="13"/>
        </w:rPr>
        <w:t xml:space="preserve">2 </w:t>
      </w:r>
      <w:r>
        <w:rPr>
          <w:spacing w:val="7"/>
        </w:rPr>
        <w:t>样地，在样地内设置</w:t>
      </w:r>
      <w:r>
        <w:t xml:space="preserve">  </w:t>
      </w:r>
      <w:r>
        <w:rPr>
          <w:rFonts w:ascii="Times New Roman" w:eastAsia="Times New Roman" w:hAnsi="Times New Roman" w:cs="Times New Roman"/>
          <w:spacing w:val="5"/>
        </w:rPr>
        <w:t>10 m</w:t>
      </w:r>
      <w:r>
        <w:rPr>
          <w:spacing w:val="5"/>
        </w:rPr>
        <w:t>×</w:t>
      </w:r>
      <w:r>
        <w:rPr>
          <w:rFonts w:ascii="Times New Roman" w:eastAsia="Times New Roman" w:hAnsi="Times New Roman" w:cs="Times New Roman"/>
          <w:spacing w:val="5"/>
        </w:rPr>
        <w:t>10 m</w:t>
      </w:r>
      <w:r>
        <w:rPr>
          <w:rFonts w:ascii="Times New Roman" w:eastAsia="Times New Roman" w:hAnsi="Times New Roman" w:cs="Times New Roman"/>
          <w:spacing w:val="29"/>
          <w:w w:val="101"/>
        </w:rPr>
        <w:t xml:space="preserve"> </w:t>
      </w:r>
      <w:r>
        <w:rPr>
          <w:spacing w:val="5"/>
        </w:rPr>
        <w:t>的乔木样方、</w:t>
      </w:r>
      <w:r>
        <w:rPr>
          <w:rFonts w:ascii="Times New Roman" w:eastAsia="Times New Roman" w:hAnsi="Times New Roman" w:cs="Times New Roman"/>
          <w:spacing w:val="5"/>
        </w:rPr>
        <w:t>2 m</w:t>
      </w:r>
      <w:r>
        <w:rPr>
          <w:spacing w:val="5"/>
        </w:rPr>
        <w:t>×</w:t>
      </w:r>
      <w:r>
        <w:rPr>
          <w:rFonts w:ascii="Times New Roman" w:eastAsia="Times New Roman" w:hAnsi="Times New Roman" w:cs="Times New Roman"/>
          <w:spacing w:val="5"/>
        </w:rPr>
        <w:t>2 m</w:t>
      </w:r>
      <w:r>
        <w:rPr>
          <w:rFonts w:ascii="Times New Roman" w:eastAsia="Times New Roman" w:hAnsi="Times New Roman" w:cs="Times New Roman"/>
          <w:spacing w:val="28"/>
          <w:w w:val="101"/>
        </w:rPr>
        <w:t xml:space="preserve"> </w:t>
      </w:r>
      <w:r>
        <w:rPr>
          <w:spacing w:val="5"/>
        </w:rPr>
        <w:t>的灌木样</w:t>
      </w:r>
      <w:r>
        <w:rPr>
          <w:spacing w:val="4"/>
        </w:rPr>
        <w:t>方和</w:t>
      </w:r>
      <w:r>
        <w:rPr>
          <w:spacing w:val="-23"/>
        </w:rPr>
        <w:t xml:space="preserve"> </w:t>
      </w:r>
      <w:r>
        <w:rPr>
          <w:rFonts w:ascii="Times New Roman" w:eastAsia="Times New Roman" w:hAnsi="Times New Roman" w:cs="Times New Roman"/>
          <w:spacing w:val="4"/>
        </w:rPr>
        <w:t>1 m</w:t>
      </w:r>
      <w:r>
        <w:rPr>
          <w:spacing w:val="4"/>
        </w:rPr>
        <w:t>×</w:t>
      </w:r>
      <w:r>
        <w:rPr>
          <w:rFonts w:ascii="Times New Roman" w:eastAsia="Times New Roman" w:hAnsi="Times New Roman" w:cs="Times New Roman"/>
          <w:spacing w:val="4"/>
        </w:rPr>
        <w:t>1 m</w:t>
      </w:r>
      <w:r>
        <w:rPr>
          <w:rFonts w:ascii="Times New Roman" w:eastAsia="Times New Roman" w:hAnsi="Times New Roman" w:cs="Times New Roman"/>
          <w:spacing w:val="29"/>
        </w:rPr>
        <w:t xml:space="preserve"> </w:t>
      </w:r>
      <w:r>
        <w:rPr>
          <w:spacing w:val="4"/>
        </w:rPr>
        <w:t>的草木样方各</w:t>
      </w:r>
      <w:r>
        <w:rPr>
          <w:spacing w:val="-36"/>
        </w:rPr>
        <w:t xml:space="preserve"> </w:t>
      </w:r>
      <w:r>
        <w:rPr>
          <w:rFonts w:ascii="Times New Roman" w:eastAsia="Times New Roman" w:hAnsi="Times New Roman" w:cs="Times New Roman"/>
          <w:spacing w:val="4"/>
        </w:rPr>
        <w:t xml:space="preserve">3~5 </w:t>
      </w:r>
      <w:r>
        <w:rPr>
          <w:spacing w:val="4"/>
        </w:rPr>
        <w:t>个。</w:t>
      </w:r>
    </w:p>
    <w:p>
      <w:pPr>
        <w:pStyle w:val="BodyText"/>
        <w:spacing w:before="116" w:line="317" w:lineRule="auto"/>
        <w:ind w:left="20" w:right="68" w:firstLine="435"/>
      </w:pPr>
      <w:r>
        <w:rPr>
          <w:rFonts w:ascii="Times New Roman" w:eastAsia="Times New Roman" w:hAnsi="Times New Roman" w:cs="Times New Roman"/>
          <w:spacing w:val="10"/>
        </w:rPr>
        <w:t xml:space="preserve">1996 </w:t>
      </w:r>
      <w:r>
        <w:rPr>
          <w:spacing w:val="10"/>
        </w:rPr>
        <w:t>年，原林业部组织开展全国重点保护野生植物资源调查，从我国野生植物保护急</w:t>
      </w:r>
      <w:r>
        <w:rPr>
          <w:spacing w:val="13"/>
        </w:rPr>
        <w:t xml:space="preserve"> </w:t>
      </w:r>
      <w:r>
        <w:rPr>
          <w:spacing w:val="8"/>
        </w:rPr>
        <w:t>迫需要出发，确定生态作用关键、经济需求量大</w:t>
      </w:r>
      <w:r>
        <w:rPr>
          <w:spacing w:val="7"/>
        </w:rPr>
        <w:t>、国际较为关注、科研价值高且资源消耗严</w:t>
      </w:r>
      <w:r>
        <w:t xml:space="preserve"> </w:t>
      </w:r>
      <w:r>
        <w:rPr>
          <w:spacing w:val="7"/>
        </w:rPr>
        <w:t>重的</w:t>
      </w:r>
      <w:r>
        <w:rPr>
          <w:spacing w:val="-23"/>
        </w:rPr>
        <w:t xml:space="preserve"> </w:t>
      </w:r>
      <w:r>
        <w:rPr>
          <w:rFonts w:ascii="Times New Roman" w:eastAsia="Times New Roman" w:hAnsi="Times New Roman" w:cs="Times New Roman"/>
          <w:spacing w:val="7"/>
        </w:rPr>
        <w:t xml:space="preserve">189 </w:t>
      </w:r>
      <w:r>
        <w:rPr>
          <w:spacing w:val="7"/>
        </w:rPr>
        <w:t>种重点保护野生植物作为调查对象。</w:t>
      </w:r>
      <w:r>
        <w:rPr>
          <w:spacing w:val="6"/>
        </w:rPr>
        <w:t>原国家林业局还颁布了《野生植物资源调查技</w:t>
      </w:r>
      <w:r>
        <w:t xml:space="preserve"> </w:t>
      </w:r>
      <w:r>
        <w:rPr>
          <w:spacing w:val="8"/>
        </w:rPr>
        <w:t>术规程》（</w:t>
      </w:r>
      <w:r>
        <w:rPr>
          <w:rFonts w:ascii="Times New Roman" w:eastAsia="Times New Roman" w:hAnsi="Times New Roman" w:cs="Times New Roman"/>
        </w:rPr>
        <w:t>LY</w:t>
      </w:r>
      <w:r>
        <w:rPr>
          <w:rFonts w:ascii="Times New Roman" w:eastAsia="Times New Roman" w:hAnsi="Times New Roman" w:cs="Times New Roman"/>
          <w:spacing w:val="8"/>
        </w:rPr>
        <w:t>/T1820</w:t>
      </w:r>
      <w:r>
        <w:rPr>
          <w:spacing w:val="-32"/>
        </w:rPr>
        <w:t>），</w:t>
      </w:r>
      <w:r>
        <w:rPr>
          <w:spacing w:val="8"/>
        </w:rPr>
        <w:t>该规程规定了样方布设采用系统抽样的技术要求，应机械等距地布</w:t>
      </w:r>
      <w:r>
        <w:t xml:space="preserve"> </w:t>
      </w:r>
      <w:r>
        <w:rPr>
          <w:spacing w:val="7"/>
        </w:rPr>
        <w:t>设样方，规定乔木树种主样方面积最小为</w:t>
      </w:r>
      <w:r>
        <w:rPr>
          <w:spacing w:val="-41"/>
        </w:rPr>
        <w:t xml:space="preserve"> </w:t>
      </w:r>
      <w:r>
        <w:rPr>
          <w:rFonts w:ascii="Times New Roman" w:eastAsia="Times New Roman" w:hAnsi="Times New Roman" w:cs="Times New Roman"/>
          <w:spacing w:val="7"/>
        </w:rPr>
        <w:t>400</w:t>
      </w:r>
      <w:r>
        <w:rPr>
          <w:rFonts w:ascii="Times New Roman" w:eastAsia="Times New Roman" w:hAnsi="Times New Roman" w:cs="Times New Roman"/>
          <w:spacing w:val="6"/>
        </w:rPr>
        <w:t xml:space="preserve"> 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9"/>
          <w:position w:val="6"/>
          <w:sz w:val="13"/>
          <w:szCs w:val="13"/>
        </w:rPr>
        <w:t xml:space="preserve"> </w:t>
      </w:r>
      <w:r>
        <w:rPr>
          <w:spacing w:val="6"/>
        </w:rPr>
        <w:t>，灌木树种主样方面积为</w:t>
      </w:r>
      <w:r>
        <w:rPr>
          <w:spacing w:val="-40"/>
        </w:rPr>
        <w:t xml:space="preserve"> </w:t>
      </w:r>
      <w:r>
        <w:rPr>
          <w:rFonts w:ascii="Times New Roman" w:eastAsia="Times New Roman" w:hAnsi="Times New Roman" w:cs="Times New Roman"/>
          <w:spacing w:val="6"/>
        </w:rPr>
        <w:t>25 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9"/>
          <w:position w:val="6"/>
          <w:sz w:val="13"/>
          <w:szCs w:val="13"/>
        </w:rPr>
        <w:t xml:space="preserve"> </w:t>
      </w:r>
      <w:r>
        <w:rPr>
          <w:spacing w:val="6"/>
        </w:rPr>
        <w:t>，草本植物</w:t>
      </w:r>
      <w:r>
        <w:t xml:space="preserve"> </w:t>
      </w:r>
      <w:r>
        <w:rPr>
          <w:spacing w:val="6"/>
        </w:rPr>
        <w:t>主样方面积为</w:t>
      </w:r>
      <w:r>
        <w:rPr>
          <w:spacing w:val="-23"/>
        </w:rPr>
        <w:t xml:space="preserve"> </w:t>
      </w:r>
      <w:r>
        <w:rPr>
          <w:rFonts w:ascii="Times New Roman" w:eastAsia="Times New Roman" w:hAnsi="Times New Roman" w:cs="Times New Roman"/>
          <w:spacing w:val="6"/>
        </w:rPr>
        <w:t>1 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8"/>
          <w:position w:val="6"/>
          <w:sz w:val="13"/>
          <w:szCs w:val="13"/>
        </w:rPr>
        <w:t xml:space="preserve"> </w:t>
      </w:r>
      <w:r>
        <w:rPr>
          <w:spacing w:val="6"/>
        </w:rPr>
        <w:t>，调查目标种群落或生境小于</w:t>
      </w:r>
      <w:r>
        <w:rPr>
          <w:spacing w:val="-35"/>
        </w:rPr>
        <w:t xml:space="preserve"> </w:t>
      </w:r>
      <w:r>
        <w:rPr>
          <w:rFonts w:ascii="Times New Roman" w:eastAsia="Times New Roman" w:hAnsi="Times New Roman" w:cs="Times New Roman"/>
          <w:spacing w:val="6"/>
        </w:rPr>
        <w:t xml:space="preserve">500 </w:t>
      </w:r>
      <w:r>
        <w:rPr>
          <w:rFonts w:ascii="Times New Roman" w:eastAsia="Times New Roman" w:hAnsi="Times New Roman" w:cs="Times New Roman"/>
        </w:rPr>
        <w:t>hm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25"/>
          <w:w w:val="102"/>
          <w:position w:val="6"/>
          <w:sz w:val="13"/>
          <w:szCs w:val="13"/>
        </w:rPr>
        <w:t xml:space="preserve"> </w:t>
      </w:r>
      <w:r>
        <w:rPr>
          <w:spacing w:val="6"/>
        </w:rPr>
        <w:t>的设置</w:t>
      </w:r>
      <w:r>
        <w:rPr>
          <w:spacing w:val="-35"/>
        </w:rPr>
        <w:t xml:space="preserve"> </w:t>
      </w:r>
      <w:r>
        <w:rPr>
          <w:rFonts w:ascii="Times New Roman" w:eastAsia="Times New Roman" w:hAnsi="Times New Roman" w:cs="Times New Roman"/>
          <w:spacing w:val="6"/>
        </w:rPr>
        <w:t xml:space="preserve">5 </w:t>
      </w:r>
      <w:r>
        <w:rPr>
          <w:spacing w:val="6"/>
        </w:rPr>
        <w:t>个主样方</w:t>
      </w:r>
      <w:r>
        <w:rPr>
          <w:spacing w:val="5"/>
        </w:rPr>
        <w:t>，大于</w:t>
      </w:r>
      <w:r>
        <w:rPr>
          <w:spacing w:val="-35"/>
        </w:rPr>
        <w:t xml:space="preserve"> </w:t>
      </w:r>
      <w:r>
        <w:rPr>
          <w:rFonts w:ascii="Times New Roman" w:eastAsia="Times New Roman" w:hAnsi="Times New Roman" w:cs="Times New Roman"/>
          <w:spacing w:val="5"/>
        </w:rPr>
        <w:t xml:space="preserve">500 </w:t>
      </w:r>
      <w:r>
        <w:rPr>
          <w:rFonts w:ascii="Times New Roman" w:eastAsia="Times New Roman" w:hAnsi="Times New Roman" w:cs="Times New Roman"/>
        </w:rPr>
        <w:t>hm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position w:val="6"/>
          <w:sz w:val="13"/>
          <w:szCs w:val="13"/>
        </w:rPr>
        <w:t xml:space="preserve">  </w:t>
      </w:r>
      <w:r>
        <w:rPr>
          <w:spacing w:val="6"/>
        </w:rPr>
        <w:t>的每增加</w:t>
      </w:r>
      <w:r>
        <w:rPr>
          <w:spacing w:val="-17"/>
        </w:rPr>
        <w:t xml:space="preserve"> </w:t>
      </w:r>
      <w:r>
        <w:rPr>
          <w:rFonts w:ascii="Times New Roman" w:eastAsia="Times New Roman" w:hAnsi="Times New Roman" w:cs="Times New Roman"/>
          <w:spacing w:val="6"/>
        </w:rPr>
        <w:t xml:space="preserve">100 </w:t>
      </w:r>
      <w:r>
        <w:rPr>
          <w:rFonts w:ascii="Times New Roman" w:eastAsia="Times New Roman" w:hAnsi="Times New Roman" w:cs="Times New Roman"/>
        </w:rPr>
        <w:t>hm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11"/>
          <w:w w:val="102"/>
          <w:position w:val="6"/>
          <w:sz w:val="13"/>
          <w:szCs w:val="13"/>
        </w:rPr>
        <w:t xml:space="preserve"> </w:t>
      </w:r>
      <w:r>
        <w:rPr>
          <w:spacing w:val="6"/>
        </w:rPr>
        <w:t>增设</w:t>
      </w:r>
      <w:r>
        <w:rPr>
          <w:spacing w:val="-21"/>
        </w:rPr>
        <w:t xml:space="preserve"> </w:t>
      </w:r>
      <w:r>
        <w:rPr>
          <w:rFonts w:ascii="Times New Roman" w:eastAsia="Times New Roman" w:hAnsi="Times New Roman" w:cs="Times New Roman"/>
          <w:spacing w:val="6"/>
        </w:rPr>
        <w:t xml:space="preserve">1 </w:t>
      </w:r>
      <w:r>
        <w:rPr>
          <w:spacing w:val="6"/>
        </w:rPr>
        <w:t>个主样方，同一群落或生境类型主样方总数量不超过</w:t>
      </w:r>
      <w:r>
        <w:rPr>
          <w:spacing w:val="-20"/>
        </w:rPr>
        <w:t xml:space="preserve"> </w:t>
      </w:r>
      <w:r>
        <w:rPr>
          <w:rFonts w:ascii="Times New Roman" w:eastAsia="Times New Roman" w:hAnsi="Times New Roman" w:cs="Times New Roman"/>
          <w:spacing w:val="6"/>
        </w:rPr>
        <w:t xml:space="preserve">10 </w:t>
      </w:r>
      <w:r>
        <w:rPr>
          <w:spacing w:val="6"/>
        </w:rPr>
        <w:t>个。</w:t>
      </w:r>
    </w:p>
    <w:p>
      <w:pPr>
        <w:pStyle w:val="BodyText"/>
        <w:spacing w:before="115" w:line="311" w:lineRule="auto"/>
        <w:ind w:left="19" w:right="68" w:firstLine="419"/>
      </w:pPr>
      <w:r>
        <w:rPr>
          <w:spacing w:val="7"/>
        </w:rPr>
        <w:t>在生态环境部的指导下，生态环境部南京环境科学研究所构建了全国生物物种资源抽样</w:t>
      </w:r>
      <w:r>
        <w:rPr>
          <w:spacing w:val="16"/>
        </w:rPr>
        <w:t xml:space="preserve"> </w:t>
      </w:r>
      <w:r>
        <w:rPr>
          <w:spacing w:val="9"/>
        </w:rPr>
        <w:t>统计方法和观测网络构建技术，牵头编制了《生物多样性观测技术导则》共</w:t>
      </w:r>
      <w:r>
        <w:rPr>
          <w:spacing w:val="-17"/>
        </w:rPr>
        <w:t xml:space="preserve"> </w:t>
      </w:r>
      <w:r>
        <w:rPr>
          <w:rFonts w:ascii="Times New Roman" w:eastAsia="Times New Roman" w:hAnsi="Times New Roman" w:cs="Times New Roman"/>
          <w:spacing w:val="9"/>
        </w:rPr>
        <w:t xml:space="preserve">13 </w:t>
      </w:r>
      <w:r>
        <w:rPr>
          <w:spacing w:val="9"/>
        </w:rPr>
        <w:t>项国家环境</w:t>
      </w:r>
      <w:r>
        <w:t xml:space="preserve"> </w:t>
      </w:r>
      <w:r>
        <w:rPr>
          <w:spacing w:val="10"/>
        </w:rPr>
        <w:t>保护标准，并在福建武夷山、安徽黄山等地建立</w:t>
      </w:r>
      <w:r>
        <w:rPr>
          <w:spacing w:val="9"/>
        </w:rPr>
        <w:t>了</w:t>
      </w:r>
      <w:r>
        <w:rPr>
          <w:spacing w:val="-41"/>
        </w:rPr>
        <w:t xml:space="preserve"> </w:t>
      </w:r>
      <w:r>
        <w:rPr>
          <w:rFonts w:ascii="Times New Roman" w:eastAsia="Times New Roman" w:hAnsi="Times New Roman" w:cs="Times New Roman"/>
          <w:spacing w:val="9"/>
        </w:rPr>
        <w:t xml:space="preserve">24 </w:t>
      </w:r>
      <w:r>
        <w:rPr>
          <w:spacing w:val="9"/>
        </w:rPr>
        <w:t>个生物多样性野外监测示范基地，建</w:t>
      </w:r>
      <w:r>
        <w:t xml:space="preserve"> </w:t>
      </w:r>
      <w:r>
        <w:rPr>
          <w:spacing w:val="4"/>
        </w:rPr>
        <w:t>成了</w:t>
      </w:r>
      <w:r>
        <w:rPr>
          <w:spacing w:val="-29"/>
        </w:rPr>
        <w:t xml:space="preserve"> </w:t>
      </w:r>
      <w:r>
        <w:rPr>
          <w:rFonts w:ascii="Times New Roman" w:eastAsia="Times New Roman" w:hAnsi="Times New Roman" w:cs="Times New Roman"/>
          <w:spacing w:val="4"/>
        </w:rPr>
        <w:t xml:space="preserve">4 </w:t>
      </w:r>
      <w:r>
        <w:rPr>
          <w:spacing w:val="4"/>
        </w:rPr>
        <w:t>个</w:t>
      </w:r>
      <w:r>
        <w:rPr>
          <w:spacing w:val="-23"/>
        </w:rPr>
        <w:t xml:space="preserve"> </w:t>
      </w:r>
      <w:r>
        <w:rPr>
          <w:rFonts w:ascii="Times New Roman" w:eastAsia="Times New Roman" w:hAnsi="Times New Roman" w:cs="Times New Roman"/>
          <w:spacing w:val="4"/>
        </w:rPr>
        <w:t xml:space="preserve">10 </w:t>
      </w:r>
      <w:r>
        <w:rPr>
          <w:rFonts w:ascii="Times New Roman" w:eastAsia="Times New Roman" w:hAnsi="Times New Roman" w:cs="Times New Roman"/>
        </w:rPr>
        <w:t>hm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10"/>
          <w:position w:val="6"/>
          <w:sz w:val="13"/>
          <w:szCs w:val="13"/>
        </w:rPr>
        <w:t xml:space="preserve"> </w:t>
      </w:r>
      <w:r>
        <w:rPr>
          <w:spacing w:val="4"/>
        </w:rPr>
        <w:t>左右的森林大样地，一批</w:t>
      </w:r>
      <w:r>
        <w:rPr>
          <w:spacing w:val="-23"/>
        </w:rPr>
        <w:t xml:space="preserve"> </w:t>
      </w:r>
      <w:r>
        <w:rPr>
          <w:rFonts w:ascii="Times New Roman" w:eastAsia="Times New Roman" w:hAnsi="Times New Roman" w:cs="Times New Roman"/>
          <w:spacing w:val="4"/>
        </w:rPr>
        <w:t xml:space="preserve">1 </w:t>
      </w:r>
      <w:r>
        <w:rPr>
          <w:rFonts w:ascii="Times New Roman" w:eastAsia="Times New Roman" w:hAnsi="Times New Roman" w:cs="Times New Roman"/>
        </w:rPr>
        <w:t>hm</w:t>
      </w:r>
      <w:r>
        <w:rPr>
          <w:rFonts w:ascii="Times New Roman" w:eastAsia="Times New Roman" w:hAnsi="Times New Roman" w:cs="Times New Roman"/>
          <w:spacing w:val="4"/>
          <w:position w:val="6"/>
          <w:sz w:val="13"/>
          <w:szCs w:val="13"/>
        </w:rPr>
        <w:t xml:space="preserve">2  </w:t>
      </w:r>
      <w:r>
        <w:rPr>
          <w:spacing w:val="4"/>
        </w:rPr>
        <w:t>的固定样地，涵盖了我国主要气候带、生物</w:t>
      </w:r>
      <w:r>
        <w:t xml:space="preserve"> </w:t>
      </w:r>
      <w:r>
        <w:rPr>
          <w:spacing w:val="8"/>
        </w:rPr>
        <w:t>地理类型、植被类型。</w:t>
      </w:r>
    </w:p>
    <w:p>
      <w:pPr>
        <w:spacing w:line="311" w:lineRule="auto"/>
        <w:sectPr>
          <w:footerReference w:type="default" r:id="rId9"/>
          <w:pgSz w:w="11906" w:h="16839"/>
          <w:pgMar w:top="1431" w:right="1728" w:bottom="1362" w:left="1785" w:header="0" w:footer="1200" w:gutter="0"/>
          <w:pgNumType w:start="6"/>
          <w:cols w:space="708"/>
        </w:sectPr>
      </w:pPr>
    </w:p>
    <w:p>
      <w:pPr>
        <w:pStyle w:val="BodyText"/>
        <w:spacing w:before="117" w:line="315" w:lineRule="auto"/>
        <w:ind w:left="9" w:right="68" w:firstLine="450"/>
        <w:jc w:val="both"/>
      </w:pPr>
      <w:r>
        <w:rPr>
          <w:spacing w:val="20"/>
        </w:rPr>
        <w:t>中国科学院于</w:t>
      </w:r>
      <w:r>
        <w:rPr>
          <w:spacing w:val="-11"/>
        </w:rPr>
        <w:t xml:space="preserve"> </w:t>
      </w:r>
      <w:r>
        <w:rPr>
          <w:rFonts w:ascii="Times New Roman" w:eastAsia="Times New Roman" w:hAnsi="Times New Roman" w:cs="Times New Roman"/>
          <w:spacing w:val="20"/>
        </w:rPr>
        <w:t>1988</w:t>
      </w:r>
      <w:r>
        <w:rPr>
          <w:rFonts w:ascii="Times New Roman" w:eastAsia="Times New Roman" w:hAnsi="Times New Roman" w:cs="Times New Roman"/>
          <w:spacing w:val="23"/>
        </w:rPr>
        <w:t xml:space="preserve"> </w:t>
      </w:r>
      <w:r>
        <w:rPr>
          <w:spacing w:val="20"/>
        </w:rPr>
        <w:t>年开始筹建中国生态系统研究网</w:t>
      </w:r>
      <w:r>
        <w:rPr>
          <w:spacing w:val="19"/>
        </w:rPr>
        <w:t>络（</w:t>
      </w:r>
      <w:r>
        <w:rPr>
          <w:rFonts w:ascii="Times New Roman" w:eastAsia="Times New Roman" w:hAnsi="Times New Roman" w:cs="Times New Roman"/>
        </w:rPr>
        <w:t>Chinese</w:t>
      </w:r>
      <w:r>
        <w:rPr>
          <w:rFonts w:ascii="Times New Roman" w:eastAsia="Times New Roman" w:hAnsi="Times New Roman" w:cs="Times New Roman"/>
          <w:spacing w:val="18"/>
        </w:rPr>
        <w:t xml:space="preserve"> </w:t>
      </w:r>
      <w:r>
        <w:rPr>
          <w:rFonts w:ascii="Times New Roman" w:eastAsia="Times New Roman" w:hAnsi="Times New Roman" w:cs="Times New Roman"/>
        </w:rPr>
        <w:t>Ecosystem</w:t>
      </w:r>
      <w:r>
        <w:rPr>
          <w:rFonts w:ascii="Times New Roman" w:eastAsia="Times New Roman" w:hAnsi="Times New Roman" w:cs="Times New Roman"/>
          <w:spacing w:val="19"/>
        </w:rPr>
        <w:t xml:space="preserve"> </w:t>
      </w:r>
      <w:r>
        <w:rPr>
          <w:rFonts w:ascii="Times New Roman" w:eastAsia="Times New Roman" w:hAnsi="Times New Roman" w:cs="Times New Roman"/>
        </w:rPr>
        <w:t xml:space="preserve">Research </w:t>
      </w:r>
      <w:r>
        <w:rPr>
          <w:rFonts w:ascii="Times New Roman" w:eastAsia="Times New Roman" w:hAnsi="Times New Roman" w:cs="Times New Roman"/>
        </w:rPr>
        <w:t>Networks</w:t>
      </w:r>
      <w:r>
        <w:rPr>
          <w:rFonts w:ascii="Times New Roman" w:eastAsia="Times New Roman" w:hAnsi="Times New Roman" w:cs="Times New Roman"/>
          <w:spacing w:val="9"/>
        </w:rPr>
        <w:t xml:space="preserve">, </w:t>
      </w:r>
      <w:r>
        <w:rPr>
          <w:rFonts w:ascii="Times New Roman" w:eastAsia="Times New Roman" w:hAnsi="Times New Roman" w:cs="Times New Roman"/>
        </w:rPr>
        <w:t>CERN</w:t>
      </w:r>
      <w:r>
        <w:rPr>
          <w:spacing w:val="9"/>
        </w:rPr>
        <w:t>）。</w:t>
      </w:r>
      <w:r>
        <w:rPr>
          <w:rFonts w:ascii="Times New Roman" w:eastAsia="Times New Roman" w:hAnsi="Times New Roman" w:cs="Times New Roman"/>
        </w:rPr>
        <w:t>CERN</w:t>
      </w:r>
      <w:r>
        <w:rPr>
          <w:rFonts w:ascii="Times New Roman" w:eastAsia="Times New Roman" w:hAnsi="Times New Roman" w:cs="Times New Roman"/>
          <w:spacing w:val="30"/>
          <w:w w:val="101"/>
        </w:rPr>
        <w:t xml:space="preserve"> </w:t>
      </w:r>
      <w:r>
        <w:rPr>
          <w:spacing w:val="9"/>
        </w:rPr>
        <w:t>的主要目标是对全国不同区域和不同重要生态系统类型进行长期</w:t>
      </w:r>
      <w:r>
        <w:t xml:space="preserve"> </w:t>
      </w:r>
      <w:r>
        <w:rPr>
          <w:spacing w:val="8"/>
        </w:rPr>
        <w:t>监测与实验，同时结合遥感与模型模拟等方法，研究我国生态系统的</w:t>
      </w:r>
      <w:r>
        <w:rPr>
          <w:spacing w:val="7"/>
        </w:rPr>
        <w:t>结构与功能、过程与格</w:t>
      </w:r>
      <w:r>
        <w:t xml:space="preserve"> </w:t>
      </w:r>
      <w:r>
        <w:rPr>
          <w:spacing w:val="9"/>
        </w:rPr>
        <w:t>局的变化规律，并开展生态系统优化管理与示范。</w:t>
      </w:r>
      <w:r>
        <w:rPr>
          <w:rFonts w:ascii="Times New Roman" w:eastAsia="Times New Roman" w:hAnsi="Times New Roman" w:cs="Times New Roman"/>
        </w:rPr>
        <w:t>CERN</w:t>
      </w:r>
      <w:r>
        <w:rPr>
          <w:rFonts w:ascii="Times New Roman" w:eastAsia="Times New Roman" w:hAnsi="Times New Roman" w:cs="Times New Roman"/>
          <w:spacing w:val="9"/>
        </w:rPr>
        <w:t xml:space="preserve"> </w:t>
      </w:r>
      <w:r>
        <w:rPr>
          <w:spacing w:val="9"/>
        </w:rPr>
        <w:t>采用</w:t>
      </w:r>
      <w:r>
        <w:rPr>
          <w:spacing w:val="8"/>
        </w:rPr>
        <w:t>统一的监测规范，对水分、土</w:t>
      </w:r>
      <w:r>
        <w:t xml:space="preserve"> </w:t>
      </w:r>
      <w:r>
        <w:rPr>
          <w:spacing w:val="10"/>
        </w:rPr>
        <w:t>壤、气候和生物</w:t>
      </w:r>
      <w:r>
        <w:rPr>
          <w:spacing w:val="-42"/>
        </w:rPr>
        <w:t xml:space="preserve"> </w:t>
      </w:r>
      <w:r>
        <w:rPr>
          <w:rFonts w:ascii="Times New Roman" w:eastAsia="Times New Roman" w:hAnsi="Times New Roman" w:cs="Times New Roman"/>
          <w:spacing w:val="10"/>
        </w:rPr>
        <w:t xml:space="preserve">4 </w:t>
      </w:r>
      <w:r>
        <w:rPr>
          <w:spacing w:val="10"/>
        </w:rPr>
        <w:t>个方面进行监测。</w:t>
      </w:r>
      <w:r>
        <w:rPr>
          <w:rFonts w:ascii="Times New Roman" w:eastAsia="Times New Roman" w:hAnsi="Times New Roman" w:cs="Times New Roman"/>
        </w:rPr>
        <w:t>CERN</w:t>
      </w:r>
      <w:r>
        <w:rPr>
          <w:rFonts w:ascii="Times New Roman" w:eastAsia="Times New Roman" w:hAnsi="Times New Roman" w:cs="Times New Roman"/>
          <w:spacing w:val="31"/>
          <w:w w:val="101"/>
        </w:rPr>
        <w:t xml:space="preserve"> </w:t>
      </w:r>
      <w:r>
        <w:rPr>
          <w:spacing w:val="10"/>
        </w:rPr>
        <w:t>的森林监测主要通过设</w:t>
      </w:r>
      <w:r>
        <w:rPr>
          <w:spacing w:val="9"/>
        </w:rPr>
        <w:t>置</w:t>
      </w:r>
      <w:r>
        <w:rPr>
          <w:spacing w:val="-21"/>
        </w:rPr>
        <w:t xml:space="preserve"> </w:t>
      </w:r>
      <w:r>
        <w:rPr>
          <w:rFonts w:ascii="Times New Roman" w:eastAsia="Times New Roman" w:hAnsi="Times New Roman" w:cs="Times New Roman"/>
          <w:spacing w:val="9"/>
        </w:rPr>
        <w:t>1</w:t>
      </w:r>
      <w:r>
        <w:rPr>
          <w:spacing w:val="9"/>
          <w:sz w:val="18"/>
          <w:szCs w:val="18"/>
        </w:rPr>
        <w:t>～</w:t>
      </w:r>
      <w:r>
        <w:rPr>
          <w:rFonts w:ascii="Times New Roman" w:eastAsia="Times New Roman" w:hAnsi="Times New Roman" w:cs="Times New Roman"/>
          <w:spacing w:val="9"/>
        </w:rPr>
        <w:t xml:space="preserve">2 </w:t>
      </w:r>
      <w:r>
        <w:rPr>
          <w:spacing w:val="9"/>
        </w:rPr>
        <w:t>个综合观测场进</w:t>
      </w:r>
      <w:r>
        <w:t xml:space="preserve"> </w:t>
      </w:r>
      <w:r>
        <w:rPr>
          <w:spacing w:val="5"/>
        </w:rPr>
        <w:t>行，每个综合观测场选择</w:t>
      </w:r>
      <w:r>
        <w:rPr>
          <w:spacing w:val="-23"/>
        </w:rPr>
        <w:t xml:space="preserve"> </w:t>
      </w:r>
      <w:r>
        <w:rPr>
          <w:rFonts w:ascii="Times New Roman" w:eastAsia="Times New Roman" w:hAnsi="Times New Roman" w:cs="Times New Roman"/>
          <w:spacing w:val="5"/>
        </w:rPr>
        <w:t xml:space="preserve">1 </w:t>
      </w:r>
      <w:r>
        <w:rPr>
          <w:spacing w:val="5"/>
        </w:rPr>
        <w:t>个</w:t>
      </w:r>
      <w:r>
        <w:rPr>
          <w:spacing w:val="-23"/>
        </w:rPr>
        <w:t xml:space="preserve"> </w:t>
      </w:r>
      <w:r>
        <w:rPr>
          <w:rFonts w:ascii="Times New Roman" w:eastAsia="Times New Roman" w:hAnsi="Times New Roman" w:cs="Times New Roman"/>
          <w:spacing w:val="5"/>
        </w:rPr>
        <w:t>100 m</w:t>
      </w:r>
      <w:r>
        <w:rPr>
          <w:spacing w:val="5"/>
        </w:rPr>
        <w:t>×</w:t>
      </w:r>
      <w:r>
        <w:rPr>
          <w:rFonts w:ascii="Times New Roman" w:eastAsia="Times New Roman" w:hAnsi="Times New Roman" w:cs="Times New Roman"/>
          <w:spacing w:val="5"/>
        </w:rPr>
        <w:t>100 m</w:t>
      </w:r>
      <w:r>
        <w:rPr>
          <w:rFonts w:ascii="Times New Roman" w:eastAsia="Times New Roman" w:hAnsi="Times New Roman" w:cs="Times New Roman"/>
          <w:spacing w:val="29"/>
        </w:rPr>
        <w:t xml:space="preserve"> </w:t>
      </w:r>
      <w:r>
        <w:rPr>
          <w:spacing w:val="5"/>
        </w:rPr>
        <w:t>的样方或</w:t>
      </w:r>
      <w:r>
        <w:rPr>
          <w:spacing w:val="-41"/>
        </w:rPr>
        <w:t xml:space="preserve"> </w:t>
      </w:r>
      <w:r>
        <w:rPr>
          <w:rFonts w:ascii="Times New Roman" w:eastAsia="Times New Roman" w:hAnsi="Times New Roman" w:cs="Times New Roman"/>
          <w:spacing w:val="5"/>
        </w:rPr>
        <w:t>2</w:t>
      </w:r>
      <w:r>
        <w:rPr>
          <w:spacing w:val="5"/>
          <w:sz w:val="18"/>
          <w:szCs w:val="18"/>
        </w:rPr>
        <w:t>～</w:t>
      </w:r>
      <w:r>
        <w:rPr>
          <w:rFonts w:ascii="Times New Roman" w:eastAsia="Times New Roman" w:hAnsi="Times New Roman" w:cs="Times New Roman"/>
          <w:spacing w:val="4"/>
        </w:rPr>
        <w:t xml:space="preserve">3 </w:t>
      </w:r>
      <w:r>
        <w:rPr>
          <w:spacing w:val="4"/>
        </w:rPr>
        <w:t>个</w:t>
      </w:r>
      <w:r>
        <w:rPr>
          <w:spacing w:val="-44"/>
        </w:rPr>
        <w:t xml:space="preserve"> </w:t>
      </w:r>
      <w:r>
        <w:rPr>
          <w:rFonts w:ascii="Times New Roman" w:eastAsia="Times New Roman" w:hAnsi="Times New Roman" w:cs="Times New Roman"/>
          <w:spacing w:val="4"/>
        </w:rPr>
        <w:t>40 m</w:t>
      </w:r>
      <w:r>
        <w:rPr>
          <w:spacing w:val="4"/>
        </w:rPr>
        <w:t>×</w:t>
      </w:r>
      <w:r>
        <w:rPr>
          <w:rFonts w:ascii="Times New Roman" w:eastAsia="Times New Roman" w:hAnsi="Times New Roman" w:cs="Times New Roman"/>
          <w:spacing w:val="4"/>
        </w:rPr>
        <w:t>40 m</w:t>
      </w:r>
      <w:r>
        <w:rPr>
          <w:rFonts w:ascii="Times New Roman" w:eastAsia="Times New Roman" w:hAnsi="Times New Roman" w:cs="Times New Roman"/>
          <w:spacing w:val="29"/>
          <w:w w:val="101"/>
        </w:rPr>
        <w:t xml:space="preserve"> </w:t>
      </w:r>
      <w:r>
        <w:rPr>
          <w:spacing w:val="4"/>
        </w:rPr>
        <w:t>的样方。</w:t>
      </w:r>
    </w:p>
    <w:p>
      <w:pPr>
        <w:spacing w:before="242" w:line="221" w:lineRule="auto"/>
        <w:ind w:left="21"/>
        <w:rPr>
          <w:rFonts w:ascii="SimHei" w:eastAsia="SimHei" w:hAnsi="SimHei" w:cs="SimHei"/>
          <w:sz w:val="24"/>
          <w:szCs w:val="24"/>
        </w:rPr>
      </w:pPr>
      <w:r>
        <w:rPr>
          <w:rFonts w:ascii="SimHei" w:eastAsia="SimHei" w:hAnsi="SimHei" w:cs="SimHei"/>
          <w:spacing w:val="-1"/>
          <w:sz w:val="24"/>
          <w:szCs w:val="24"/>
        </w:rPr>
        <w:t>3.3</w:t>
      </w:r>
      <w:r>
        <w:rPr>
          <w:rFonts w:ascii="SimHei" w:eastAsia="SimHei" w:hAnsi="SimHei" w:cs="SimHei"/>
          <w:spacing w:val="29"/>
          <w:sz w:val="24"/>
          <w:szCs w:val="24"/>
        </w:rPr>
        <w:t xml:space="preserve">  </w:t>
      </w:r>
      <w:r>
        <w:rPr>
          <w:rFonts w:ascii="SimHei" w:eastAsia="SimHei" w:hAnsi="SimHei" w:cs="SimHei"/>
          <w:spacing w:val="-1"/>
          <w:sz w:val="24"/>
          <w:szCs w:val="24"/>
        </w:rPr>
        <w:t>本标准与国内外同类标准或技术法规的对比</w:t>
      </w:r>
    </w:p>
    <w:p>
      <w:pPr>
        <w:pStyle w:val="BodyText"/>
        <w:spacing w:before="258" w:line="317" w:lineRule="auto"/>
        <w:ind w:left="18" w:right="33" w:firstLine="461"/>
        <w:jc w:val="both"/>
      </w:pPr>
      <w:r>
        <w:rPr>
          <w:spacing w:val="6"/>
        </w:rPr>
        <w:t>目前国际上全球森林监测网络、热带生态评估与监测网络、泛欧洲森林监测网络、亚马</w:t>
      </w:r>
      <w:r>
        <w:rPr>
          <w:spacing w:val="11"/>
        </w:rPr>
        <w:t xml:space="preserve"> </w:t>
      </w:r>
      <w:r>
        <w:rPr>
          <w:spacing w:val="8"/>
        </w:rPr>
        <w:t>逊森林清查网络都形成了较为规范的监测体系，它们</w:t>
      </w:r>
      <w:r>
        <w:rPr>
          <w:spacing w:val="7"/>
        </w:rPr>
        <w:t>的样地布局、监测内容和方法及监测成</w:t>
      </w:r>
      <w:r>
        <w:t xml:space="preserve"> </w:t>
      </w:r>
      <w:r>
        <w:rPr>
          <w:spacing w:val="8"/>
        </w:rPr>
        <w:t>果各具特色，但这些监测网络多以森林生态系统</w:t>
      </w:r>
      <w:r>
        <w:rPr>
          <w:spacing w:val="7"/>
        </w:rPr>
        <w:t>为主，缺乏其他生态类型监测样地的建设标</w:t>
      </w:r>
      <w:r>
        <w:t xml:space="preserve"> </w:t>
      </w:r>
      <w:r>
        <w:rPr>
          <w:spacing w:val="8"/>
        </w:rPr>
        <w:t>准；美国、瑞典等国外相关样地建设标准均基于</w:t>
      </w:r>
      <w:r>
        <w:rPr>
          <w:spacing w:val="7"/>
        </w:rPr>
        <w:t>其国内生态系统的基本情况设定，这些标准</w:t>
      </w:r>
      <w:r>
        <w:t xml:space="preserve"> </w:t>
      </w:r>
      <w:r>
        <w:rPr>
          <w:spacing w:val="9"/>
        </w:rPr>
        <w:t>在生态类型更加复杂多样的我国不太适用。</w:t>
      </w:r>
      <w:r>
        <w:rPr>
          <w:spacing w:val="8"/>
        </w:rPr>
        <w:t>本标准对植物固定样地的设置进行了具体规定，</w:t>
      </w:r>
      <w:r>
        <w:t xml:space="preserve"> </w:t>
      </w:r>
      <w:r>
        <w:rPr>
          <w:spacing w:val="8"/>
        </w:rPr>
        <w:t>统一固定样地设置技术要求，是对已发布的系列</w:t>
      </w:r>
      <w:r>
        <w:rPr>
          <w:spacing w:val="7"/>
        </w:rPr>
        <w:t>生物多样性观测技术导则的重要补充，从而</w:t>
      </w:r>
      <w:r>
        <w:t xml:space="preserve"> </w:t>
      </w:r>
      <w:r>
        <w:rPr>
          <w:spacing w:val="9"/>
        </w:rPr>
        <w:t>完善我国生物多样性观测的规范体系，提高我国生物多样性保护和监管能力。</w:t>
      </w:r>
    </w:p>
    <w:p>
      <w:pPr>
        <w:pStyle w:val="BodyText"/>
        <w:spacing w:before="111" w:line="315" w:lineRule="auto"/>
        <w:ind w:left="20" w:right="68" w:firstLine="418"/>
        <w:jc w:val="both"/>
      </w:pPr>
      <w:r>
        <w:rPr>
          <w:spacing w:val="7"/>
        </w:rPr>
        <w:t>近年来，国内相关部门已经制定了一些植物多样性观测标准，但都没有对样地的设置进</w:t>
      </w:r>
      <w:r>
        <w:rPr>
          <w:spacing w:val="17"/>
        </w:rPr>
        <w:t xml:space="preserve"> </w:t>
      </w:r>
      <w:r>
        <w:rPr>
          <w:spacing w:val="5"/>
        </w:rPr>
        <w:t>行具体规定。如《生物多样性观测技术导则 陆生维管植物</w:t>
      </w:r>
      <w:r>
        <w:rPr>
          <w:spacing w:val="4"/>
        </w:rPr>
        <w:t>》（</w:t>
      </w:r>
      <w:r>
        <w:rPr>
          <w:rFonts w:ascii="Times New Roman" w:eastAsia="Times New Roman" w:hAnsi="Times New Roman" w:cs="Times New Roman"/>
        </w:rPr>
        <w:t>HJ</w:t>
      </w:r>
      <w:r>
        <w:rPr>
          <w:rFonts w:ascii="Times New Roman" w:eastAsia="Times New Roman" w:hAnsi="Times New Roman" w:cs="Times New Roman"/>
          <w:spacing w:val="4"/>
        </w:rPr>
        <w:t>710.</w:t>
      </w:r>
      <w:r>
        <w:rPr>
          <w:rFonts w:ascii="Times New Roman" w:eastAsia="Times New Roman" w:hAnsi="Times New Roman" w:cs="Times New Roman"/>
          <w:spacing w:val="-24"/>
        </w:rPr>
        <w:t xml:space="preserve"> </w:t>
      </w:r>
      <w:r>
        <w:rPr>
          <w:rFonts w:ascii="Times New Roman" w:eastAsia="Times New Roman" w:hAnsi="Times New Roman" w:cs="Times New Roman"/>
          <w:spacing w:val="4"/>
        </w:rPr>
        <w:t>1</w:t>
      </w:r>
      <w:r>
        <w:rPr>
          <w:spacing w:val="-45"/>
        </w:rPr>
        <w:t>），</w:t>
      </w:r>
      <w:r>
        <w:rPr>
          <w:spacing w:val="4"/>
        </w:rPr>
        <w:t>主要对群落调查方</w:t>
      </w:r>
      <w:r>
        <w:t xml:space="preserve"> </w:t>
      </w:r>
      <w:r>
        <w:rPr>
          <w:spacing w:val="7"/>
        </w:rPr>
        <w:t>法进行了规定，缺乏对样地设计和样地测量的具体内容，需加以补充。因此，本标准规定了</w:t>
      </w:r>
      <w:r>
        <w:rPr>
          <w:spacing w:val="18"/>
        </w:rPr>
        <w:t xml:space="preserve"> </w:t>
      </w:r>
      <w:r>
        <w:rPr>
          <w:spacing w:val="8"/>
        </w:rPr>
        <w:t>陆生维管植物多样性观测固定样地设计、布</w:t>
      </w:r>
      <w:r>
        <w:rPr>
          <w:spacing w:val="7"/>
        </w:rPr>
        <w:t>设、标定、复位等内容的技术要求和方法。国内</w:t>
      </w:r>
      <w:r>
        <w:t xml:space="preserve"> </w:t>
      </w:r>
      <w:r>
        <w:rPr>
          <w:spacing w:val="8"/>
        </w:rPr>
        <w:t>其他部门如原国家林业局发布了森林、湿地、荒</w:t>
      </w:r>
      <w:r>
        <w:rPr>
          <w:spacing w:val="7"/>
        </w:rPr>
        <w:t>漠生态系统定位观测技术规范，都没有涉及</w:t>
      </w:r>
      <w:r>
        <w:t xml:space="preserve"> </w:t>
      </w:r>
      <w:r>
        <w:rPr>
          <w:spacing w:val="8"/>
        </w:rPr>
        <w:t>本标准的主要技术环节。</w:t>
      </w:r>
    </w:p>
    <w:p>
      <w:pPr>
        <w:spacing w:line="271" w:lineRule="auto"/>
        <w:rPr>
          <w:rFonts w:ascii="Arial"/>
          <w:sz w:val="21"/>
        </w:rPr>
      </w:pPr>
    </w:p>
    <w:p>
      <w:pPr>
        <w:spacing w:before="91" w:line="220" w:lineRule="auto"/>
        <w:ind w:left="15"/>
        <w:rPr>
          <w:rFonts w:ascii="SimHei" w:eastAsia="SimHei" w:hAnsi="SimHei" w:cs="SimHei"/>
          <w:sz w:val="28"/>
          <w:szCs w:val="28"/>
        </w:rPr>
      </w:pPr>
      <w:r>
        <w:rPr>
          <w:rFonts w:ascii="SimHei" w:eastAsia="SimHei" w:hAnsi="SimHei" w:cs="SimHei"/>
          <w:sz w:val="28"/>
          <w:szCs w:val="28"/>
        </w:rPr>
        <w:t>4</w:t>
      </w:r>
      <w:r>
        <w:rPr>
          <w:rFonts w:ascii="SimHei" w:eastAsia="SimHei" w:hAnsi="SimHei" w:cs="SimHei"/>
          <w:sz w:val="28"/>
          <w:szCs w:val="28"/>
        </w:rPr>
        <w:t xml:space="preserve">  </w:t>
      </w:r>
      <w:r>
        <w:rPr>
          <w:rFonts w:ascii="SimHei" w:eastAsia="SimHei" w:hAnsi="SimHei" w:cs="SimHei"/>
          <w:sz w:val="28"/>
          <w:szCs w:val="28"/>
        </w:rPr>
        <w:t>标准制（修）订的基本原则和技术路线</w:t>
      </w:r>
    </w:p>
    <w:p>
      <w:pPr>
        <w:spacing w:line="293" w:lineRule="auto"/>
        <w:rPr>
          <w:rFonts w:ascii="Arial"/>
          <w:sz w:val="21"/>
        </w:rPr>
      </w:pPr>
    </w:p>
    <w:p>
      <w:pPr>
        <w:spacing w:before="78" w:line="222" w:lineRule="auto"/>
        <w:ind w:left="14"/>
        <w:rPr>
          <w:rFonts w:ascii="SimHei" w:eastAsia="SimHei" w:hAnsi="SimHei" w:cs="SimHei"/>
          <w:sz w:val="24"/>
          <w:szCs w:val="24"/>
        </w:rPr>
      </w:pPr>
      <w:r>
        <w:rPr>
          <w:rFonts w:ascii="SimHei" w:eastAsia="SimHei" w:hAnsi="SimHei" w:cs="SimHei"/>
          <w:spacing w:val="-1"/>
          <w:sz w:val="24"/>
          <w:szCs w:val="24"/>
        </w:rPr>
        <w:t>4.1</w:t>
      </w:r>
      <w:r>
        <w:rPr>
          <w:rFonts w:ascii="SimHei" w:eastAsia="SimHei" w:hAnsi="SimHei" w:cs="SimHei"/>
          <w:spacing w:val="29"/>
          <w:sz w:val="24"/>
          <w:szCs w:val="24"/>
        </w:rPr>
        <w:t xml:space="preserve">  </w:t>
      </w:r>
      <w:r>
        <w:rPr>
          <w:rFonts w:ascii="SimHei" w:eastAsia="SimHei" w:hAnsi="SimHei" w:cs="SimHei"/>
          <w:spacing w:val="-1"/>
          <w:sz w:val="24"/>
          <w:szCs w:val="24"/>
        </w:rPr>
        <w:t>标准制（修）订的基本原则</w:t>
      </w:r>
    </w:p>
    <w:p>
      <w:pPr>
        <w:pStyle w:val="BodyText"/>
        <w:spacing w:before="197" w:line="268" w:lineRule="auto"/>
        <w:ind w:left="21" w:right="70" w:firstLine="428"/>
      </w:pPr>
      <w:r>
        <w:rPr>
          <w:spacing w:val="4"/>
        </w:rPr>
        <w:t>（</w:t>
      </w:r>
      <w:r>
        <w:rPr>
          <w:rFonts w:ascii="Times New Roman" w:eastAsia="Times New Roman" w:hAnsi="Times New Roman" w:cs="Times New Roman"/>
          <w:spacing w:val="4"/>
        </w:rPr>
        <w:t>1</w:t>
      </w:r>
      <w:r>
        <w:rPr>
          <w:spacing w:val="4"/>
        </w:rPr>
        <w:t>）落实《中华人民共和国环境保护法》《中华人民共和国野生植物保护条例》《中国</w:t>
      </w:r>
      <w:r>
        <w:rPr>
          <w:spacing w:val="13"/>
        </w:rPr>
        <w:t xml:space="preserve"> </w:t>
      </w:r>
      <w:r>
        <w:rPr>
          <w:spacing w:val="4"/>
        </w:rPr>
        <w:t>生物多样性保护战略与行动计划》（</w:t>
      </w:r>
      <w:r>
        <w:rPr>
          <w:rFonts w:ascii="Times New Roman" w:eastAsia="Times New Roman" w:hAnsi="Times New Roman" w:cs="Times New Roman"/>
          <w:spacing w:val="4"/>
        </w:rPr>
        <w:t xml:space="preserve">2011-2030 </w:t>
      </w:r>
      <w:r>
        <w:rPr>
          <w:spacing w:val="4"/>
        </w:rPr>
        <w:t>年）的相关规定，使我国的植物多样性</w:t>
      </w:r>
      <w:r>
        <w:rPr>
          <w:spacing w:val="3"/>
        </w:rPr>
        <w:t>观测与</w:t>
      </w:r>
      <w:r>
        <w:t xml:space="preserve"> </w:t>
      </w:r>
      <w:r>
        <w:rPr>
          <w:spacing w:val="8"/>
        </w:rPr>
        <w:t>我国国情及法律和政策相符。</w:t>
      </w:r>
    </w:p>
    <w:p>
      <w:pPr>
        <w:pStyle w:val="BodyText"/>
        <w:spacing w:before="66" w:line="257" w:lineRule="auto"/>
        <w:ind w:left="20" w:right="16" w:firstLine="429"/>
      </w:pPr>
      <w:r>
        <w:rPr>
          <w:spacing w:val="6"/>
        </w:rPr>
        <w:t>（</w:t>
      </w:r>
      <w:r>
        <w:rPr>
          <w:rFonts w:ascii="Times New Roman" w:eastAsia="Times New Roman" w:hAnsi="Times New Roman" w:cs="Times New Roman"/>
          <w:spacing w:val="6"/>
        </w:rPr>
        <w:t>2</w:t>
      </w:r>
      <w:r>
        <w:rPr>
          <w:spacing w:val="6"/>
        </w:rPr>
        <w:t>）以管理需求为导向，服务生物多样性保护的总体目标，明确</w:t>
      </w:r>
      <w:r>
        <w:rPr>
          <w:spacing w:val="5"/>
        </w:rPr>
        <w:t>标准制定的工作程序，</w:t>
      </w:r>
      <w:r>
        <w:t xml:space="preserve"> </w:t>
      </w:r>
      <w:r>
        <w:rPr>
          <w:spacing w:val="9"/>
        </w:rPr>
        <w:t>提高工作效率，保证工作质量，确保标准科学性、准确性和实用性。</w:t>
      </w:r>
    </w:p>
    <w:p>
      <w:pPr>
        <w:pStyle w:val="BodyText"/>
        <w:spacing w:before="65" w:line="273" w:lineRule="auto"/>
        <w:ind w:left="19" w:firstLine="430"/>
      </w:pPr>
      <w:r>
        <w:rPr>
          <w:spacing w:val="9"/>
        </w:rPr>
        <w:t>（</w:t>
      </w:r>
      <w:r>
        <w:rPr>
          <w:rFonts w:ascii="Times New Roman" w:eastAsia="Times New Roman" w:hAnsi="Times New Roman" w:cs="Times New Roman"/>
          <w:spacing w:val="9"/>
        </w:rPr>
        <w:t>3</w:t>
      </w:r>
      <w:r>
        <w:rPr>
          <w:spacing w:val="9"/>
        </w:rPr>
        <w:t xml:space="preserve">）充分吸收国内外成熟的研究成果，对国内外样地设置的技术现状和发展趋势等进 </w:t>
      </w:r>
      <w:r>
        <w:rPr>
          <w:spacing w:val="7"/>
        </w:rPr>
        <w:t xml:space="preserve">行调研和对比分析，以便在标准制定过程中可以充分借鉴国内外的最新成果。充分利用项目 </w:t>
      </w:r>
      <w:r>
        <w:rPr>
          <w:spacing w:val="4"/>
        </w:rPr>
        <w:t>承担单位样地建设工作基础和掌握的观测数据。以科学为准则，兼顾可操作性，与我国经济、</w:t>
      </w:r>
      <w:r>
        <w:rPr>
          <w:spacing w:val="6"/>
        </w:rPr>
        <w:t xml:space="preserve"> </w:t>
      </w:r>
      <w:r>
        <w:rPr>
          <w:spacing w:val="8"/>
        </w:rPr>
        <w:t>技术、专业人才水平相适应。</w:t>
      </w:r>
    </w:p>
    <w:p>
      <w:pPr>
        <w:spacing w:before="254" w:line="219" w:lineRule="auto"/>
        <w:ind w:left="14"/>
        <w:rPr>
          <w:rFonts w:ascii="SimHei" w:eastAsia="SimHei" w:hAnsi="SimHei" w:cs="SimHei"/>
          <w:sz w:val="24"/>
          <w:szCs w:val="24"/>
        </w:rPr>
        <w:sectPr>
          <w:footerReference w:type="default" r:id="rId10"/>
          <w:pgSz w:w="11906" w:h="16839"/>
          <w:pgMar w:top="1431" w:right="1728" w:bottom="1360" w:left="1785" w:header="0" w:footer="1200" w:gutter="0"/>
          <w:pgNumType w:start="7"/>
          <w:cols w:space="708"/>
        </w:sectPr>
      </w:pPr>
      <w:r>
        <w:rPr>
          <w:rFonts w:ascii="SimHei" w:eastAsia="SimHei" w:hAnsi="SimHei" w:cs="SimHei"/>
          <w:spacing w:val="-1"/>
          <w:sz w:val="24"/>
          <w:szCs w:val="24"/>
        </w:rPr>
        <w:t>4.2</w:t>
      </w:r>
      <w:r>
        <w:rPr>
          <w:rFonts w:ascii="SimHei" w:eastAsia="SimHei" w:hAnsi="SimHei" w:cs="SimHei"/>
          <w:spacing w:val="29"/>
          <w:sz w:val="24"/>
          <w:szCs w:val="24"/>
        </w:rPr>
        <w:t xml:space="preserve">  </w:t>
      </w:r>
      <w:r>
        <w:rPr>
          <w:rFonts w:ascii="SimHei" w:eastAsia="SimHei" w:hAnsi="SimHei" w:cs="SimHei"/>
          <w:spacing w:val="-1"/>
          <w:sz w:val="24"/>
          <w:szCs w:val="24"/>
        </w:rPr>
        <w:t>标准制（修）订的技术路线</w:t>
      </w:r>
    </w:p>
    <w:p>
      <w:pPr>
        <w:pStyle w:val="BodyText"/>
        <w:spacing w:before="200" w:line="268" w:lineRule="auto"/>
        <w:ind w:left="18" w:right="68" w:firstLine="423"/>
        <w:jc w:val="both"/>
      </w:pPr>
      <w:r>
        <w:rPr>
          <w:spacing w:val="7"/>
        </w:rPr>
        <w:t>编制组通过广泛的文献和资料查询，对国内外样地的设置及其标准的历史、现状及问题</w:t>
      </w:r>
      <w:r>
        <w:rPr>
          <w:spacing w:val="14"/>
        </w:rPr>
        <w:t xml:space="preserve"> </w:t>
      </w:r>
      <w:r>
        <w:rPr>
          <w:spacing w:val="8"/>
        </w:rPr>
        <w:t>进行调研，把握样地设置的指标、方法和主要手段，</w:t>
      </w:r>
      <w:r>
        <w:rPr>
          <w:spacing w:val="7"/>
        </w:rPr>
        <w:t>明确植物多样性保护对固定样地设置标</w:t>
      </w:r>
      <w:r>
        <w:t xml:space="preserve"> </w:t>
      </w:r>
      <w:r>
        <w:rPr>
          <w:spacing w:val="6"/>
        </w:rPr>
        <w:t>准的需求。</w:t>
      </w:r>
    </w:p>
    <w:p>
      <w:pPr>
        <w:pStyle w:val="BodyText"/>
        <w:spacing w:before="65" w:line="227" w:lineRule="auto"/>
        <w:jc w:val="right"/>
      </w:pPr>
      <w:r>
        <w:rPr>
          <w:spacing w:val="8"/>
        </w:rPr>
        <w:t>对国内外有代表性的样地设置方法进行整理，对比分析其所采用的指标、方法和手段，</w:t>
      </w:r>
    </w:p>
    <w:p>
      <w:pPr>
        <w:spacing w:line="227" w:lineRule="auto"/>
        <w:sectPr>
          <w:footerReference w:type="default" r:id="rId11"/>
          <w:type w:val="nextPage"/>
          <w:pgSz w:w="11906" w:h="16839"/>
          <w:pgMar w:top="1431" w:right="1728" w:bottom="1360" w:left="1785" w:header="0" w:footer="1200" w:gutter="0"/>
          <w:pgNumType w:start="8"/>
          <w:cols w:space="708"/>
          <w:titlePg w:val="0"/>
        </w:sectPr>
      </w:pPr>
    </w:p>
    <w:p>
      <w:pPr>
        <w:pStyle w:val="BodyText"/>
        <w:spacing w:before="56" w:line="219" w:lineRule="auto"/>
        <w:ind w:left="3"/>
      </w:pPr>
      <w:r>
        <w:rPr>
          <w:spacing w:val="8"/>
        </w:rPr>
        <w:t>在此基础上，提出适应我国植物多样性观测工作要求的样地设置技术内容。</w:t>
      </w:r>
    </w:p>
    <w:p>
      <w:pPr>
        <w:pStyle w:val="BodyText"/>
        <w:spacing w:before="62" w:line="262" w:lineRule="auto"/>
        <w:ind w:left="3" w:firstLine="440"/>
      </w:pPr>
      <w:r>
        <w:rPr>
          <w:spacing w:val="6"/>
        </w:rPr>
        <w:t>在生态环境部和科技部有关项目的支持下，编制组开展了主要技术内容的野外测试工作。</w:t>
      </w:r>
      <w:r>
        <w:rPr>
          <w:spacing w:val="14"/>
        </w:rPr>
        <w:t xml:space="preserve"> </w:t>
      </w:r>
      <w:r>
        <w:rPr>
          <w:spacing w:val="8"/>
        </w:rPr>
        <w:t>在全国不同区域建立了数十个样地，对样地的设置技术进行了</w:t>
      </w:r>
      <w:r>
        <w:rPr>
          <w:spacing w:val="7"/>
        </w:rPr>
        <w:t>示范和验证。</w:t>
      </w:r>
    </w:p>
    <w:p>
      <w:pPr>
        <w:pStyle w:val="BodyText"/>
        <w:spacing w:before="62" w:line="269" w:lineRule="auto"/>
        <w:ind w:left="3" w:right="209" w:firstLine="440"/>
      </w:pPr>
      <w:r>
        <w:rPr>
          <w:spacing w:val="6"/>
        </w:rPr>
        <w:t>咨询植物学、生态学、测量学等领域的专家学者及生态环境、林业草原等部门的管理人</w:t>
      </w:r>
      <w:r>
        <w:rPr>
          <w:spacing w:val="9"/>
        </w:rPr>
        <w:t xml:space="preserve"> </w:t>
      </w:r>
      <w:r>
        <w:rPr>
          <w:spacing w:val="6"/>
        </w:rPr>
        <w:t>员，听取其意见，并开展实地走访调查，确定样地设置的程序、指标、方法和手段。组织多</w:t>
      </w:r>
      <w:r>
        <w:rPr>
          <w:spacing w:val="7"/>
        </w:rPr>
        <w:t xml:space="preserve"> </w:t>
      </w:r>
      <w:r>
        <w:rPr>
          <w:spacing w:val="7"/>
        </w:rPr>
        <w:t>学科、多部门的研讨会，对标准草案进行咨询论证，在充分吸收专家和管理人员意见的基础</w:t>
      </w:r>
      <w:r>
        <w:t xml:space="preserve"> </w:t>
      </w:r>
      <w:r>
        <w:rPr>
          <w:spacing w:val="11"/>
        </w:rPr>
        <w:t>上，不断完善标准的文本，使其能够引领我国样地的设置工作。技</w:t>
      </w:r>
      <w:r>
        <w:rPr>
          <w:spacing w:val="10"/>
        </w:rPr>
        <w:t>术路线如图1所示。</w:t>
      </w:r>
    </w:p>
    <w:p>
      <w:pPr>
        <w:spacing w:line="313" w:lineRule="auto"/>
        <w:rPr>
          <w:rFonts w:ascii="Arial"/>
          <w:sz w:val="21"/>
        </w:rPr>
      </w:pPr>
    </w:p>
    <w:p>
      <w:pPr>
        <w:pStyle w:val="BodyText"/>
        <w:spacing w:before="1" w:line="4490" w:lineRule="exact"/>
        <w:ind w:firstLine="143"/>
      </w:pPr>
      <w:r>
        <w:rPr>
          <w:position w:val="-89"/>
        </w:rPr>
        <w:pict>
          <v:group id="_x0000_i1025" style="width:405.5pt;height:224.55pt;mso-position-horizontal-relative:char;mso-position-vertical-relative:line" coordorigin="0,0" coordsize="8110,449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110;height:4491;position:absolute" filled="f" stroked="f">
              <v:imagedata r:id="rId12" o:title=""/>
            </v:shape>
            <v:shapetype id="_x0000_t202" coordsize="21600,21600" o:spt="202" path="m,l,21600r21600,l21600,xe">
              <v:stroke joinstyle="miter"/>
              <v:path gradientshapeok="t" o:connecttype="rect"/>
            </v:shapetype>
            <v:shape id="_x0000_s1027" type="#_x0000_t202" style="width:7627;height:2531;left:293;position:absolute;top:1808" filled="f" stroked="f">
              <o:lock v:ext="edit" aspectratio="f"/>
              <v:textbox style="layout-flow:vertical-ideographic" inset="0,0,0,0">
                <w:txbxContent>
                  <w:p>
                    <w:pPr>
                      <w:spacing w:before="20" w:line="215" w:lineRule="auto"/>
                      <w:ind w:left="192"/>
                      <w:rPr>
                        <w:rFonts w:ascii="SimHei" w:eastAsia="SimHei" w:hAnsi="SimHei" w:cs="SimHei"/>
                        <w:sz w:val="16"/>
                        <w:szCs w:val="16"/>
                      </w:rPr>
                    </w:pPr>
                    <w:r>
                      <w:rPr>
                        <w:rFonts w:ascii="SimHei" w:eastAsia="SimHei" w:hAnsi="SimHei" w:cs="SimHei"/>
                        <w:spacing w:val="7"/>
                        <w:sz w:val="16"/>
                        <w:szCs w:val="16"/>
                      </w:rPr>
                      <w:t>样地改设</w:t>
                    </w:r>
                  </w:p>
                  <w:p>
                    <w:pPr>
                      <w:spacing w:before="212" w:line="215" w:lineRule="auto"/>
                      <w:ind w:left="193"/>
                      <w:rPr>
                        <w:rFonts w:ascii="SimHei" w:eastAsia="SimHei" w:hAnsi="SimHei" w:cs="SimHei"/>
                        <w:sz w:val="16"/>
                        <w:szCs w:val="16"/>
                      </w:rPr>
                    </w:pPr>
                    <w:r>
                      <w:rPr>
                        <w:rFonts w:ascii="SimHei" w:eastAsia="SimHei" w:hAnsi="SimHei" w:cs="SimHei"/>
                        <w:spacing w:val="5"/>
                        <w:sz w:val="16"/>
                        <w:szCs w:val="16"/>
                      </w:rPr>
                      <w:t>边界复位</w:t>
                    </w:r>
                  </w:p>
                  <w:p>
                    <w:pPr>
                      <w:spacing w:before="203" w:line="215" w:lineRule="auto"/>
                      <w:ind w:left="202"/>
                      <w:rPr>
                        <w:rFonts w:ascii="SimHei" w:eastAsia="SimHei" w:hAnsi="SimHei" w:cs="SimHei"/>
                        <w:sz w:val="16"/>
                        <w:szCs w:val="16"/>
                      </w:rPr>
                    </w:pPr>
                    <w:r>
                      <w:rPr>
                        <w:rFonts w:ascii="SimHei" w:eastAsia="SimHei" w:hAnsi="SimHei" w:cs="SimHei"/>
                        <w:sz w:val="16"/>
                        <w:szCs w:val="16"/>
                      </w:rPr>
                      <w:t>样桩复位</w:t>
                    </w:r>
                  </w:p>
                  <w:p>
                    <w:pPr>
                      <w:spacing w:before="213" w:line="215" w:lineRule="auto"/>
                      <w:ind w:left="192"/>
                      <w:rPr>
                        <w:rFonts w:ascii="SimHei" w:eastAsia="SimHei" w:hAnsi="SimHei" w:cs="SimHei"/>
                        <w:sz w:val="16"/>
                        <w:szCs w:val="16"/>
                      </w:rPr>
                    </w:pPr>
                    <w:r>
                      <w:rPr>
                        <w:rFonts w:ascii="SimHei" w:eastAsia="SimHei" w:hAnsi="SimHei" w:cs="SimHei"/>
                        <w:spacing w:val="7"/>
                        <w:sz w:val="16"/>
                        <w:szCs w:val="16"/>
                      </w:rPr>
                      <w:t>样地查找</w:t>
                    </w:r>
                  </w:p>
                  <w:p>
                    <w:pPr>
                      <w:spacing w:line="261" w:lineRule="auto"/>
                      <w:rPr>
                        <w:rFonts w:ascii="Arial"/>
                        <w:sz w:val="21"/>
                      </w:rPr>
                    </w:pPr>
                  </w:p>
                  <w:p>
                    <w:pPr>
                      <w:spacing w:before="53" w:line="215" w:lineRule="auto"/>
                      <w:ind w:left="352"/>
                      <w:rPr>
                        <w:rFonts w:ascii="SimHei" w:eastAsia="SimHei" w:hAnsi="SimHei" w:cs="SimHei"/>
                        <w:sz w:val="16"/>
                        <w:szCs w:val="16"/>
                      </w:rPr>
                    </w:pPr>
                    <w:r>
                      <w:rPr>
                        <w:rFonts w:ascii="SimHei" w:eastAsia="SimHei" w:hAnsi="SimHei" w:cs="SimHei"/>
                        <w:spacing w:val="10"/>
                        <w:sz w:val="16"/>
                        <w:szCs w:val="16"/>
                      </w:rPr>
                      <w:t>样方</w:t>
                    </w:r>
                  </w:p>
                  <w:p>
                    <w:pPr>
                      <w:spacing w:before="214" w:line="217" w:lineRule="auto"/>
                      <w:ind w:left="352"/>
                      <w:rPr>
                        <w:rFonts w:ascii="SimHei" w:eastAsia="SimHei" w:hAnsi="SimHei" w:cs="SimHei"/>
                        <w:sz w:val="16"/>
                        <w:szCs w:val="16"/>
                      </w:rPr>
                    </w:pPr>
                    <w:r>
                      <w:rPr>
                        <w:rFonts w:ascii="SimHei" w:eastAsia="SimHei" w:hAnsi="SimHei" w:cs="SimHei"/>
                        <w:spacing w:val="11"/>
                        <w:sz w:val="16"/>
                        <w:szCs w:val="16"/>
                      </w:rPr>
                      <w:t>样桩</w:t>
                    </w:r>
                  </w:p>
                  <w:p>
                    <w:pPr>
                      <w:spacing w:before="216" w:line="216" w:lineRule="auto"/>
                      <w:ind w:left="172"/>
                      <w:rPr>
                        <w:rFonts w:ascii="SimHei" w:eastAsia="SimHei" w:hAnsi="SimHei" w:cs="SimHei"/>
                        <w:sz w:val="16"/>
                        <w:szCs w:val="16"/>
                      </w:rPr>
                    </w:pPr>
                    <w:r>
                      <w:rPr>
                        <w:rFonts w:ascii="SimHei" w:eastAsia="SimHei" w:hAnsi="SimHei" w:cs="SimHei"/>
                        <w:spacing w:val="10"/>
                        <w:sz w:val="16"/>
                        <w:szCs w:val="16"/>
                      </w:rPr>
                      <w:t>样地标牌</w:t>
                    </w:r>
                  </w:p>
                  <w:p>
                    <w:pPr>
                      <w:spacing w:before="202" w:line="216" w:lineRule="auto"/>
                      <w:ind w:left="192"/>
                      <w:rPr>
                        <w:rFonts w:ascii="SimHei" w:eastAsia="SimHei" w:hAnsi="SimHei" w:cs="SimHei"/>
                        <w:sz w:val="16"/>
                        <w:szCs w:val="16"/>
                      </w:rPr>
                    </w:pPr>
                    <w:r>
                      <w:rPr>
                        <w:rFonts w:ascii="SimHei" w:eastAsia="SimHei" w:hAnsi="SimHei" w:cs="SimHei"/>
                        <w:spacing w:val="5"/>
                        <w:sz w:val="16"/>
                        <w:szCs w:val="16"/>
                      </w:rPr>
                      <w:t>样地命名</w:t>
                    </w:r>
                  </w:p>
                  <w:p>
                    <w:pPr>
                      <w:spacing w:before="39" w:line="166" w:lineRule="exact"/>
                      <w:ind w:left="1768"/>
                      <w:rPr>
                        <w:rFonts w:ascii="SimHei" w:eastAsia="SimHei" w:hAnsi="SimHei" w:cs="SimHei"/>
                        <w:sz w:val="20"/>
                        <w:szCs w:val="20"/>
                      </w:rPr>
                    </w:pPr>
                    <w:r>
                      <w:rPr>
                        <w:rFonts w:ascii="SimHei" w:eastAsia="SimHei" w:hAnsi="SimHei" w:cs="SimHei"/>
                        <w:spacing w:val="2"/>
                        <w:position w:val="-2"/>
                        <w:sz w:val="20"/>
                        <w:szCs w:val="20"/>
                      </w:rPr>
                      <w:t>范</w:t>
                    </w:r>
                  </w:p>
                  <w:p>
                    <w:pPr>
                      <w:spacing w:line="166" w:lineRule="exact"/>
                      <w:ind w:left="1768"/>
                      <w:rPr>
                        <w:rFonts w:ascii="SimHei" w:eastAsia="SimHei" w:hAnsi="SimHei" w:cs="SimHei"/>
                        <w:sz w:val="20"/>
                        <w:szCs w:val="20"/>
                      </w:rPr>
                    </w:pPr>
                    <w:r>
                      <w:rPr>
                        <w:rFonts w:ascii="SimHei" w:eastAsia="SimHei" w:hAnsi="SimHei" w:cs="SimHei"/>
                        <w:spacing w:val="2"/>
                        <w:position w:val="-1"/>
                        <w:sz w:val="20"/>
                        <w:szCs w:val="20"/>
                      </w:rPr>
                      <w:t>示</w:t>
                    </w:r>
                  </w:p>
                  <w:p>
                    <w:pPr>
                      <w:spacing w:line="166" w:lineRule="exact"/>
                      <w:ind w:left="179"/>
                      <w:rPr>
                        <w:rFonts w:ascii="SimHei" w:eastAsia="SimHei" w:hAnsi="SimHei" w:cs="SimHei"/>
                        <w:sz w:val="20"/>
                        <w:szCs w:val="20"/>
                      </w:rPr>
                    </w:pPr>
                    <w:r>
                      <w:rPr>
                        <w:rFonts w:ascii="SimHei" w:eastAsia="SimHei" w:hAnsi="SimHei" w:cs="SimHei"/>
                        <w:spacing w:val="4"/>
                        <w:position w:val="-2"/>
                        <w:sz w:val="16"/>
                        <w:szCs w:val="16"/>
                      </w:rPr>
                      <w:t>质量检查</w:t>
                    </w:r>
                    <w:r>
                      <w:rPr>
                        <w:rFonts w:ascii="SimHei" w:eastAsia="SimHei" w:hAnsi="SimHei" w:cs="SimHei"/>
                        <w:spacing w:val="4"/>
                        <w:position w:val="-2"/>
                        <w:sz w:val="16"/>
                        <w:szCs w:val="16"/>
                      </w:rPr>
                      <w:t xml:space="preserve">           </w:t>
                    </w:r>
                    <w:r>
                      <w:rPr>
                        <w:rFonts w:ascii="SimHei" w:eastAsia="SimHei" w:hAnsi="SimHei" w:cs="SimHei"/>
                        <w:spacing w:val="4"/>
                        <w:position w:val="-2"/>
                        <w:sz w:val="20"/>
                        <w:szCs w:val="20"/>
                      </w:rPr>
                      <w:t>和</w:t>
                    </w:r>
                  </w:p>
                  <w:p>
                    <w:pPr>
                      <w:spacing w:line="188" w:lineRule="exact"/>
                      <w:ind w:right="20"/>
                      <w:jc w:val="right"/>
                      <w:rPr>
                        <w:rFonts w:ascii="SimHei" w:eastAsia="SimHei" w:hAnsi="SimHei" w:cs="SimHei"/>
                        <w:sz w:val="20"/>
                        <w:szCs w:val="20"/>
                      </w:rPr>
                    </w:pPr>
                    <w:r>
                      <w:rPr>
                        <w:rFonts w:ascii="SimHei" w:eastAsia="SimHei" w:hAnsi="SimHei" w:cs="SimHei"/>
                        <w:spacing w:val="2"/>
                        <w:position w:val="1"/>
                        <w:sz w:val="20"/>
                        <w:szCs w:val="20"/>
                      </w:rPr>
                      <w:t>证</w:t>
                    </w:r>
                    <w:r>
                      <w:rPr>
                        <w:rFonts w:ascii="SimHei" w:eastAsia="SimHei" w:hAnsi="SimHei" w:cs="SimHei"/>
                        <w:spacing w:val="12"/>
                        <w:position w:val="1"/>
                        <w:sz w:val="20"/>
                        <w:szCs w:val="20"/>
                      </w:rPr>
                      <w:t xml:space="preserve">   </w:t>
                    </w:r>
                    <w:r>
                      <w:rPr>
                        <w:rFonts w:ascii="SimHei" w:eastAsia="SimHei" w:hAnsi="SimHei" w:cs="SimHei"/>
                        <w:spacing w:val="2"/>
                        <w:position w:val="-3"/>
                        <w:sz w:val="20"/>
                        <w:szCs w:val="20"/>
                      </w:rPr>
                      <w:t>则</w:t>
                    </w:r>
                  </w:p>
                  <w:p>
                    <w:pPr>
                      <w:spacing w:line="342" w:lineRule="exact"/>
                      <w:ind w:right="20"/>
                      <w:jc w:val="right"/>
                    </w:pPr>
                    <w:r>
                      <w:rPr>
                        <w:rFonts w:ascii="SimHei" w:eastAsia="SimHei" w:hAnsi="SimHei" w:cs="SimHei"/>
                        <w:spacing w:val="10"/>
                        <w:position w:val="4"/>
                        <w:sz w:val="16"/>
                        <w:szCs w:val="16"/>
                      </w:rPr>
                      <w:t>放样</w:t>
                    </w:r>
                    <w:r>
                      <w:rPr>
                        <w:rFonts w:ascii="SimHei" w:eastAsia="SimHei" w:hAnsi="SimHei" w:cs="SimHei"/>
                        <w:spacing w:val="3"/>
                        <w:position w:val="4"/>
                        <w:sz w:val="16"/>
                        <w:szCs w:val="16"/>
                      </w:rPr>
                      <w:t xml:space="preserve">             </w:t>
                    </w:r>
                    <w:r>
                      <w:ruby>
                        <w:rubyPr>
                          <w:rubyAlign w:val="left"/>
                          <w:hps w:val="20"/>
                          <w:hpsRaise w:val="8"/>
                          <w:hpsBaseText w:val="21"/>
                        </w:rubyPr>
                        <w:rt>
                          <w:r>
                            <w:rPr>
                              <w:rFonts w:ascii="SimHei" w:eastAsia="SimHei" w:hAnsi="SimHei" w:cs="SimHei"/>
                              <w:w w:val="101"/>
                              <w:position w:val="4"/>
                              <w:sz w:val="20"/>
                              <w:szCs w:val="20"/>
                            </w:rPr>
                            <w:t>验</w:t>
                          </w:r>
                        </w:rt>
                        <w:rubyBase>
                          <w:r>
                            <w:rPr>
                              <w:rFonts w:ascii="SimHei" w:eastAsia="SimHei" w:hAnsi="SimHei" w:cs="SimHei"/>
                              <w:w w:val="101"/>
                              <w:position w:val="-2"/>
                              <w:sz w:val="20"/>
                              <w:szCs w:val="20"/>
                            </w:rPr>
                            <w:t>的</w:t>
                          </w:r>
                        </w:rubyBase>
                      </w:ruby>
                    </w:r>
                    <w:r>
                      <w:rPr>
                        <w:rFonts w:ascii="SimHei" w:eastAsia="SimHei" w:hAnsi="SimHei" w:cs="SimHei"/>
                        <w:spacing w:val="13"/>
                        <w:position w:val="-2"/>
                        <w:sz w:val="20"/>
                        <w:szCs w:val="20"/>
                      </w:rPr>
                      <w:t xml:space="preserve">   </w:t>
                    </w:r>
                    <w:r>
                      <w:ruby>
                        <w:rubyPr>
                          <w:rubyAlign w:val="left"/>
                          <w:hps w:val="20"/>
                          <w:hpsRaise w:val="4"/>
                          <w:hpsBaseText w:val="21"/>
                        </w:rubyPr>
                        <w:rt>
                          <w:r>
                            <w:rPr>
                              <w:rFonts w:ascii="SimHei" w:eastAsia="SimHei" w:hAnsi="SimHei" w:cs="SimHei"/>
                              <w:w w:val="101"/>
                              <w:position w:val="4"/>
                              <w:sz w:val="20"/>
                              <w:szCs w:val="20"/>
                            </w:rPr>
                            <w:t>导</w:t>
                          </w:r>
                        </w:rt>
                        <w:rubyBase>
                          <w:r>
                            <w:rPr>
                              <w:rFonts w:ascii="SimHei" w:eastAsia="SimHei" w:hAnsi="SimHei" w:cs="SimHei"/>
                              <w:w w:val="101"/>
                              <w:position w:val="-6"/>
                              <w:sz w:val="20"/>
                              <w:szCs w:val="20"/>
                            </w:rPr>
                            <w:t>术</w:t>
                          </w:r>
                        </w:rubyBase>
                      </w:ruby>
                    </w:r>
                  </w:p>
                  <w:p>
                    <w:pPr>
                      <w:spacing w:before="135" w:line="192" w:lineRule="exact"/>
                      <w:ind w:left="22"/>
                      <w:rPr>
                        <w:rFonts w:ascii="SimHei" w:eastAsia="SimHei" w:hAnsi="SimHei" w:cs="SimHei"/>
                        <w:sz w:val="20"/>
                        <w:szCs w:val="20"/>
                      </w:rPr>
                    </w:pPr>
                    <w:r>
                      <w:rPr>
                        <w:rFonts w:ascii="SimHei" w:eastAsia="SimHei" w:hAnsi="SimHei" w:cs="SimHei"/>
                        <w:spacing w:val="4"/>
                        <w:position w:val="-2"/>
                        <w:sz w:val="16"/>
                        <w:szCs w:val="16"/>
                      </w:rPr>
                      <w:t>控制网的布设</w:t>
                    </w:r>
                    <w:r>
                      <w:rPr>
                        <w:rFonts w:ascii="SimHei" w:eastAsia="SimHei" w:hAnsi="SimHei" w:cs="SimHei"/>
                        <w:spacing w:val="4"/>
                        <w:position w:val="-2"/>
                        <w:sz w:val="16"/>
                        <w:szCs w:val="16"/>
                      </w:rPr>
                      <w:t xml:space="preserve">         </w:t>
                    </w:r>
                    <w:r>
                      <w:rPr>
                        <w:rFonts w:ascii="SimHei" w:eastAsia="SimHei" w:hAnsi="SimHei" w:cs="SimHei"/>
                        <w:spacing w:val="4"/>
                        <w:sz w:val="20"/>
                        <w:szCs w:val="20"/>
                      </w:rPr>
                      <w:t>技</w:t>
                    </w:r>
                    <w:r>
                      <w:rPr>
                        <w:rFonts w:ascii="SimHei" w:eastAsia="SimHei" w:hAnsi="SimHei" w:cs="SimHei"/>
                        <w:spacing w:val="13"/>
                        <w:sz w:val="20"/>
                        <w:szCs w:val="20"/>
                      </w:rPr>
                      <w:t xml:space="preserve">   </w:t>
                    </w:r>
                    <w:r>
                      <w:rPr>
                        <w:rFonts w:ascii="SimHei" w:eastAsia="SimHei" w:hAnsi="SimHei" w:cs="SimHei"/>
                        <w:spacing w:val="4"/>
                        <w:position w:val="-2"/>
                        <w:sz w:val="20"/>
                        <w:szCs w:val="20"/>
                      </w:rPr>
                      <w:t>成</w:t>
                    </w:r>
                  </w:p>
                  <w:p>
                    <w:pPr>
                      <w:spacing w:before="249" w:line="193" w:lineRule="auto"/>
                      <w:ind w:left="181"/>
                      <w:rPr>
                        <w:rFonts w:ascii="SimHei" w:eastAsia="SimHei" w:hAnsi="SimHei" w:cs="SimHei"/>
                        <w:sz w:val="20"/>
                        <w:szCs w:val="20"/>
                      </w:rPr>
                    </w:pPr>
                    <w:r>
                      <w:rPr>
                        <w:rFonts w:ascii="SimHei" w:eastAsia="SimHei" w:hAnsi="SimHei" w:cs="SimHei"/>
                        <w:spacing w:val="4"/>
                        <w:position w:val="1"/>
                        <w:sz w:val="16"/>
                        <w:szCs w:val="16"/>
                      </w:rPr>
                      <w:t>选点踏勘</w:t>
                    </w:r>
                    <w:r>
                      <w:rPr>
                        <w:rFonts w:ascii="SimHei" w:eastAsia="SimHei" w:hAnsi="SimHei" w:cs="SimHei"/>
                        <w:spacing w:val="4"/>
                        <w:position w:val="1"/>
                        <w:sz w:val="16"/>
                        <w:szCs w:val="16"/>
                      </w:rPr>
                      <w:t xml:space="preserve">           </w:t>
                    </w:r>
                    <w:r>
                      <w:rPr>
                        <w:rFonts w:ascii="SimHei" w:eastAsia="SimHei" w:hAnsi="SimHei" w:cs="SimHei"/>
                        <w:spacing w:val="4"/>
                        <w:position w:val="-4"/>
                        <w:sz w:val="20"/>
                        <w:szCs w:val="20"/>
                      </w:rPr>
                      <w:t>地</w:t>
                    </w:r>
                  </w:p>
                  <w:p>
                    <w:pPr>
                      <w:spacing w:line="171" w:lineRule="auto"/>
                      <w:ind w:left="1768"/>
                      <w:rPr>
                        <w:rFonts w:ascii="SimHei" w:eastAsia="SimHei" w:hAnsi="SimHei" w:cs="SimHei"/>
                        <w:sz w:val="20"/>
                        <w:szCs w:val="20"/>
                      </w:rPr>
                    </w:pPr>
                    <w:r>
                      <w:rPr>
                        <w:rFonts w:ascii="SimHei" w:eastAsia="SimHei" w:hAnsi="SimHei" w:cs="SimHei"/>
                        <w:spacing w:val="2"/>
                        <w:sz w:val="20"/>
                        <w:szCs w:val="20"/>
                      </w:rPr>
                      <w:t>样</w:t>
                    </w:r>
                  </w:p>
                  <w:p>
                    <w:pPr>
                      <w:spacing w:before="1" w:line="215" w:lineRule="auto"/>
                      <w:ind w:left="24"/>
                      <w:rPr>
                        <w:rFonts w:ascii="SimHei" w:eastAsia="SimHei" w:hAnsi="SimHei" w:cs="SimHei"/>
                        <w:sz w:val="16"/>
                        <w:szCs w:val="16"/>
                      </w:rPr>
                    </w:pPr>
                    <w:r>
                      <w:rPr>
                        <w:rFonts w:ascii="SimHei" w:eastAsia="SimHei" w:hAnsi="SimHei" w:cs="SimHei"/>
                        <w:spacing w:val="8"/>
                        <w:sz w:val="16"/>
                        <w:szCs w:val="16"/>
                      </w:rPr>
                      <w:t>确定测绘基准</w:t>
                    </w:r>
                  </w:p>
                  <w:p>
                    <w:pPr>
                      <w:spacing w:line="353" w:lineRule="auto"/>
                      <w:rPr>
                        <w:rFonts w:ascii="Arial"/>
                        <w:sz w:val="21"/>
                      </w:rPr>
                    </w:pPr>
                  </w:p>
                  <w:p>
                    <w:pPr>
                      <w:spacing w:before="53" w:line="215" w:lineRule="auto"/>
                      <w:ind w:left="183"/>
                      <w:rPr>
                        <w:rFonts w:ascii="SimHei" w:eastAsia="SimHei" w:hAnsi="SimHei" w:cs="SimHei"/>
                        <w:sz w:val="16"/>
                        <w:szCs w:val="16"/>
                      </w:rPr>
                    </w:pPr>
                    <w:r>
                      <w:rPr>
                        <w:rFonts w:ascii="SimHei" w:eastAsia="SimHei" w:hAnsi="SimHei" w:cs="SimHei"/>
                        <w:spacing w:val="5"/>
                        <w:sz w:val="16"/>
                        <w:szCs w:val="16"/>
                      </w:rPr>
                      <w:t>样方划分</w:t>
                    </w:r>
                  </w:p>
                  <w:p>
                    <w:pPr>
                      <w:spacing w:before="229" w:line="215" w:lineRule="auto"/>
                      <w:ind w:left="183"/>
                      <w:rPr>
                        <w:rFonts w:ascii="SimHei" w:eastAsia="SimHei" w:hAnsi="SimHei" w:cs="SimHei"/>
                        <w:sz w:val="16"/>
                        <w:szCs w:val="16"/>
                      </w:rPr>
                    </w:pPr>
                    <w:r>
                      <w:rPr>
                        <w:rFonts w:ascii="SimHei" w:eastAsia="SimHei" w:hAnsi="SimHei" w:cs="SimHei"/>
                        <w:spacing w:val="5"/>
                        <w:sz w:val="16"/>
                        <w:szCs w:val="16"/>
                      </w:rPr>
                      <w:t>样方布局</w:t>
                    </w:r>
                  </w:p>
                  <w:p>
                    <w:pPr>
                      <w:spacing w:before="223" w:line="216" w:lineRule="auto"/>
                      <w:ind w:left="23"/>
                      <w:rPr>
                        <w:rFonts w:ascii="SimHei" w:eastAsia="SimHei" w:hAnsi="SimHei" w:cs="SimHei"/>
                        <w:sz w:val="16"/>
                        <w:szCs w:val="16"/>
                      </w:rPr>
                    </w:pPr>
                    <w:r>
                      <w:rPr>
                        <w:rFonts w:ascii="SimHei" w:eastAsia="SimHei" w:hAnsi="SimHei" w:cs="SimHei"/>
                        <w:spacing w:val="3"/>
                        <w:sz w:val="16"/>
                        <w:szCs w:val="16"/>
                      </w:rPr>
                      <w:t>样地技术指标</w:t>
                    </w:r>
                  </w:p>
                  <w:p>
                    <w:pPr>
                      <w:spacing w:before="217" w:line="216" w:lineRule="auto"/>
                      <w:ind w:left="162"/>
                      <w:rPr>
                        <w:rFonts w:ascii="SimSun" w:eastAsia="SimSun" w:hAnsi="SimSun" w:cs="SimSun"/>
                        <w:sz w:val="16"/>
                        <w:szCs w:val="16"/>
                      </w:rPr>
                    </w:pPr>
                    <w:r>
                      <w:rPr>
                        <w:rFonts w:ascii="SimSun" w:eastAsia="SimSun" w:hAnsi="SimSun" w:cs="SimSun"/>
                        <w:spacing w:val="10"/>
                        <w:sz w:val="16"/>
                        <w:szCs w:val="16"/>
                      </w:rPr>
                      <w:t>判断抽样</w:t>
                    </w:r>
                  </w:p>
                  <w:p>
                    <w:pPr>
                      <w:spacing w:before="198" w:line="216" w:lineRule="auto"/>
                      <w:ind w:left="20"/>
                      <w:rPr>
                        <w:rFonts w:ascii="SimHei" w:eastAsia="SimHei" w:hAnsi="SimHei" w:cs="SimHei"/>
                        <w:sz w:val="16"/>
                        <w:szCs w:val="16"/>
                      </w:rPr>
                    </w:pPr>
                    <w:r>
                      <w:rPr>
                        <w:rFonts w:ascii="SimHei" w:eastAsia="SimHei" w:hAnsi="SimHei" w:cs="SimHei"/>
                        <w:spacing w:val="5"/>
                        <w:sz w:val="16"/>
                        <w:szCs w:val="16"/>
                      </w:rPr>
                      <w:t>划分抽样单元</w:t>
                    </w:r>
                  </w:p>
                </w:txbxContent>
              </v:textbox>
            </v:shape>
            <v:shape id="_x0000_s1028" type="#_x0000_t202" style="width:1508;height:1313;left:2970;position:absolute;top:97" filled="f" stroked="f">
              <o:lock v:ext="edit" aspectratio="f"/>
              <v:textbox inset="0,0,0,0">
                <w:txbxContent>
                  <w:p>
                    <w:pPr>
                      <w:spacing w:before="19" w:line="222" w:lineRule="auto"/>
                      <w:jc w:val="right"/>
                      <w:rPr>
                        <w:rFonts w:ascii="SimHei" w:eastAsia="SimHei" w:hAnsi="SimHei" w:cs="SimHei"/>
                        <w:sz w:val="20"/>
                        <w:szCs w:val="20"/>
                      </w:rPr>
                    </w:pPr>
                    <w:r>
                      <w:rPr>
                        <w:rFonts w:ascii="SimHei" w:eastAsia="SimHei" w:hAnsi="SimHei" w:cs="SimHei"/>
                        <w:spacing w:val="-19"/>
                        <w:w w:val="90"/>
                        <w:sz w:val="20"/>
                        <w:szCs w:val="20"/>
                      </w:rPr>
                      <w:t>国内外文献资料调</w:t>
                    </w:r>
                    <w:r>
                      <w:rPr>
                        <w:rFonts w:ascii="SimHei" w:eastAsia="SimHei" w:hAnsi="SimHei" w:cs="SimHei"/>
                        <w:spacing w:val="-10"/>
                        <w:w w:val="90"/>
                        <w:sz w:val="20"/>
                        <w:szCs w:val="20"/>
                      </w:rPr>
                      <w:t>研</w:t>
                    </w:r>
                  </w:p>
                  <w:p>
                    <w:pPr>
                      <w:spacing w:before="40" w:line="238" w:lineRule="auto"/>
                      <w:ind w:left="679"/>
                      <w:rPr>
                        <w:rFonts w:ascii="SimSun" w:eastAsia="SimSun" w:hAnsi="SimSun" w:cs="SimSun"/>
                        <w:sz w:val="20"/>
                        <w:szCs w:val="20"/>
                      </w:rPr>
                    </w:pPr>
                    <w:r>
                      <w:rPr>
                        <w:rFonts w:ascii="SimSun" w:eastAsia="SimSun" w:hAnsi="SimSun" w:cs="SimSun"/>
                        <w:color w:val="FFFFFF"/>
                        <w:sz w:val="20"/>
                        <w:szCs w:val="20"/>
                      </w:rPr>
                      <w:t>√</w:t>
                    </w:r>
                  </w:p>
                  <w:p>
                    <w:pPr>
                      <w:spacing w:line="222" w:lineRule="auto"/>
                      <w:ind w:left="90"/>
                      <w:rPr>
                        <w:rFonts w:ascii="SimHei" w:eastAsia="SimHei" w:hAnsi="SimHei" w:cs="SimHei"/>
                        <w:sz w:val="20"/>
                        <w:szCs w:val="20"/>
                      </w:rPr>
                    </w:pPr>
                    <w:r>
                      <w:rPr>
                        <w:rFonts w:ascii="SimHei" w:eastAsia="SimHei" w:hAnsi="SimHei" w:cs="SimHei"/>
                        <w:spacing w:val="-13"/>
                        <w:w w:val="91"/>
                        <w:sz w:val="20"/>
                        <w:szCs w:val="20"/>
                      </w:rPr>
                      <w:t>样地设置技术分析</w:t>
                    </w:r>
                  </w:p>
                  <w:p>
                    <w:pPr>
                      <w:spacing w:before="74" w:line="199" w:lineRule="auto"/>
                      <w:ind w:left="279"/>
                      <w:rPr>
                        <w:rFonts w:ascii="SimHei" w:eastAsia="SimHei" w:hAnsi="SimHei" w:cs="SimHei"/>
                        <w:sz w:val="20"/>
                        <w:szCs w:val="20"/>
                      </w:rPr>
                    </w:pPr>
                    <w:r>
                      <w:rPr>
                        <w:rFonts w:ascii="SimHei" w:eastAsia="SimHei" w:hAnsi="SimHei" w:cs="SimHei"/>
                        <w:sz w:val="20"/>
                        <w:szCs w:val="20"/>
                      </w:rPr>
                      <w:t>山</w:t>
                    </w:r>
                  </w:p>
                  <w:p>
                    <w:pPr>
                      <w:spacing w:before="1" w:line="221" w:lineRule="auto"/>
                      <w:ind w:left="40"/>
                      <w:rPr>
                        <w:rFonts w:ascii="SimHei" w:eastAsia="SimHei" w:hAnsi="SimHei" w:cs="SimHei"/>
                        <w:sz w:val="20"/>
                        <w:szCs w:val="20"/>
                      </w:rPr>
                    </w:pPr>
                    <w:r>
                      <w:rPr>
                        <w:rFonts w:ascii="SimHei" w:eastAsia="SimHei" w:hAnsi="SimHei" w:cs="SimHei"/>
                        <w:spacing w:val="-13"/>
                        <w:w w:val="94"/>
                        <w:sz w:val="20"/>
                        <w:szCs w:val="20"/>
                      </w:rPr>
                      <w:t>样地布设</w:t>
                    </w:r>
                  </w:p>
                </w:txbxContent>
              </v:textbox>
            </v:shape>
            <v:shape id="_x0000_s1029" type="#_x0000_t202" style="width:750;height:1073;left:3063;position:absolute;top:3268" filled="f" stroked="f">
              <o:lock v:ext="edit" aspectratio="f"/>
              <v:textbox style="layout-flow:vertical-ideographic" inset="0,0,0,0">
                <w:txbxContent>
                  <w:p>
                    <w:pPr>
                      <w:spacing w:before="20" w:line="243" w:lineRule="exact"/>
                      <w:ind w:left="20"/>
                      <w:rPr>
                        <w:rFonts w:ascii="SimHei" w:eastAsia="SimHei" w:hAnsi="SimHei" w:cs="SimHei"/>
                        <w:sz w:val="20"/>
                        <w:szCs w:val="20"/>
                      </w:rPr>
                    </w:pPr>
                    <w:r>
                      <w:rPr>
                        <w:rFonts w:ascii="SimSun" w:eastAsia="SimSun" w:hAnsi="SimSun" w:cs="SimSun"/>
                        <w:spacing w:val="1"/>
                        <w:position w:val="5"/>
                        <w:sz w:val="20"/>
                        <w:szCs w:val="20"/>
                      </w:rPr>
                      <w:t>√</w:t>
                    </w:r>
                    <w:r>
                      <w:rPr>
                        <w:rFonts w:ascii="SimSun" w:eastAsia="SimSun" w:hAnsi="SimSun" w:cs="SimSun"/>
                        <w:spacing w:val="-10"/>
                        <w:position w:val="5"/>
                        <w:sz w:val="20"/>
                        <w:szCs w:val="20"/>
                      </w:rPr>
                      <w:t xml:space="preserve"> </w:t>
                    </w:r>
                    <w:r>
                      <w:rPr>
                        <w:rFonts w:ascii="SimHei" w:eastAsia="SimHei" w:hAnsi="SimHei" w:cs="SimHei"/>
                        <w:spacing w:val="1"/>
                        <w:position w:val="1"/>
                        <w:sz w:val="20"/>
                        <w:szCs w:val="20"/>
                      </w:rPr>
                      <w:t>术</w:t>
                    </w:r>
                    <w:r>
                      <w:rPr>
                        <w:rFonts w:ascii="SimHei" w:eastAsia="SimHei" w:hAnsi="SimHei" w:cs="SimHei"/>
                        <w:spacing w:val="-41"/>
                        <w:position w:val="1"/>
                        <w:sz w:val="20"/>
                        <w:szCs w:val="20"/>
                      </w:rPr>
                      <w:t xml:space="preserve"> </w:t>
                    </w:r>
                    <w:r>
                      <w:rPr>
                        <w:rFonts w:ascii="SimSun" w:eastAsia="SimSun" w:hAnsi="SimSun" w:cs="SimSun"/>
                        <w:spacing w:val="1"/>
                        <w:position w:val="1"/>
                        <w:sz w:val="20"/>
                        <w:szCs w:val="20"/>
                      </w:rPr>
                      <w:t>下</w:t>
                    </w:r>
                    <w:r>
                      <w:rPr>
                        <w:rFonts w:ascii="SimSun" w:eastAsia="SimSun" w:hAnsi="SimSun" w:cs="SimSun"/>
                        <w:spacing w:val="-22"/>
                        <w:position w:val="1"/>
                        <w:sz w:val="20"/>
                        <w:szCs w:val="20"/>
                      </w:rPr>
                      <w:t xml:space="preserve"> </w:t>
                    </w:r>
                    <w:r>
                      <w:rPr>
                        <w:rFonts w:ascii="SimHei" w:eastAsia="SimHei" w:hAnsi="SimHei" w:cs="SimHei"/>
                        <w:spacing w:val="1"/>
                        <w:position w:val="-3"/>
                        <w:sz w:val="20"/>
                        <w:szCs w:val="20"/>
                      </w:rPr>
                      <w:t>技</w:t>
                    </w:r>
                  </w:p>
                  <w:p>
                    <w:pPr>
                      <w:spacing w:before="140" w:line="173" w:lineRule="exact"/>
                      <w:ind w:right="20"/>
                      <w:jc w:val="right"/>
                      <w:rPr>
                        <w:rFonts w:ascii="SimHei" w:eastAsia="SimHei" w:hAnsi="SimHei" w:cs="SimHei"/>
                        <w:sz w:val="20"/>
                        <w:szCs w:val="20"/>
                      </w:rPr>
                    </w:pPr>
                    <w:r>
                      <w:rPr>
                        <w:rFonts w:ascii="SimHei" w:eastAsia="SimHei" w:hAnsi="SimHei" w:cs="SimHei"/>
                        <w:spacing w:val="2"/>
                        <w:position w:val="-1"/>
                        <w:sz w:val="20"/>
                        <w:szCs w:val="20"/>
                      </w:rPr>
                      <w:t>置</w:t>
                    </w:r>
                    <w:r>
                      <w:rPr>
                        <w:rFonts w:ascii="SimHei" w:eastAsia="SimHei" w:hAnsi="SimHei" w:cs="SimHei"/>
                        <w:spacing w:val="12"/>
                        <w:position w:val="-1"/>
                        <w:sz w:val="20"/>
                        <w:szCs w:val="20"/>
                      </w:rPr>
                      <w:t xml:space="preserve">   </w:t>
                    </w:r>
                    <w:r>
                      <w:rPr>
                        <w:rFonts w:ascii="SimHei" w:eastAsia="SimHei" w:hAnsi="SimHei" w:cs="SimHei"/>
                        <w:spacing w:val="2"/>
                        <w:position w:val="-3"/>
                        <w:sz w:val="20"/>
                        <w:szCs w:val="20"/>
                      </w:rPr>
                      <w:t>形</w:t>
                    </w:r>
                  </w:p>
                  <w:p>
                    <w:pPr>
                      <w:spacing w:line="152" w:lineRule="exact"/>
                      <w:ind w:left="309"/>
                      <w:rPr>
                        <w:rFonts w:ascii="SimHei" w:eastAsia="SimHei" w:hAnsi="SimHei" w:cs="SimHei"/>
                        <w:sz w:val="20"/>
                        <w:szCs w:val="20"/>
                      </w:rPr>
                    </w:pPr>
                    <w:r>
                      <w:rPr>
                        <w:rFonts w:ascii="SimHei" w:eastAsia="SimHei" w:hAnsi="SimHei" w:cs="SimHei"/>
                        <w:spacing w:val="2"/>
                        <w:position w:val="-2"/>
                        <w:sz w:val="20"/>
                        <w:szCs w:val="20"/>
                      </w:rPr>
                      <w:t>设</w:t>
                    </w:r>
                  </w:p>
                </w:txbxContent>
              </v:textbox>
            </v:shape>
            <v:shape id="_x0000_s1030" type="#_x0000_t202" style="width:729;height:530;left:939;position:absolute;top:879" filled="f" stroked="f">
              <o:lock v:ext="edit" aspectratio="f"/>
              <v:textbox inset="0,0,0,0">
                <w:txbxContent>
                  <w:p>
                    <w:pPr>
                      <w:spacing w:before="20" w:line="238" w:lineRule="auto"/>
                      <w:ind w:left="320"/>
                      <w:rPr>
                        <w:rFonts w:ascii="SimSun" w:eastAsia="SimSun" w:hAnsi="SimSun" w:cs="SimSun"/>
                        <w:sz w:val="14"/>
                        <w:szCs w:val="14"/>
                      </w:rPr>
                    </w:pPr>
                    <w:r>
                      <w:rPr>
                        <w:rFonts w:ascii="SimSun" w:eastAsia="SimSun" w:hAnsi="SimSun" w:cs="SimSun"/>
                        <w:sz w:val="14"/>
                        <w:szCs w:val="14"/>
                      </w:rPr>
                      <w:t>√</w:t>
                    </w:r>
                  </w:p>
                  <w:p>
                    <w:pPr>
                      <w:spacing w:before="106" w:line="222" w:lineRule="auto"/>
                      <w:jc w:val="right"/>
                      <w:rPr>
                        <w:rFonts w:ascii="SimHei" w:eastAsia="SimHei" w:hAnsi="SimHei" w:cs="SimHei"/>
                        <w:sz w:val="20"/>
                        <w:szCs w:val="20"/>
                      </w:rPr>
                    </w:pPr>
                    <w:r>
                      <w:rPr>
                        <w:rFonts w:ascii="SimHei" w:eastAsia="SimHei" w:hAnsi="SimHei" w:cs="SimHei"/>
                        <w:spacing w:val="-14"/>
                        <w:w w:val="92"/>
                        <w:sz w:val="20"/>
                        <w:szCs w:val="20"/>
                      </w:rPr>
                      <w:t>样地</w:t>
                    </w:r>
                    <w:r>
                      <w:rPr>
                        <w:rFonts w:ascii="SimHei" w:eastAsia="SimHei" w:hAnsi="SimHei" w:cs="SimHei"/>
                        <w:spacing w:val="-13"/>
                        <w:w w:val="92"/>
                        <w:sz w:val="20"/>
                        <w:szCs w:val="20"/>
                      </w:rPr>
                      <w:t>设</w:t>
                    </w:r>
                    <w:r>
                      <w:rPr>
                        <w:rFonts w:ascii="SimHei" w:eastAsia="SimHei" w:hAnsi="SimHei" w:cs="SimHei"/>
                        <w:spacing w:val="-11"/>
                        <w:w w:val="92"/>
                        <w:sz w:val="20"/>
                        <w:szCs w:val="20"/>
                      </w:rPr>
                      <w:t>计</w:t>
                    </w:r>
                  </w:p>
                </w:txbxContent>
              </v:textbox>
            </v:shape>
            <v:shape id="_x0000_s1031" type="#_x0000_t202" style="width:730;height:445;left:4749;position:absolute;top:957" filled="f" stroked="f">
              <o:lock v:ext="edit" aspectratio="f"/>
              <v:textbox inset="0,0,0,0">
                <w:txbxContent>
                  <w:p>
                    <w:pPr>
                      <w:spacing w:before="20" w:line="187" w:lineRule="auto"/>
                      <w:ind w:left="289"/>
                      <w:rPr>
                        <w:rFonts w:ascii="SimHei" w:eastAsia="SimHei" w:hAnsi="SimHei" w:cs="SimHei"/>
                        <w:sz w:val="20"/>
                        <w:szCs w:val="20"/>
                      </w:rPr>
                    </w:pPr>
                    <w:r>
                      <w:rPr>
                        <w:rFonts w:ascii="SimHei" w:eastAsia="SimHei" w:hAnsi="SimHei" w:cs="SimHei"/>
                        <w:sz w:val="20"/>
                        <w:szCs w:val="20"/>
                      </w:rPr>
                      <w:t>业</w:t>
                    </w:r>
                  </w:p>
                  <w:p>
                    <w:pPr>
                      <w:spacing w:line="223" w:lineRule="auto"/>
                      <w:jc w:val="right"/>
                      <w:rPr>
                        <w:rFonts w:ascii="SimHei" w:eastAsia="SimHei" w:hAnsi="SimHei" w:cs="SimHei"/>
                        <w:sz w:val="20"/>
                        <w:szCs w:val="20"/>
                      </w:rPr>
                    </w:pPr>
                    <w:r>
                      <w:rPr>
                        <w:rFonts w:ascii="SimHei" w:eastAsia="SimHei" w:hAnsi="SimHei" w:cs="SimHei"/>
                        <w:spacing w:val="-10"/>
                        <w:w w:val="91"/>
                        <w:sz w:val="20"/>
                        <w:szCs w:val="20"/>
                      </w:rPr>
                      <w:t>样地标定</w:t>
                    </w:r>
                  </w:p>
                </w:txbxContent>
              </v:textbox>
            </v:shape>
            <v:shape id="_x0000_s1032" type="#_x0000_t202" style="width:724;height:243;left:6722;position:absolute;top:1154" filled="f" stroked="f">
              <o:lock v:ext="edit" aspectratio="f"/>
              <v:textbox inset="0,0,0,0">
                <w:txbxContent>
                  <w:p>
                    <w:pPr>
                      <w:spacing w:before="19" w:line="222" w:lineRule="auto"/>
                      <w:jc w:val="right"/>
                      <w:rPr>
                        <w:rFonts w:ascii="SimHei" w:eastAsia="SimHei" w:hAnsi="SimHei" w:cs="SimHei"/>
                        <w:sz w:val="20"/>
                        <w:szCs w:val="20"/>
                      </w:rPr>
                    </w:pPr>
                    <w:r>
                      <w:rPr>
                        <w:rFonts w:ascii="SimHei" w:eastAsia="SimHei" w:hAnsi="SimHei" w:cs="SimHei"/>
                        <w:b/>
                        <w:bCs/>
                        <w:spacing w:val="-13"/>
                        <w:w w:val="90"/>
                        <w:sz w:val="20"/>
                        <w:szCs w:val="20"/>
                      </w:rPr>
                      <w:t>样地</w:t>
                    </w:r>
                    <w:r>
                      <w:rPr>
                        <w:rFonts w:ascii="SimHei" w:eastAsia="SimHei" w:hAnsi="SimHei" w:cs="SimHei"/>
                        <w:b/>
                        <w:bCs/>
                        <w:spacing w:val="-12"/>
                        <w:w w:val="90"/>
                        <w:sz w:val="20"/>
                        <w:szCs w:val="20"/>
                      </w:rPr>
                      <w:t>复</w:t>
                    </w:r>
                    <w:r>
                      <w:rPr>
                        <w:rFonts w:ascii="SimHei" w:eastAsia="SimHei" w:hAnsi="SimHei" w:cs="SimHei"/>
                        <w:b/>
                        <w:bCs/>
                        <w:spacing w:val="-10"/>
                        <w:w w:val="90"/>
                        <w:sz w:val="20"/>
                        <w:szCs w:val="20"/>
                      </w:rPr>
                      <w:t>位</w:t>
                    </w:r>
                  </w:p>
                </w:txbxContent>
              </v:textbox>
            </v:shape>
            <w10:wrap type="none"/>
          </v:group>
        </w:pict>
      </w:r>
    </w:p>
    <w:p>
      <w:pPr>
        <w:spacing w:line="285" w:lineRule="auto"/>
        <w:rPr>
          <w:rFonts w:ascii="Arial"/>
          <w:sz w:val="21"/>
        </w:rPr>
      </w:pPr>
    </w:p>
    <w:p>
      <w:pPr>
        <w:spacing w:before="65" w:line="219" w:lineRule="auto"/>
        <w:ind w:left="3036"/>
        <w:rPr>
          <w:rFonts w:ascii="SimHei" w:eastAsia="SimHei" w:hAnsi="SimHei" w:cs="SimHei"/>
          <w:sz w:val="20"/>
          <w:szCs w:val="20"/>
        </w:rPr>
      </w:pPr>
      <w:r>
        <w:rPr>
          <w:rFonts w:ascii="SimHei" w:eastAsia="SimHei" w:hAnsi="SimHei" w:cs="SimHei"/>
          <w:b/>
          <w:bCs/>
          <w:spacing w:val="11"/>
          <w:sz w:val="20"/>
          <w:szCs w:val="20"/>
        </w:rPr>
        <w:t>图1标准制订的技术路线</w:t>
      </w:r>
    </w:p>
    <w:p>
      <w:pPr>
        <w:spacing w:line="354" w:lineRule="auto"/>
        <w:rPr>
          <w:rFonts w:ascii="Arial"/>
          <w:sz w:val="21"/>
        </w:rPr>
      </w:pPr>
    </w:p>
    <w:p>
      <w:pPr>
        <w:spacing w:before="92" w:line="222" w:lineRule="auto"/>
        <w:ind w:left="7"/>
        <w:rPr>
          <w:rFonts w:ascii="SimHei" w:eastAsia="SimHei" w:hAnsi="SimHei" w:cs="SimHei"/>
          <w:sz w:val="28"/>
          <w:szCs w:val="28"/>
        </w:rPr>
      </w:pPr>
      <w:r>
        <w:rPr>
          <w:rFonts w:ascii="SimHei" w:eastAsia="SimHei" w:hAnsi="SimHei" w:cs="SimHei"/>
          <w:b/>
          <w:bCs/>
          <w:spacing w:val="-2"/>
          <w:sz w:val="28"/>
          <w:szCs w:val="28"/>
        </w:rPr>
        <w:t>5</w:t>
      </w:r>
      <w:r>
        <w:rPr>
          <w:rFonts w:ascii="SimHei" w:eastAsia="SimHei" w:hAnsi="SimHei" w:cs="SimHei"/>
          <w:spacing w:val="125"/>
          <w:sz w:val="28"/>
          <w:szCs w:val="28"/>
        </w:rPr>
        <w:t xml:space="preserve"> </w:t>
      </w:r>
      <w:r>
        <w:rPr>
          <w:rFonts w:ascii="SimHei" w:eastAsia="SimHei" w:hAnsi="SimHei" w:cs="SimHei"/>
          <w:b/>
          <w:bCs/>
          <w:spacing w:val="-2"/>
          <w:sz w:val="28"/>
          <w:szCs w:val="28"/>
        </w:rPr>
        <w:t>标准主要技术内容</w:t>
      </w:r>
    </w:p>
    <w:p>
      <w:pPr>
        <w:spacing w:line="344" w:lineRule="auto"/>
        <w:rPr>
          <w:rFonts w:ascii="Arial"/>
          <w:sz w:val="21"/>
        </w:rPr>
      </w:pPr>
    </w:p>
    <w:p>
      <w:pPr>
        <w:spacing w:before="66" w:line="223" w:lineRule="auto"/>
        <w:ind w:left="3"/>
        <w:rPr>
          <w:rFonts w:ascii="SimHei" w:eastAsia="SimHei" w:hAnsi="SimHei" w:cs="SimHei"/>
          <w:sz w:val="20"/>
          <w:szCs w:val="20"/>
        </w:rPr>
      </w:pPr>
      <w:r>
        <w:rPr>
          <w:rFonts w:ascii="SimHei" w:eastAsia="SimHei" w:hAnsi="SimHei" w:cs="SimHei"/>
          <w:spacing w:val="23"/>
          <w:sz w:val="20"/>
          <w:szCs w:val="20"/>
        </w:rPr>
        <w:t>5.1</w:t>
      </w:r>
      <w:r>
        <w:rPr>
          <w:rFonts w:ascii="SimHei" w:eastAsia="SimHei" w:hAnsi="SimHei" w:cs="SimHei"/>
          <w:spacing w:val="8"/>
          <w:sz w:val="20"/>
          <w:szCs w:val="20"/>
        </w:rPr>
        <w:t xml:space="preserve">   </w:t>
      </w:r>
      <w:r>
        <w:rPr>
          <w:rFonts w:ascii="SimHei" w:eastAsia="SimHei" w:hAnsi="SimHei" w:cs="SimHei"/>
          <w:b/>
          <w:bCs/>
          <w:spacing w:val="23"/>
          <w:sz w:val="20"/>
          <w:szCs w:val="20"/>
        </w:rPr>
        <w:t>标准适用范围</w:t>
      </w:r>
    </w:p>
    <w:p>
      <w:pPr>
        <w:pStyle w:val="BodyText"/>
        <w:spacing w:before="262" w:line="332" w:lineRule="auto"/>
        <w:ind w:left="3" w:right="184" w:firstLine="440"/>
        <w:jc w:val="both"/>
      </w:pPr>
      <w:r>
        <w:rPr>
          <w:spacing w:val="6"/>
        </w:rPr>
        <w:t>本标准规定了陆生维管植物多样性观测固定样地设计、布设、标定、复位与改设等内容</w:t>
      </w:r>
      <w:r>
        <w:rPr>
          <w:spacing w:val="11"/>
        </w:rPr>
        <w:t xml:space="preserve"> </w:t>
      </w:r>
      <w:r>
        <w:rPr>
          <w:spacing w:val="7"/>
        </w:rPr>
        <w:t>的技术要求和方法。本标准适用于中华人民共和国范围内县域陆生天然植被的样地建</w:t>
      </w:r>
      <w:r>
        <w:rPr>
          <w:spacing w:val="6"/>
        </w:rPr>
        <w:t>设。其</w:t>
      </w:r>
      <w:r>
        <w:t xml:space="preserve"> </w:t>
      </w:r>
      <w:r>
        <w:rPr>
          <w:spacing w:val="7"/>
        </w:rPr>
        <w:t>他观测范围或目的的样地建设可以参照本标准执行。本标准规定的观测单元是县域。</w:t>
      </w:r>
      <w:r>
        <w:rPr>
          <w:spacing w:val="6"/>
        </w:rPr>
        <w:t>《中华</w:t>
      </w:r>
      <w:r>
        <w:t xml:space="preserve"> </w:t>
      </w:r>
      <w:r>
        <w:rPr>
          <w:spacing w:val="7"/>
        </w:rPr>
        <w:t>人民共和国环境保护法》规定“县级以上地方人民政府环境保护主管部门，对本行政区</w:t>
      </w:r>
      <w:r>
        <w:rPr>
          <w:spacing w:val="6"/>
        </w:rPr>
        <w:t>域环</w:t>
      </w:r>
      <w:r>
        <w:t xml:space="preserve"> </w:t>
      </w:r>
      <w:r>
        <w:rPr>
          <w:spacing w:val="8"/>
        </w:rPr>
        <w:t>境保护工作实施统一监督管理”。生物多样性观测的</w:t>
      </w:r>
      <w:r>
        <w:rPr>
          <w:spacing w:val="7"/>
        </w:rPr>
        <w:t>目的是为了评估生物多样性现状和保护</w:t>
      </w:r>
      <w:r>
        <w:t xml:space="preserve"> </w:t>
      </w:r>
      <w:r>
        <w:rPr>
          <w:spacing w:val="7"/>
        </w:rPr>
        <w:t>成效，标准的实施是为了支撑各级生态环境部门开展的生物多样性观测工作，因此，应</w:t>
      </w:r>
      <w:r>
        <w:rPr>
          <w:spacing w:val="6"/>
        </w:rPr>
        <w:t>以行</w:t>
      </w:r>
      <w:r>
        <w:t xml:space="preserve"> </w:t>
      </w:r>
      <w:r>
        <w:rPr>
          <w:spacing w:val="7"/>
        </w:rPr>
        <w:t>政区域作为观测单元。此外，生态环境部已组织开展的生物多样性本底调查和观测及颁布的</w:t>
      </w:r>
    </w:p>
    <w:p>
      <w:pPr>
        <w:pStyle w:val="BodyText"/>
        <w:spacing w:line="218" w:lineRule="auto"/>
        <w:ind w:left="3"/>
        <w:sectPr>
          <w:footerReference w:type="default" r:id="rId13"/>
          <w:pgSz w:w="11910" w:h="16840"/>
          <w:pgMar w:top="1431" w:right="1630" w:bottom="1338" w:left="1786" w:header="0" w:footer="1199" w:gutter="0"/>
          <w:pgNumType w:start="9"/>
          <w:cols w:space="708"/>
        </w:sectPr>
      </w:pPr>
      <w:r>
        <w:rPr>
          <w:spacing w:val="7"/>
        </w:rPr>
        <w:t>技术规范均以县域为基本单元，本标准延续了该做法。</w:t>
      </w:r>
    </w:p>
    <w:p>
      <w:pPr>
        <w:pStyle w:val="BodyText"/>
        <w:spacing w:before="145" w:line="332" w:lineRule="auto"/>
        <w:ind w:left="3" w:right="160" w:firstLine="440"/>
        <w:jc w:val="both"/>
      </w:pPr>
      <w:r>
        <w:rPr>
          <w:spacing w:val="7"/>
        </w:rPr>
        <w:t>本标准规定的观测对象是陆生天然植被。与人工植被相比，天然植被具有丰富的生物多</w:t>
      </w:r>
      <w:r>
        <w:rPr>
          <w:spacing w:val="1"/>
        </w:rPr>
        <w:t xml:space="preserve"> </w:t>
      </w:r>
      <w:r>
        <w:rPr>
          <w:spacing w:val="8"/>
        </w:rPr>
        <w:t xml:space="preserve">样性，是我国生物多样性保护的重点对象。人工植被，在其经营目的、生态学特点等方面， </w:t>
      </w:r>
      <w:r>
        <w:rPr>
          <w:spacing w:val="7"/>
        </w:rPr>
        <w:t>不是以维持生物多样性为主要目的，也难以准确反映当地的生物多样性状况，因此不将其作</w:t>
      </w:r>
      <w:r>
        <w:rPr>
          <w:spacing w:val="2"/>
        </w:rPr>
        <w:t xml:space="preserve"> </w:t>
      </w:r>
      <w:r>
        <w:rPr>
          <w:spacing w:val="12"/>
        </w:rPr>
        <w:t>为观测对象。考虑到《生物多样性观测技术导则水生维管植物》对水生维管植物样地已经</w:t>
      </w:r>
    </w:p>
    <w:p>
      <w:pPr>
        <w:pStyle w:val="BodyText"/>
        <w:spacing w:before="1" w:line="218" w:lineRule="auto"/>
        <w:ind w:left="3"/>
      </w:pPr>
      <w:r>
        <w:rPr>
          <w:spacing w:val="6"/>
        </w:rPr>
        <w:t>做出了较明确的规定，本标准不再另行规定。</w:t>
      </w:r>
    </w:p>
    <w:p>
      <w:pPr>
        <w:spacing w:line="218" w:lineRule="auto"/>
        <w:sectPr>
          <w:footerReference w:type="default" r:id="rId14"/>
          <w:type w:val="nextPage"/>
          <w:pgSz w:w="11910" w:h="16840"/>
          <w:pgMar w:top="1431" w:right="1630" w:bottom="1338" w:left="1786" w:header="0" w:footer="1199" w:gutter="0"/>
          <w:pgNumType w:start="10"/>
          <w:cols w:space="708"/>
          <w:titlePg w:val="0"/>
        </w:sectPr>
      </w:pPr>
    </w:p>
    <w:p>
      <w:pPr>
        <w:pStyle w:val="BodyText"/>
        <w:spacing w:before="117" w:line="280" w:lineRule="auto"/>
        <w:ind w:left="59" w:right="84" w:firstLine="382"/>
      </w:pPr>
      <w:r>
        <w:rPr>
          <w:spacing w:val="7"/>
        </w:rPr>
        <w:t>为了发挥本标准对其他植物多样性观测的指导作用，本标准同时规定“其他观测范围或</w:t>
      </w:r>
      <w:r>
        <w:rPr>
          <w:spacing w:val="13"/>
        </w:rPr>
        <w:t xml:space="preserve"> </w:t>
      </w:r>
      <w:r>
        <w:rPr>
          <w:spacing w:val="1"/>
        </w:rPr>
        <w:t>目的的样地建设可以参照本标准执行</w:t>
      </w:r>
      <w:r>
        <w:rPr>
          <w:spacing w:val="-63"/>
        </w:rPr>
        <w:t xml:space="preserve"> </w:t>
      </w:r>
      <w:r>
        <w:rPr>
          <w:spacing w:val="1"/>
        </w:rPr>
        <w:t>”，使标准具有更强的实用性。。</w:t>
      </w:r>
    </w:p>
    <w:p>
      <w:pPr>
        <w:spacing w:before="242" w:line="222" w:lineRule="auto"/>
        <w:ind w:left="15"/>
        <w:rPr>
          <w:rFonts w:ascii="SimHei" w:eastAsia="SimHei" w:hAnsi="SimHei" w:cs="SimHei"/>
          <w:sz w:val="24"/>
          <w:szCs w:val="24"/>
        </w:rPr>
      </w:pPr>
      <w:r>
        <w:rPr>
          <w:rFonts w:ascii="SimHei" w:eastAsia="SimHei" w:hAnsi="SimHei" w:cs="SimHei"/>
          <w:spacing w:val="-2"/>
          <w:sz w:val="24"/>
          <w:szCs w:val="24"/>
        </w:rPr>
        <w:t>5.2</w:t>
      </w:r>
      <w:r>
        <w:rPr>
          <w:rFonts w:ascii="SimHei" w:eastAsia="SimHei" w:hAnsi="SimHei" w:cs="SimHei"/>
          <w:spacing w:val="31"/>
          <w:sz w:val="24"/>
          <w:szCs w:val="24"/>
        </w:rPr>
        <w:t xml:space="preserve">  </w:t>
      </w:r>
      <w:r>
        <w:rPr>
          <w:rFonts w:ascii="SimHei" w:eastAsia="SimHei" w:hAnsi="SimHei" w:cs="SimHei"/>
          <w:spacing w:val="-2"/>
          <w:sz w:val="24"/>
          <w:szCs w:val="24"/>
        </w:rPr>
        <w:t>规范性引用文件</w:t>
      </w:r>
    </w:p>
    <w:p>
      <w:pPr>
        <w:pStyle w:val="BodyText"/>
        <w:spacing w:before="256" w:line="311" w:lineRule="auto"/>
        <w:ind w:left="20" w:firstLine="420"/>
        <w:jc w:val="both"/>
      </w:pPr>
      <w:r>
        <w:rPr>
          <w:spacing w:val="7"/>
        </w:rPr>
        <w:t>本标准在技术方面主要引用</w:t>
      </w:r>
      <w:r>
        <w:rPr>
          <w:spacing w:val="-38"/>
        </w:rPr>
        <w:t xml:space="preserve"> </w:t>
      </w:r>
      <w:r>
        <w:rPr>
          <w:rFonts w:ascii="Times New Roman" w:eastAsia="Times New Roman" w:hAnsi="Times New Roman" w:cs="Times New Roman"/>
          <w:spacing w:val="7"/>
        </w:rPr>
        <w:t>5</w:t>
      </w:r>
      <w:r>
        <w:rPr>
          <w:rFonts w:ascii="Times New Roman" w:eastAsia="Times New Roman" w:hAnsi="Times New Roman" w:cs="Times New Roman"/>
          <w:spacing w:val="16"/>
        </w:rPr>
        <w:t xml:space="preserve"> </w:t>
      </w:r>
      <w:r>
        <w:rPr>
          <w:spacing w:val="7"/>
        </w:rPr>
        <w:t>项文件。在群落调查技术方</w:t>
      </w:r>
      <w:r>
        <w:rPr>
          <w:spacing w:val="6"/>
        </w:rPr>
        <w:t>面，引用了《生物多样性观测</w:t>
      </w:r>
      <w:r>
        <w:t xml:space="preserve">  </w:t>
      </w:r>
      <w:r>
        <w:rPr>
          <w:spacing w:val="2"/>
        </w:rPr>
        <w:t>技术导则</w:t>
      </w:r>
      <w:r>
        <w:rPr>
          <w:spacing w:val="26"/>
        </w:rPr>
        <w:t xml:space="preserve"> </w:t>
      </w:r>
      <w:r>
        <w:rPr>
          <w:spacing w:val="2"/>
        </w:rPr>
        <w:t>陆生维管植物》（</w:t>
      </w:r>
      <w:r>
        <w:rPr>
          <w:rFonts w:ascii="Times New Roman" w:eastAsia="Times New Roman" w:hAnsi="Times New Roman" w:cs="Times New Roman"/>
        </w:rPr>
        <w:t>HJ</w:t>
      </w:r>
      <w:r>
        <w:rPr>
          <w:rFonts w:ascii="Times New Roman" w:eastAsia="Times New Roman" w:hAnsi="Times New Roman" w:cs="Times New Roman"/>
          <w:spacing w:val="2"/>
        </w:rPr>
        <w:t>710.</w:t>
      </w:r>
      <w:r>
        <w:rPr>
          <w:rFonts w:ascii="Times New Roman" w:eastAsia="Times New Roman" w:hAnsi="Times New Roman" w:cs="Times New Roman"/>
          <w:spacing w:val="-25"/>
        </w:rPr>
        <w:t xml:space="preserve"> </w:t>
      </w:r>
      <w:r>
        <w:rPr>
          <w:rFonts w:ascii="Times New Roman" w:eastAsia="Times New Roman" w:hAnsi="Times New Roman" w:cs="Times New Roman"/>
          <w:spacing w:val="2"/>
        </w:rPr>
        <w:t>1</w:t>
      </w:r>
      <w:r>
        <w:rPr>
          <w:spacing w:val="2"/>
        </w:rPr>
        <w:t>）《县域陆生高等植物多样性调查与</w:t>
      </w:r>
      <w:r>
        <w:rPr>
          <w:spacing w:val="1"/>
        </w:rPr>
        <w:t>评估技术规定》（环</w:t>
      </w:r>
      <w:r>
        <w:t xml:space="preserve">  </w:t>
      </w:r>
      <w:r>
        <w:rPr>
          <w:spacing w:val="1"/>
        </w:rPr>
        <w:t>境保护部公告</w:t>
      </w:r>
      <w:r>
        <w:rPr>
          <w:rFonts w:ascii="Times New Roman" w:eastAsia="Times New Roman" w:hAnsi="Times New Roman" w:cs="Times New Roman"/>
          <w:spacing w:val="1"/>
        </w:rPr>
        <w:t xml:space="preserve">2017 </w:t>
      </w:r>
      <w:r>
        <w:rPr>
          <w:spacing w:val="1"/>
        </w:rPr>
        <w:t>年第</w:t>
      </w:r>
      <w:r>
        <w:rPr>
          <w:spacing w:val="-53"/>
        </w:rPr>
        <w:t xml:space="preserve"> </w:t>
      </w:r>
      <w:r>
        <w:rPr>
          <w:rFonts w:ascii="Times New Roman" w:eastAsia="Times New Roman" w:hAnsi="Times New Roman" w:cs="Times New Roman"/>
          <w:spacing w:val="1"/>
        </w:rPr>
        <w:t xml:space="preserve">84 </w:t>
      </w:r>
      <w:r>
        <w:rPr>
          <w:spacing w:val="1"/>
        </w:rPr>
        <w:t>号</w:t>
      </w:r>
      <w:r>
        <w:rPr>
          <w:spacing w:val="-39"/>
          <w:w w:val="74"/>
        </w:rPr>
        <w:t>），</w:t>
      </w:r>
      <w:r>
        <w:rPr>
          <w:spacing w:val="1"/>
        </w:rPr>
        <w:t>在测量技</w:t>
      </w:r>
      <w:r>
        <w:t>术方面，引用了《全球定位系统实时动态测量（</w:t>
      </w:r>
      <w:r>
        <w:rPr>
          <w:rFonts w:ascii="Times New Roman" w:eastAsia="Times New Roman" w:hAnsi="Times New Roman" w:cs="Times New Roman"/>
        </w:rPr>
        <w:t>RTK</w:t>
      </w:r>
      <w:r>
        <w:t xml:space="preserve">） </w:t>
      </w:r>
      <w:r>
        <w:rPr>
          <w:spacing w:val="4"/>
        </w:rPr>
        <w:t>技术规范》（</w:t>
      </w:r>
      <w:r>
        <w:rPr>
          <w:rFonts w:ascii="Times New Roman" w:eastAsia="Times New Roman" w:hAnsi="Times New Roman" w:cs="Times New Roman"/>
        </w:rPr>
        <w:t>CH</w:t>
      </w:r>
      <w:r>
        <w:rPr>
          <w:rFonts w:ascii="Times New Roman" w:eastAsia="Times New Roman" w:hAnsi="Times New Roman" w:cs="Times New Roman"/>
          <w:spacing w:val="4"/>
        </w:rPr>
        <w:t>/T2009</w:t>
      </w:r>
      <w:r>
        <w:rPr>
          <w:spacing w:val="4"/>
        </w:rPr>
        <w:t>）和《工程测量规范</w:t>
      </w:r>
      <w:r>
        <w:rPr>
          <w:spacing w:val="3"/>
        </w:rPr>
        <w:t>》（</w:t>
      </w:r>
      <w:r>
        <w:rPr>
          <w:rFonts w:ascii="Times New Roman" w:eastAsia="Times New Roman" w:hAnsi="Times New Roman" w:cs="Times New Roman"/>
        </w:rPr>
        <w:t>GB</w:t>
      </w:r>
      <w:r>
        <w:rPr>
          <w:rFonts w:ascii="Times New Roman" w:eastAsia="Times New Roman" w:hAnsi="Times New Roman" w:cs="Times New Roman"/>
          <w:spacing w:val="3"/>
        </w:rPr>
        <w:t>50026</w:t>
      </w:r>
      <w:r>
        <w:rPr>
          <w:spacing w:val="-41"/>
        </w:rPr>
        <w:t>），</w:t>
      </w:r>
      <w:r>
        <w:rPr>
          <w:spacing w:val="3"/>
        </w:rPr>
        <w:t>在样地编号方面，引用了《中华</w:t>
      </w:r>
      <w:r>
        <w:t xml:space="preserve">  </w:t>
      </w:r>
      <w:r>
        <w:rPr>
          <w:spacing w:val="-1"/>
        </w:rPr>
        <w:t>人民共和国行政区划代码》（</w:t>
      </w:r>
      <w:r>
        <w:rPr>
          <w:rFonts w:ascii="Times New Roman" w:eastAsia="Times New Roman" w:hAnsi="Times New Roman" w:cs="Times New Roman"/>
          <w:spacing w:val="-1"/>
        </w:rPr>
        <w:t>GB/T2260</w:t>
      </w:r>
      <w:r>
        <w:rPr>
          <w:spacing w:val="-1"/>
        </w:rPr>
        <w:t>）。</w:t>
      </w:r>
    </w:p>
    <w:p>
      <w:pPr>
        <w:spacing w:before="243" w:line="222" w:lineRule="auto"/>
        <w:ind w:left="15"/>
        <w:rPr>
          <w:rFonts w:ascii="SimHei" w:eastAsia="SimHei" w:hAnsi="SimHei" w:cs="SimHei"/>
          <w:sz w:val="24"/>
          <w:szCs w:val="24"/>
        </w:rPr>
      </w:pPr>
      <w:r>
        <w:rPr>
          <w:rFonts w:ascii="SimHei" w:eastAsia="SimHei" w:hAnsi="SimHei" w:cs="SimHei"/>
          <w:spacing w:val="-3"/>
          <w:sz w:val="24"/>
          <w:szCs w:val="24"/>
        </w:rPr>
        <w:t>5.3</w:t>
      </w:r>
      <w:r>
        <w:rPr>
          <w:rFonts w:ascii="SimHei" w:eastAsia="SimHei" w:hAnsi="SimHei" w:cs="SimHei"/>
          <w:spacing w:val="29"/>
          <w:sz w:val="24"/>
          <w:szCs w:val="24"/>
        </w:rPr>
        <w:t xml:space="preserve">  </w:t>
      </w:r>
      <w:r>
        <w:rPr>
          <w:rFonts w:ascii="SimHei" w:eastAsia="SimHei" w:hAnsi="SimHei" w:cs="SimHei"/>
          <w:spacing w:val="-3"/>
          <w:sz w:val="24"/>
          <w:szCs w:val="24"/>
        </w:rPr>
        <w:t>术语</w:t>
      </w:r>
    </w:p>
    <w:p>
      <w:pPr>
        <w:pStyle w:val="BodyText"/>
        <w:spacing w:before="254" w:line="306" w:lineRule="auto"/>
        <w:ind w:left="19" w:right="84" w:firstLine="421"/>
        <w:jc w:val="both"/>
      </w:pPr>
      <w:r>
        <w:rPr>
          <w:spacing w:val="7"/>
        </w:rPr>
        <w:t>本标准主要涉及</w:t>
      </w:r>
      <w:r>
        <w:rPr>
          <w:spacing w:val="-37"/>
        </w:rPr>
        <w:t xml:space="preserve"> </w:t>
      </w:r>
      <w:r>
        <w:rPr>
          <w:rFonts w:ascii="Times New Roman" w:eastAsia="Times New Roman" w:hAnsi="Times New Roman" w:cs="Times New Roman"/>
          <w:spacing w:val="7"/>
        </w:rPr>
        <w:t xml:space="preserve">5 </w:t>
      </w:r>
      <w:r>
        <w:rPr>
          <w:spacing w:val="7"/>
        </w:rPr>
        <w:t>个术语。关于植被型，本标准采用《中国植被》的划分方</w:t>
      </w:r>
      <w:r>
        <w:rPr>
          <w:spacing w:val="6"/>
        </w:rPr>
        <w:t>法。本标准</w:t>
      </w:r>
      <w:r>
        <w:t xml:space="preserve"> </w:t>
      </w:r>
      <w:r>
        <w:rPr>
          <w:spacing w:val="8"/>
        </w:rPr>
        <w:t>还参考了《陆地生物群落调查观测与分析》（董鸣</w:t>
      </w:r>
      <w:r>
        <w:rPr>
          <w:spacing w:val="7"/>
        </w:rPr>
        <w:t>主编）和《环境科学大辞典》等专著中的</w:t>
      </w:r>
      <w:r>
        <w:t xml:space="preserve"> </w:t>
      </w:r>
      <w:r>
        <w:t>相关内容，规定了样地设置环节中需要明确界定的“样地</w:t>
      </w:r>
      <w:r>
        <w:rPr>
          <w:spacing w:val="-72"/>
        </w:rPr>
        <w:t xml:space="preserve"> </w:t>
      </w:r>
      <w:r>
        <w:t>”</w:t>
      </w:r>
      <w:r>
        <w:rPr>
          <w:spacing w:val="-1"/>
        </w:rPr>
        <w:t>“样方</w:t>
      </w:r>
      <w:r>
        <w:rPr>
          <w:spacing w:val="-73"/>
        </w:rPr>
        <w:t xml:space="preserve"> </w:t>
      </w:r>
      <w:r>
        <w:rPr>
          <w:spacing w:val="-1"/>
        </w:rPr>
        <w:t>”“放样</w:t>
      </w:r>
      <w:r>
        <w:rPr>
          <w:spacing w:val="-70"/>
        </w:rPr>
        <w:t xml:space="preserve"> </w:t>
      </w:r>
      <w:r>
        <w:rPr>
          <w:spacing w:val="-1"/>
        </w:rPr>
        <w:t>”“样地复位</w:t>
      </w:r>
      <w:r>
        <w:rPr>
          <w:spacing w:val="-70"/>
        </w:rPr>
        <w:t xml:space="preserve"> </w:t>
      </w:r>
      <w:r>
        <w:rPr>
          <w:spacing w:val="-1"/>
        </w:rPr>
        <w:t>”等</w:t>
      </w:r>
      <w:r>
        <w:t xml:space="preserve"> </w:t>
      </w:r>
      <w:r>
        <w:rPr>
          <w:spacing w:val="6"/>
        </w:rPr>
        <w:t>重要术语。</w:t>
      </w:r>
    </w:p>
    <w:p>
      <w:pPr>
        <w:spacing w:before="242" w:line="222" w:lineRule="auto"/>
        <w:ind w:left="15"/>
        <w:rPr>
          <w:rFonts w:ascii="SimHei" w:eastAsia="SimHei" w:hAnsi="SimHei" w:cs="SimHei"/>
          <w:sz w:val="24"/>
          <w:szCs w:val="24"/>
        </w:rPr>
      </w:pPr>
      <w:r>
        <w:rPr>
          <w:rFonts w:ascii="SimHei" w:eastAsia="SimHei" w:hAnsi="SimHei" w:cs="SimHei"/>
          <w:spacing w:val="-2"/>
          <w:sz w:val="24"/>
          <w:szCs w:val="24"/>
        </w:rPr>
        <w:t>5.4</w:t>
      </w:r>
      <w:r>
        <w:rPr>
          <w:rFonts w:ascii="SimHei" w:eastAsia="SimHei" w:hAnsi="SimHei" w:cs="SimHei"/>
          <w:spacing w:val="31"/>
          <w:sz w:val="24"/>
          <w:szCs w:val="24"/>
        </w:rPr>
        <w:t xml:space="preserve">  </w:t>
      </w:r>
      <w:r>
        <w:rPr>
          <w:rFonts w:ascii="SimHei" w:eastAsia="SimHei" w:hAnsi="SimHei" w:cs="SimHei"/>
          <w:spacing w:val="-2"/>
          <w:sz w:val="24"/>
          <w:szCs w:val="24"/>
        </w:rPr>
        <w:t>选择样地的原则</w:t>
      </w:r>
    </w:p>
    <w:p>
      <w:pPr>
        <w:spacing w:before="254" w:line="231" w:lineRule="auto"/>
        <w:ind w:left="15"/>
        <w:rPr>
          <w:rFonts w:ascii="SimHei" w:eastAsia="SimHei" w:hAnsi="SimHei" w:cs="SimHei"/>
          <w:sz w:val="20"/>
          <w:szCs w:val="20"/>
        </w:rPr>
      </w:pPr>
      <w:r>
        <w:rPr>
          <w:rFonts w:ascii="SimHei" w:eastAsia="SimHei" w:hAnsi="SimHei" w:cs="SimHei"/>
          <w:spacing w:val="5"/>
          <w:sz w:val="20"/>
          <w:szCs w:val="20"/>
        </w:rPr>
        <w:t>5.4.1</w:t>
      </w:r>
      <w:r>
        <w:rPr>
          <w:rFonts w:ascii="SimHei" w:eastAsia="SimHei" w:hAnsi="SimHei" w:cs="SimHei"/>
          <w:spacing w:val="-40"/>
          <w:sz w:val="20"/>
          <w:szCs w:val="20"/>
        </w:rPr>
        <w:t xml:space="preserve"> </w:t>
      </w:r>
      <w:r>
        <w:rPr>
          <w:rFonts w:ascii="SimHei" w:eastAsia="SimHei" w:hAnsi="SimHei" w:cs="SimHei"/>
          <w:spacing w:val="5"/>
          <w:sz w:val="20"/>
          <w:szCs w:val="20"/>
        </w:rPr>
        <w:t>代表性</w:t>
      </w:r>
    </w:p>
    <w:p>
      <w:pPr>
        <w:pStyle w:val="BodyText"/>
        <w:spacing w:before="110" w:line="280" w:lineRule="auto"/>
        <w:ind w:left="25" w:right="84" w:firstLine="413"/>
      </w:pPr>
      <w:r>
        <w:rPr>
          <w:spacing w:val="7"/>
        </w:rPr>
        <w:t>样地的植物群落应当是所调查区域较为典型的植被类型，避免选在两种植被类型的过渡</w:t>
      </w:r>
      <w:r>
        <w:rPr>
          <w:spacing w:val="16"/>
        </w:rPr>
        <w:t xml:space="preserve"> </w:t>
      </w:r>
      <w:r>
        <w:rPr>
          <w:spacing w:val="8"/>
        </w:rPr>
        <w:t>带，能够进行科学系统的观测研究。</w:t>
      </w:r>
    </w:p>
    <w:p>
      <w:pPr>
        <w:spacing w:before="114" w:line="231" w:lineRule="auto"/>
        <w:ind w:left="15"/>
        <w:rPr>
          <w:rFonts w:ascii="SimHei" w:eastAsia="SimHei" w:hAnsi="SimHei" w:cs="SimHei"/>
          <w:sz w:val="20"/>
          <w:szCs w:val="20"/>
        </w:rPr>
      </w:pPr>
      <w:r>
        <w:rPr>
          <w:rFonts w:ascii="SimHei" w:eastAsia="SimHei" w:hAnsi="SimHei" w:cs="SimHei"/>
          <w:spacing w:val="4"/>
          <w:sz w:val="20"/>
          <w:szCs w:val="20"/>
        </w:rPr>
        <w:t>5.4.2</w:t>
      </w:r>
      <w:r>
        <w:rPr>
          <w:rFonts w:ascii="SimHei" w:eastAsia="SimHei" w:hAnsi="SimHei" w:cs="SimHei"/>
          <w:spacing w:val="-32"/>
          <w:sz w:val="20"/>
          <w:szCs w:val="20"/>
        </w:rPr>
        <w:t xml:space="preserve"> </w:t>
      </w:r>
      <w:r>
        <w:rPr>
          <w:rFonts w:ascii="SimHei" w:eastAsia="SimHei" w:hAnsi="SimHei" w:cs="SimHei"/>
          <w:spacing w:val="4"/>
          <w:sz w:val="20"/>
          <w:szCs w:val="20"/>
        </w:rPr>
        <w:t>长期性</w:t>
      </w:r>
    </w:p>
    <w:p>
      <w:pPr>
        <w:pStyle w:val="BodyText"/>
        <w:spacing w:before="109" w:line="227" w:lineRule="auto"/>
        <w:ind w:left="439"/>
      </w:pPr>
      <w:r>
        <w:rPr>
          <w:spacing w:val="9"/>
        </w:rPr>
        <w:t>样地的植物群落应较为稳定，潜在干扰小，适合长期开展观测研究。</w:t>
      </w:r>
    </w:p>
    <w:p>
      <w:pPr>
        <w:spacing w:before="115" w:line="230" w:lineRule="auto"/>
        <w:ind w:left="15"/>
        <w:rPr>
          <w:rFonts w:ascii="SimHei" w:eastAsia="SimHei" w:hAnsi="SimHei" w:cs="SimHei"/>
          <w:sz w:val="20"/>
          <w:szCs w:val="20"/>
        </w:rPr>
      </w:pPr>
      <w:r>
        <w:rPr>
          <w:rFonts w:ascii="SimHei" w:eastAsia="SimHei" w:hAnsi="SimHei" w:cs="SimHei"/>
          <w:spacing w:val="5"/>
          <w:sz w:val="20"/>
          <w:szCs w:val="20"/>
        </w:rPr>
        <w:t>5.4.3</w:t>
      </w:r>
      <w:r>
        <w:rPr>
          <w:rFonts w:ascii="SimHei" w:eastAsia="SimHei" w:hAnsi="SimHei" w:cs="SimHei"/>
          <w:spacing w:val="-36"/>
          <w:sz w:val="20"/>
          <w:szCs w:val="20"/>
        </w:rPr>
        <w:t xml:space="preserve"> </w:t>
      </w:r>
      <w:r>
        <w:rPr>
          <w:rFonts w:ascii="SimHei" w:eastAsia="SimHei" w:hAnsi="SimHei" w:cs="SimHei"/>
          <w:spacing w:val="5"/>
          <w:sz w:val="20"/>
          <w:szCs w:val="20"/>
        </w:rPr>
        <w:t>可操作性</w:t>
      </w:r>
    </w:p>
    <w:p>
      <w:pPr>
        <w:pStyle w:val="BodyText"/>
        <w:spacing w:before="110" w:line="228" w:lineRule="auto"/>
        <w:ind w:right="3"/>
        <w:jc w:val="right"/>
      </w:pPr>
      <w:r>
        <w:rPr>
          <w:spacing w:val="7"/>
        </w:rPr>
        <w:t>样地应建立在交通相对便利的地段，其地形不宜过于陡峭复杂（坡度一般不超过</w:t>
      </w:r>
      <w:r>
        <w:rPr>
          <w:spacing w:val="-27"/>
        </w:rPr>
        <w:t xml:space="preserve"> </w:t>
      </w:r>
      <w:r>
        <w:rPr>
          <w:rFonts w:ascii="Times New Roman" w:eastAsia="Times New Roman" w:hAnsi="Times New Roman" w:cs="Times New Roman"/>
          <w:spacing w:val="7"/>
        </w:rPr>
        <w:t>40°</w:t>
      </w:r>
      <w:r>
        <w:rPr>
          <w:rFonts w:ascii="Times New Roman" w:eastAsia="Times New Roman" w:hAnsi="Times New Roman" w:cs="Times New Roman"/>
          <w:spacing w:val="-19"/>
        </w:rPr>
        <w:t xml:space="preserve"> </w:t>
      </w:r>
      <w:r>
        <w:rPr>
          <w:spacing w:val="7"/>
        </w:rPr>
        <w:t>)。</w:t>
      </w:r>
    </w:p>
    <w:p>
      <w:pPr>
        <w:spacing w:before="242" w:line="222" w:lineRule="auto"/>
        <w:ind w:left="15"/>
        <w:rPr>
          <w:rFonts w:ascii="SimHei" w:eastAsia="SimHei" w:hAnsi="SimHei" w:cs="SimHei"/>
          <w:sz w:val="24"/>
          <w:szCs w:val="24"/>
        </w:rPr>
      </w:pPr>
      <w:r>
        <w:rPr>
          <w:rFonts w:ascii="SimHei" w:eastAsia="SimHei" w:hAnsi="SimHei" w:cs="SimHei"/>
          <w:spacing w:val="-2"/>
          <w:sz w:val="24"/>
          <w:szCs w:val="24"/>
        </w:rPr>
        <w:t>5.5</w:t>
      </w:r>
      <w:r>
        <w:rPr>
          <w:rFonts w:ascii="SimHei" w:eastAsia="SimHei" w:hAnsi="SimHei" w:cs="SimHei"/>
          <w:spacing w:val="28"/>
          <w:sz w:val="24"/>
          <w:szCs w:val="24"/>
        </w:rPr>
        <w:t xml:space="preserve">  </w:t>
      </w:r>
      <w:r>
        <w:rPr>
          <w:rFonts w:ascii="SimHei" w:eastAsia="SimHei" w:hAnsi="SimHei" w:cs="SimHei"/>
          <w:spacing w:val="-2"/>
          <w:sz w:val="24"/>
          <w:szCs w:val="24"/>
        </w:rPr>
        <w:t>样地设计</w:t>
      </w:r>
    </w:p>
    <w:p>
      <w:pPr>
        <w:pStyle w:val="BodyText"/>
        <w:spacing w:before="255" w:line="227" w:lineRule="auto"/>
        <w:jc w:val="right"/>
      </w:pPr>
      <w:r>
        <w:rPr>
          <w:spacing w:val="4"/>
        </w:rPr>
        <w:t>样地设计的目的是确定样地的分布、数量、面积、形状，样方的布局、划分等</w:t>
      </w:r>
      <w:r>
        <w:rPr>
          <w:spacing w:val="3"/>
        </w:rPr>
        <w:t>技术指标。</w:t>
      </w:r>
    </w:p>
    <w:p>
      <w:pPr>
        <w:pStyle w:val="BodyText"/>
        <w:spacing w:before="110" w:line="321" w:lineRule="auto"/>
        <w:ind w:left="16" w:right="84" w:firstLine="427"/>
        <w:sectPr>
          <w:footerReference w:type="default" r:id="rId15"/>
          <w:pgSz w:w="11906" w:h="16839"/>
          <w:pgMar w:top="1431" w:right="1712" w:bottom="1360" w:left="1785" w:header="0" w:footer="1200" w:gutter="0"/>
          <w:pgNumType w:start="11"/>
          <w:cols w:space="708"/>
        </w:sectPr>
      </w:pPr>
      <w:r>
        <w:rPr>
          <w:spacing w:val="7"/>
        </w:rPr>
        <w:t>如前所述，本标准以县域为观测基本单元的原因详见</w:t>
      </w:r>
      <w:r>
        <w:rPr>
          <w:spacing w:val="-27"/>
        </w:rPr>
        <w:t xml:space="preserve"> </w:t>
      </w:r>
      <w:r>
        <w:rPr>
          <w:rFonts w:ascii="Times New Roman" w:eastAsia="Times New Roman" w:hAnsi="Times New Roman" w:cs="Times New Roman"/>
          <w:spacing w:val="7"/>
        </w:rPr>
        <w:t>5.</w:t>
      </w:r>
      <w:r>
        <w:rPr>
          <w:rFonts w:ascii="Times New Roman" w:eastAsia="Times New Roman" w:hAnsi="Times New Roman" w:cs="Times New Roman"/>
          <w:spacing w:val="-25"/>
        </w:rPr>
        <w:t xml:space="preserve"> </w:t>
      </w:r>
      <w:r>
        <w:rPr>
          <w:rFonts w:ascii="Times New Roman" w:eastAsia="Times New Roman" w:hAnsi="Times New Roman" w:cs="Times New Roman"/>
          <w:spacing w:val="7"/>
        </w:rPr>
        <w:t xml:space="preserve">1 </w:t>
      </w:r>
      <w:r>
        <w:rPr>
          <w:spacing w:val="7"/>
        </w:rPr>
        <w:t>适用范围，参照《县域陆生高</w:t>
      </w:r>
      <w:r>
        <w:t xml:space="preserve"> </w:t>
      </w:r>
      <w:r>
        <w:rPr>
          <w:spacing w:val="7"/>
        </w:rPr>
        <w:t>等植物多样性调查与评估技术规定》附录</w:t>
      </w:r>
      <w:r>
        <w:rPr>
          <w:spacing w:val="-38"/>
        </w:rPr>
        <w:t xml:space="preserve"> </w:t>
      </w:r>
      <w:r>
        <w:rPr>
          <w:rFonts w:ascii="Times New Roman" w:eastAsia="Times New Roman" w:hAnsi="Times New Roman" w:cs="Times New Roman"/>
          <w:spacing w:val="7"/>
        </w:rPr>
        <w:t>B</w:t>
      </w:r>
      <w:r>
        <w:rPr>
          <w:spacing w:val="7"/>
        </w:rPr>
        <w:t>“全国生物多样性调查网格设置</w:t>
      </w:r>
      <w:r>
        <w:rPr>
          <w:spacing w:val="-72"/>
        </w:rPr>
        <w:t xml:space="preserve"> </w:t>
      </w:r>
      <w:r>
        <w:rPr>
          <w:spacing w:val="7"/>
        </w:rPr>
        <w:t>”将县域划分为</w:t>
      </w:r>
      <w:r>
        <w:t xml:space="preserve"> </w:t>
      </w:r>
      <w:r>
        <w:rPr>
          <w:spacing w:val="5"/>
        </w:rPr>
        <w:t>若干个观测网格作为抽样单元（分辨率为</w:t>
      </w:r>
      <w:r>
        <w:rPr>
          <w:spacing w:val="-11"/>
        </w:rPr>
        <w:t xml:space="preserve"> </w:t>
      </w:r>
      <w:r>
        <w:rPr>
          <w:rFonts w:ascii="Times New Roman" w:eastAsia="Times New Roman" w:hAnsi="Times New Roman" w:cs="Times New Roman"/>
          <w:spacing w:val="5"/>
        </w:rPr>
        <w:t xml:space="preserve">10 </w:t>
      </w:r>
      <w:r>
        <w:rPr>
          <w:rFonts w:ascii="Times New Roman" w:eastAsia="Times New Roman" w:hAnsi="Times New Roman" w:cs="Times New Roman"/>
        </w:rPr>
        <w:t>km</w:t>
      </w:r>
      <w:r>
        <w:rPr>
          <w:spacing w:val="5"/>
        </w:rPr>
        <w:t>×</w:t>
      </w:r>
      <w:r>
        <w:rPr>
          <w:rFonts w:ascii="Times New Roman" w:eastAsia="Times New Roman" w:hAnsi="Times New Roman" w:cs="Times New Roman"/>
          <w:spacing w:val="5"/>
        </w:rPr>
        <w:t xml:space="preserve">10 </w:t>
      </w:r>
      <w:r>
        <w:rPr>
          <w:rFonts w:ascii="Times New Roman" w:eastAsia="Times New Roman" w:hAnsi="Times New Roman" w:cs="Times New Roman"/>
        </w:rPr>
        <w:t>km</w:t>
      </w:r>
      <w:r>
        <w:rPr>
          <w:spacing w:val="5"/>
        </w:rPr>
        <w:t>）。如抽样单元内县域的面积不小于</w:t>
      </w:r>
      <w:r>
        <w:t xml:space="preserve"> </w:t>
      </w:r>
      <w:r>
        <w:rPr>
          <w:rFonts w:ascii="Times New Roman" w:eastAsia="Times New Roman" w:hAnsi="Times New Roman" w:cs="Times New Roman"/>
          <w:spacing w:val="8"/>
        </w:rPr>
        <w:t>25%</w:t>
      </w:r>
      <w:r>
        <w:rPr>
          <w:spacing w:val="8"/>
        </w:rPr>
        <w:t>且天然植被面积超过土地总面积的</w:t>
      </w:r>
      <w:r>
        <w:rPr>
          <w:spacing w:val="-43"/>
        </w:rPr>
        <w:t xml:space="preserve"> </w:t>
      </w:r>
      <w:r>
        <w:rPr>
          <w:rFonts w:ascii="Times New Roman" w:eastAsia="Times New Roman" w:hAnsi="Times New Roman" w:cs="Times New Roman"/>
          <w:spacing w:val="8"/>
        </w:rPr>
        <w:t>20%</w:t>
      </w:r>
      <w:r>
        <w:rPr>
          <w:spacing w:val="7"/>
        </w:rPr>
        <w:t>，则在该抽样单元设置样地，每个抽样单元设置</w:t>
      </w:r>
      <w:r>
        <w:t xml:space="preserve"> </w:t>
      </w:r>
      <w:r>
        <w:rPr>
          <w:rFonts w:ascii="Times New Roman" w:eastAsia="Times New Roman" w:hAnsi="Times New Roman" w:cs="Times New Roman"/>
          <w:spacing w:val="9"/>
        </w:rPr>
        <w:t xml:space="preserve">1 </w:t>
      </w:r>
      <w:r>
        <w:rPr>
          <w:spacing w:val="9"/>
        </w:rPr>
        <w:t>个样地。采用群落最小取样面积理论，根据近年来相关研</w:t>
      </w:r>
      <w:r>
        <w:rPr>
          <w:spacing w:val="8"/>
        </w:rPr>
        <w:t>究的结果，确定了不同天然植被</w:t>
      </w:r>
      <w:r>
        <w:t xml:space="preserve"> </w:t>
      </w:r>
      <w:r>
        <w:rPr>
          <w:spacing w:val="8"/>
        </w:rPr>
        <w:t>类型的样地面积。为控制样地边缘效应，又考虑到样</w:t>
      </w:r>
      <w:r>
        <w:rPr>
          <w:spacing w:val="7"/>
        </w:rPr>
        <w:t>地受到的地形限制，样地的长和宽的比</w:t>
      </w:r>
      <w:r>
        <w:t xml:space="preserve"> </w:t>
      </w:r>
      <w:r>
        <w:rPr>
          <w:spacing w:val="7"/>
        </w:rPr>
        <w:t>值不应大于</w:t>
      </w:r>
      <w:r>
        <w:rPr>
          <w:spacing w:val="-39"/>
        </w:rPr>
        <w:t xml:space="preserve"> </w:t>
      </w:r>
      <w:r>
        <w:rPr>
          <w:rFonts w:ascii="Times New Roman" w:eastAsia="Times New Roman" w:hAnsi="Times New Roman" w:cs="Times New Roman"/>
          <w:spacing w:val="7"/>
        </w:rPr>
        <w:t>3</w:t>
      </w:r>
      <w:r>
        <w:rPr>
          <w:spacing w:val="7"/>
        </w:rPr>
        <w:t>。样地方向以南</w:t>
      </w:r>
      <w:r>
        <w:rPr>
          <w:rFonts w:ascii="Times New Roman" w:eastAsia="Times New Roman" w:hAnsi="Times New Roman" w:cs="Times New Roman"/>
          <w:spacing w:val="7"/>
        </w:rPr>
        <w:t>-</w:t>
      </w:r>
      <w:r>
        <w:rPr>
          <w:spacing w:val="7"/>
        </w:rPr>
        <w:t>北方向为佳，如果山体不为东西走向，也</w:t>
      </w:r>
      <w:r>
        <w:rPr>
          <w:spacing w:val="6"/>
        </w:rPr>
        <w:t>可以平行（垂直）于</w:t>
      </w:r>
      <w:r>
        <w:t xml:space="preserve"> </w:t>
      </w:r>
      <w:r>
        <w:rPr>
          <w:spacing w:val="8"/>
        </w:rPr>
        <w:t>其等高线。样方布局可为网格状或十字形。网格状样方分</w:t>
      </w:r>
      <w:r>
        <w:rPr>
          <w:spacing w:val="7"/>
        </w:rPr>
        <w:t>布可用于样地的全面调查，十字形</w:t>
      </w:r>
      <w:r>
        <w:t xml:space="preserve"> </w:t>
      </w:r>
      <w:r>
        <w:rPr>
          <w:spacing w:val="8"/>
        </w:rPr>
        <w:t>样方分布可用于样地的抽样调查。</w:t>
      </w:r>
    </w:p>
    <w:p>
      <w:pPr>
        <w:pStyle w:val="BodyText"/>
        <w:spacing w:before="115" w:line="297" w:lineRule="auto"/>
        <w:ind w:left="22" w:right="84" w:firstLine="417"/>
      </w:pPr>
      <w:r>
        <w:rPr>
          <w:spacing w:val="7"/>
        </w:rPr>
        <w:t>根据群落的分层和观测对象的生活型，确定样方的层级、分布、面积。乔木层是群落的</w:t>
      </w:r>
      <w:r>
        <w:rPr>
          <w:spacing w:val="16"/>
        </w:rPr>
        <w:t xml:space="preserve"> </w:t>
      </w:r>
      <w:r>
        <w:rPr>
          <w:spacing w:val="7"/>
        </w:rPr>
        <w:t>最上层，不用考虑其它层对乔木层样方设计的影响。观测灌木和草本植物时，应考虑有无或</w:t>
      </w:r>
      <w:r>
        <w:rPr>
          <w:spacing w:val="17"/>
        </w:rPr>
        <w:t xml:space="preserve"> </w:t>
      </w:r>
      <w:r>
        <w:rPr>
          <w:spacing w:val="9"/>
        </w:rPr>
        <w:t>具有何种上层植被，采用相应样方层级、分布和面积。</w:t>
      </w:r>
    </w:p>
    <w:p>
      <w:pPr>
        <w:spacing w:line="297" w:lineRule="auto"/>
        <w:sectPr>
          <w:footerReference w:type="default" r:id="rId16"/>
          <w:type w:val="nextPage"/>
          <w:pgSz w:w="11906" w:h="16839"/>
          <w:pgMar w:top="1431" w:right="1712" w:bottom="1360" w:left="1785" w:header="0" w:footer="1200" w:gutter="0"/>
          <w:pgNumType w:start="12"/>
          <w:cols w:space="708"/>
          <w:titlePg w:val="0"/>
        </w:sectPr>
      </w:pPr>
    </w:p>
    <w:p>
      <w:pPr>
        <w:spacing w:before="91" w:line="222" w:lineRule="auto"/>
        <w:ind w:left="15"/>
        <w:rPr>
          <w:rFonts w:ascii="SimHei" w:eastAsia="SimHei" w:hAnsi="SimHei" w:cs="SimHei"/>
          <w:sz w:val="24"/>
          <w:szCs w:val="24"/>
        </w:rPr>
      </w:pPr>
      <w:r>
        <w:rPr>
          <w:rFonts w:ascii="SimHei" w:eastAsia="SimHei" w:hAnsi="SimHei" w:cs="SimHei"/>
          <w:spacing w:val="-2"/>
          <w:sz w:val="24"/>
          <w:szCs w:val="24"/>
        </w:rPr>
        <w:t>5.6</w:t>
      </w:r>
      <w:r>
        <w:rPr>
          <w:rFonts w:ascii="SimHei" w:eastAsia="SimHei" w:hAnsi="SimHei" w:cs="SimHei"/>
          <w:spacing w:val="28"/>
          <w:sz w:val="24"/>
          <w:szCs w:val="24"/>
        </w:rPr>
        <w:t xml:space="preserve">  </w:t>
      </w:r>
      <w:r>
        <w:rPr>
          <w:rFonts w:ascii="SimHei" w:eastAsia="SimHei" w:hAnsi="SimHei" w:cs="SimHei"/>
          <w:spacing w:val="-2"/>
          <w:sz w:val="24"/>
          <w:szCs w:val="24"/>
        </w:rPr>
        <w:t>样地布设</w:t>
      </w:r>
    </w:p>
    <w:p>
      <w:pPr>
        <w:pStyle w:val="BodyText"/>
        <w:spacing w:before="253" w:line="280" w:lineRule="auto"/>
        <w:ind w:left="20" w:right="70" w:firstLine="418"/>
      </w:pPr>
      <w:r>
        <w:rPr>
          <w:spacing w:val="7"/>
        </w:rPr>
        <w:t>样地布设的目的是将设计好的样地布设在需要观测的区域，包括确定测量坐标系、选点</w:t>
      </w:r>
      <w:r>
        <w:rPr>
          <w:spacing w:val="14"/>
        </w:rPr>
        <w:t xml:space="preserve"> </w:t>
      </w:r>
      <w:r>
        <w:rPr>
          <w:spacing w:val="9"/>
        </w:rPr>
        <w:t>踏勘、控制网的布设、放样、布设质量检查等环节。</w:t>
      </w:r>
    </w:p>
    <w:p>
      <w:pPr>
        <w:pStyle w:val="BodyText"/>
        <w:spacing w:before="114" w:line="306" w:lineRule="auto"/>
        <w:ind w:left="19" w:right="68" w:firstLine="421"/>
      </w:pPr>
      <w:r>
        <w:rPr>
          <w:spacing w:val="4"/>
        </w:rPr>
        <w:t>本标准规定采用</w:t>
      </w:r>
      <w:r>
        <w:rPr>
          <w:spacing w:val="-25"/>
        </w:rPr>
        <w:t xml:space="preserve"> </w:t>
      </w:r>
      <w:r>
        <w:rPr>
          <w:rFonts w:ascii="Times New Roman" w:eastAsia="Times New Roman" w:hAnsi="Times New Roman" w:cs="Times New Roman"/>
          <w:spacing w:val="4"/>
        </w:rPr>
        <w:t>2000</w:t>
      </w:r>
      <w:r>
        <w:rPr>
          <w:rFonts w:ascii="Times New Roman" w:eastAsia="Times New Roman" w:hAnsi="Times New Roman" w:cs="Times New Roman"/>
          <w:spacing w:val="30"/>
        </w:rPr>
        <w:t xml:space="preserve"> </w:t>
      </w:r>
      <w:r>
        <w:rPr>
          <w:spacing w:val="4"/>
        </w:rPr>
        <w:t>国家大地坐标系和</w:t>
      </w:r>
      <w:r>
        <w:rPr>
          <w:spacing w:val="-21"/>
        </w:rPr>
        <w:t xml:space="preserve"> </w:t>
      </w:r>
      <w:r>
        <w:rPr>
          <w:rFonts w:ascii="Times New Roman" w:eastAsia="Times New Roman" w:hAnsi="Times New Roman" w:cs="Times New Roman"/>
          <w:spacing w:val="4"/>
        </w:rPr>
        <w:t>1985</w:t>
      </w:r>
      <w:r>
        <w:rPr>
          <w:rFonts w:ascii="Times New Roman" w:eastAsia="Times New Roman" w:hAnsi="Times New Roman" w:cs="Times New Roman"/>
          <w:spacing w:val="33"/>
        </w:rPr>
        <w:t xml:space="preserve"> </w:t>
      </w:r>
      <w:r>
        <w:rPr>
          <w:spacing w:val="4"/>
        </w:rPr>
        <w:t>国家高程基准。应使用卫星遥感影像、植</w:t>
      </w:r>
      <w:r>
        <w:t xml:space="preserve"> </w:t>
      </w:r>
      <w:r>
        <w:rPr>
          <w:spacing w:val="8"/>
        </w:rPr>
        <w:t>被图或地形图初步选择样地位置，再进行现场踏勘基</w:t>
      </w:r>
      <w:r>
        <w:rPr>
          <w:spacing w:val="7"/>
        </w:rPr>
        <w:t>本确定样地具体位置。确定样地大致方</w:t>
      </w:r>
      <w:r>
        <w:t xml:space="preserve"> </w:t>
      </w:r>
      <w:r>
        <w:rPr>
          <w:spacing w:val="8"/>
        </w:rPr>
        <w:t>向后，选定控制点、建立基线，根据样方的布局，以</w:t>
      </w:r>
      <w:r>
        <w:rPr>
          <w:spacing w:val="7"/>
        </w:rPr>
        <w:t>距离测量模式，在选定的方向放样。根</w:t>
      </w:r>
      <w:r>
        <w:t xml:space="preserve"> </w:t>
      </w:r>
      <w:r>
        <w:rPr>
          <w:spacing w:val="8"/>
        </w:rPr>
        <w:t>据样方布局，决定放样点。</w:t>
      </w:r>
    </w:p>
    <w:p>
      <w:pPr>
        <w:pStyle w:val="BodyText"/>
        <w:spacing w:before="115" w:line="297" w:lineRule="auto"/>
        <w:ind w:left="21" w:firstLine="418"/>
      </w:pPr>
      <w:r>
        <w:rPr>
          <w:spacing w:val="8"/>
        </w:rPr>
        <w:t>每个样地应选取均匀分布且不少于</w:t>
      </w:r>
      <w:r>
        <w:rPr>
          <w:spacing w:val="-22"/>
        </w:rPr>
        <w:t xml:space="preserve"> </w:t>
      </w:r>
      <w:r>
        <w:rPr>
          <w:rFonts w:ascii="Times New Roman" w:eastAsia="Times New Roman" w:hAnsi="Times New Roman" w:cs="Times New Roman"/>
          <w:spacing w:val="8"/>
        </w:rPr>
        <w:t>10%</w:t>
      </w:r>
      <w:r>
        <w:rPr>
          <w:spacing w:val="8"/>
        </w:rPr>
        <w:t>的放样点进行精度检查，检查可采</w:t>
      </w:r>
      <w:r>
        <w:rPr>
          <w:spacing w:val="7"/>
        </w:rPr>
        <w:t>用测量距离、</w:t>
      </w:r>
      <w:r>
        <w:t xml:space="preserve"> </w:t>
      </w:r>
      <w:r>
        <w:rPr>
          <w:spacing w:val="10"/>
        </w:rPr>
        <w:t>角度或坐标的方式进行。同已知值比较，放样点位较差应不大于</w:t>
      </w:r>
      <w:r>
        <w:rPr>
          <w:spacing w:val="-37"/>
        </w:rPr>
        <w:t xml:space="preserve"> </w:t>
      </w:r>
      <w:r>
        <w:rPr>
          <w:rFonts w:ascii="Times New Roman" w:eastAsia="Times New Roman" w:hAnsi="Times New Roman" w:cs="Times New Roman"/>
          <w:spacing w:val="10"/>
        </w:rPr>
        <w:t>0.5</w:t>
      </w:r>
      <w:r>
        <w:rPr>
          <w:rFonts w:ascii="Times New Roman" w:eastAsia="Times New Roman" w:hAnsi="Times New Roman" w:cs="Times New Roman"/>
          <w:spacing w:val="9"/>
        </w:rPr>
        <w:t>%</w:t>
      </w:r>
      <w:r>
        <w:rPr>
          <w:spacing w:val="9"/>
        </w:rPr>
        <w:t xml:space="preserve">（特殊困难地区，可 </w:t>
      </w:r>
      <w:r>
        <w:rPr>
          <w:spacing w:val="7"/>
        </w:rPr>
        <w:t>按以上规定值放宽</w:t>
      </w:r>
      <w:r>
        <w:rPr>
          <w:spacing w:val="-39"/>
        </w:rPr>
        <w:t xml:space="preserve"> </w:t>
      </w:r>
      <w:r>
        <w:rPr>
          <w:rFonts w:ascii="Times New Roman" w:eastAsia="Times New Roman" w:hAnsi="Times New Roman" w:cs="Times New Roman"/>
          <w:spacing w:val="7"/>
        </w:rPr>
        <w:t xml:space="preserve">0.5 </w:t>
      </w:r>
      <w:r>
        <w:rPr>
          <w:spacing w:val="7"/>
        </w:rPr>
        <w:t>倍</w:t>
      </w:r>
      <w:r>
        <w:rPr>
          <w:spacing w:val="-34"/>
        </w:rPr>
        <w:t>），</w:t>
      </w:r>
      <w:r>
        <w:rPr>
          <w:spacing w:val="7"/>
        </w:rPr>
        <w:t>若超过限差，应重新放样。</w:t>
      </w:r>
    </w:p>
    <w:p>
      <w:pPr>
        <w:spacing w:before="242" w:line="224" w:lineRule="auto"/>
        <w:ind w:left="15"/>
        <w:rPr>
          <w:rFonts w:ascii="SimHei" w:eastAsia="SimHei" w:hAnsi="SimHei" w:cs="SimHei"/>
          <w:sz w:val="24"/>
          <w:szCs w:val="24"/>
        </w:rPr>
      </w:pPr>
      <w:r>
        <w:rPr>
          <w:rFonts w:ascii="SimHei" w:eastAsia="SimHei" w:hAnsi="SimHei" w:cs="SimHei"/>
          <w:spacing w:val="-2"/>
          <w:sz w:val="24"/>
          <w:szCs w:val="24"/>
        </w:rPr>
        <w:t>5.7</w:t>
      </w:r>
      <w:r>
        <w:rPr>
          <w:rFonts w:ascii="SimHei" w:eastAsia="SimHei" w:hAnsi="SimHei" w:cs="SimHei"/>
          <w:spacing w:val="28"/>
          <w:sz w:val="24"/>
          <w:szCs w:val="24"/>
        </w:rPr>
        <w:t xml:space="preserve">  </w:t>
      </w:r>
      <w:r>
        <w:rPr>
          <w:rFonts w:ascii="SimHei" w:eastAsia="SimHei" w:hAnsi="SimHei" w:cs="SimHei"/>
          <w:spacing w:val="-2"/>
          <w:sz w:val="24"/>
          <w:szCs w:val="24"/>
        </w:rPr>
        <w:t>样地标定</w:t>
      </w:r>
    </w:p>
    <w:p>
      <w:pPr>
        <w:pStyle w:val="BodyText"/>
        <w:spacing w:before="250" w:line="280" w:lineRule="auto"/>
        <w:ind w:left="20" w:right="33" w:firstLine="418"/>
      </w:pPr>
      <w:r>
        <w:rPr>
          <w:spacing w:val="8"/>
        </w:rPr>
        <w:t>样地命名包括名称和编号，名称由样地所属的县级行政区划、流水号和植物样地组成，</w:t>
      </w:r>
      <w:r>
        <w:rPr>
          <w:spacing w:val="14"/>
        </w:rPr>
        <w:t xml:space="preserve"> </w:t>
      </w:r>
      <w:r>
        <w:rPr>
          <w:spacing w:val="4"/>
        </w:rPr>
        <w:t>县级行政区划的编号采用《中华人民共和国行政区划代</w:t>
      </w:r>
      <w:r>
        <w:rPr>
          <w:spacing w:val="3"/>
        </w:rPr>
        <w:t>码》（</w:t>
      </w:r>
      <w:r>
        <w:rPr>
          <w:rFonts w:ascii="Times New Roman" w:eastAsia="Times New Roman" w:hAnsi="Times New Roman" w:cs="Times New Roman"/>
        </w:rPr>
        <w:t>GB</w:t>
      </w:r>
      <w:r>
        <w:rPr>
          <w:rFonts w:ascii="Times New Roman" w:eastAsia="Times New Roman" w:hAnsi="Times New Roman" w:cs="Times New Roman"/>
          <w:spacing w:val="3"/>
        </w:rPr>
        <w:t>/T2260</w:t>
      </w:r>
      <w:r>
        <w:rPr>
          <w:spacing w:val="3"/>
        </w:rPr>
        <w:t>）。</w:t>
      </w:r>
    </w:p>
    <w:p>
      <w:pPr>
        <w:pStyle w:val="BodyText"/>
        <w:spacing w:before="114" w:line="280" w:lineRule="auto"/>
        <w:ind w:left="21" w:right="68" w:firstLine="417"/>
      </w:pPr>
      <w:r>
        <w:rPr>
          <w:spacing w:val="7"/>
        </w:rPr>
        <w:t>样地标牌应包括样地名称、编号、建设单位和时间、样地基准点经纬度、面积、植被概</w:t>
      </w:r>
      <w:r>
        <w:rPr>
          <w:spacing w:val="17"/>
        </w:rPr>
        <w:t xml:space="preserve"> </w:t>
      </w:r>
      <w:r>
        <w:rPr>
          <w:spacing w:val="5"/>
        </w:rPr>
        <w:t>况等内容。</w:t>
      </w:r>
    </w:p>
    <w:p>
      <w:pPr>
        <w:pStyle w:val="BodyText"/>
        <w:spacing w:before="114" w:line="306" w:lineRule="auto"/>
        <w:ind w:left="20" w:right="68" w:firstLine="420"/>
      </w:pPr>
      <w:r>
        <w:rPr>
          <w:spacing w:val="8"/>
        </w:rPr>
        <w:t>按照样方的面积埋设样桩，本标准规定对较大的样方（面积大于或等于</w:t>
      </w:r>
      <w:r>
        <w:rPr>
          <w:spacing w:val="-30"/>
        </w:rPr>
        <w:t xml:space="preserve"> </w:t>
      </w:r>
      <w:r>
        <w:rPr>
          <w:rFonts w:ascii="Times New Roman" w:eastAsia="Times New Roman" w:hAnsi="Times New Roman" w:cs="Times New Roman"/>
          <w:spacing w:val="8"/>
        </w:rPr>
        <w:t>5 m</w:t>
      </w:r>
      <w:r>
        <w:rPr>
          <w:spacing w:val="8"/>
        </w:rPr>
        <w:t>×</w:t>
      </w:r>
      <w:r>
        <w:rPr>
          <w:rFonts w:ascii="Times New Roman" w:eastAsia="Times New Roman" w:hAnsi="Times New Roman" w:cs="Times New Roman"/>
          <w:spacing w:val="8"/>
        </w:rPr>
        <w:t>5 m</w:t>
      </w:r>
      <w:r>
        <w:rPr>
          <w:rFonts w:ascii="Times New Roman" w:eastAsia="Times New Roman" w:hAnsi="Times New Roman" w:cs="Times New Roman"/>
          <w:spacing w:val="29"/>
        </w:rPr>
        <w:t xml:space="preserve"> </w:t>
      </w:r>
      <w:r>
        <w:rPr>
          <w:spacing w:val="8"/>
        </w:rPr>
        <w:t>的样</w:t>
      </w:r>
      <w:r>
        <w:t xml:space="preserve"> </w:t>
      </w:r>
      <w:r>
        <w:rPr>
          <w:spacing w:val="9"/>
        </w:rPr>
        <w:t>方</w:t>
      </w:r>
      <w:r>
        <w:rPr>
          <w:spacing w:val="-31"/>
        </w:rPr>
        <w:t>），</w:t>
      </w:r>
      <w:r>
        <w:rPr>
          <w:spacing w:val="9"/>
        </w:rPr>
        <w:t>在其</w:t>
      </w:r>
      <w:r>
        <w:rPr>
          <w:spacing w:val="-41"/>
        </w:rPr>
        <w:t xml:space="preserve"> </w:t>
      </w:r>
      <w:r>
        <w:rPr>
          <w:rFonts w:ascii="Times New Roman" w:eastAsia="Times New Roman" w:hAnsi="Times New Roman" w:cs="Times New Roman"/>
          <w:spacing w:val="9"/>
        </w:rPr>
        <w:t xml:space="preserve">4 </w:t>
      </w:r>
      <w:r>
        <w:rPr>
          <w:spacing w:val="9"/>
        </w:rPr>
        <w:t>个顶点埋设样桩，较小的样方，只在其中心点埋设样桩。对于最大一级的样方</w:t>
      </w:r>
      <w:r>
        <w:t xml:space="preserve"> </w:t>
      </w:r>
      <w:r>
        <w:rPr>
          <w:spacing w:val="7"/>
        </w:rPr>
        <w:t>的样桩统一编号，下一级的样桩不再编号。样方布局为网络状，样桩编号为</w:t>
      </w:r>
      <w:r>
        <w:rPr>
          <w:spacing w:val="-36"/>
        </w:rPr>
        <w:t xml:space="preserve"> </w:t>
      </w:r>
      <w:r>
        <w:rPr>
          <w:rFonts w:ascii="Times New Roman" w:eastAsia="Times New Roman" w:hAnsi="Times New Roman" w:cs="Times New Roman"/>
          <w:spacing w:val="7"/>
        </w:rPr>
        <w:t xml:space="preserve">4 </w:t>
      </w:r>
      <w:r>
        <w:rPr>
          <w:spacing w:val="7"/>
        </w:rPr>
        <w:t>位数；样方布</w:t>
      </w:r>
      <w:r>
        <w:t xml:space="preserve"> </w:t>
      </w:r>
      <w:r>
        <w:rPr>
          <w:spacing w:val="7"/>
        </w:rPr>
        <w:t>局为十字形，样桩编号为</w:t>
      </w:r>
      <w:r>
        <w:rPr>
          <w:spacing w:val="-35"/>
        </w:rPr>
        <w:t xml:space="preserve"> </w:t>
      </w:r>
      <w:r>
        <w:rPr>
          <w:rFonts w:ascii="Times New Roman" w:eastAsia="Times New Roman" w:hAnsi="Times New Roman" w:cs="Times New Roman"/>
          <w:spacing w:val="7"/>
        </w:rPr>
        <w:t xml:space="preserve">3 </w:t>
      </w:r>
      <w:r>
        <w:rPr>
          <w:spacing w:val="7"/>
        </w:rPr>
        <w:t>位数。</w:t>
      </w:r>
    </w:p>
    <w:p>
      <w:pPr>
        <w:pStyle w:val="BodyText"/>
        <w:spacing w:before="114" w:line="315" w:lineRule="auto"/>
        <w:ind w:left="19" w:right="34" w:firstLine="423"/>
      </w:pPr>
      <w:r>
        <w:rPr>
          <w:spacing w:val="8"/>
        </w:rPr>
        <w:t>为了便于操作，本标准将样方的编号方法与其样桩的编号方法关联起来。本标准规定：</w:t>
      </w:r>
      <w:r>
        <w:rPr>
          <w:spacing w:val="9"/>
        </w:rPr>
        <w:t xml:space="preserve"> </w:t>
      </w:r>
      <w:r>
        <w:rPr>
          <w:spacing w:val="8"/>
        </w:rPr>
        <w:t>样方布局为网格状，对面积最大的样方进行系</w:t>
      </w:r>
      <w:r>
        <w:rPr>
          <w:spacing w:val="7"/>
        </w:rPr>
        <w:t>统编号，其下一级的样方编号是在上一级样方</w:t>
      </w:r>
      <w:r>
        <w:t xml:space="preserve"> </w:t>
      </w:r>
      <w:r>
        <w:rPr>
          <w:spacing w:val="8"/>
        </w:rPr>
        <w:t>中的流水号，样方编号与其东北角（右上角）的样桩</w:t>
      </w:r>
      <w:r>
        <w:rPr>
          <w:spacing w:val="7"/>
        </w:rPr>
        <w:t>的编号一致。如果将该样方再划分为面</w:t>
      </w:r>
      <w:r>
        <w:t xml:space="preserve"> </w:t>
      </w:r>
      <w:r>
        <w:rPr>
          <w:spacing w:val="7"/>
        </w:rPr>
        <w:t>积较小的样方，则下一级样方采用</w:t>
      </w:r>
      <w:r>
        <w:rPr>
          <w:spacing w:val="-20"/>
        </w:rPr>
        <w:t xml:space="preserve"> </w:t>
      </w:r>
      <w:r>
        <w:rPr>
          <w:rFonts w:ascii="Times New Roman" w:eastAsia="Times New Roman" w:hAnsi="Times New Roman" w:cs="Times New Roman"/>
          <w:spacing w:val="7"/>
        </w:rPr>
        <w:t xml:space="preserve">1 </w:t>
      </w:r>
      <w:r>
        <w:rPr>
          <w:spacing w:val="7"/>
        </w:rPr>
        <w:t>个大写英文字母；有多</w:t>
      </w:r>
      <w:r>
        <w:rPr>
          <w:spacing w:val="6"/>
        </w:rPr>
        <w:t>个下一级的样方，从西南角（左</w:t>
      </w:r>
      <w:r>
        <w:t xml:space="preserve"> </w:t>
      </w:r>
      <w:r>
        <w:rPr>
          <w:spacing w:val="8"/>
        </w:rPr>
        <w:t>下角）为起点，按顺时针顺序编号。如样方布</w:t>
      </w:r>
      <w:r>
        <w:rPr>
          <w:spacing w:val="7"/>
        </w:rPr>
        <w:t>局为十字形，样方编号与其中心点的样桩编号</w:t>
      </w:r>
      <w:r>
        <w:t xml:space="preserve"> </w:t>
      </w:r>
      <w:r>
        <w:rPr>
          <w:spacing w:val="3"/>
        </w:rPr>
        <w:t>一致。</w:t>
      </w:r>
    </w:p>
    <w:p>
      <w:pPr>
        <w:spacing w:before="241" w:line="222" w:lineRule="auto"/>
        <w:ind w:left="15"/>
        <w:rPr>
          <w:rFonts w:ascii="SimHei" w:eastAsia="SimHei" w:hAnsi="SimHei" w:cs="SimHei"/>
          <w:sz w:val="24"/>
          <w:szCs w:val="24"/>
        </w:rPr>
      </w:pPr>
      <w:r>
        <w:rPr>
          <w:rFonts w:ascii="SimHei" w:eastAsia="SimHei" w:hAnsi="SimHei" w:cs="SimHei"/>
          <w:spacing w:val="-2"/>
          <w:sz w:val="24"/>
          <w:szCs w:val="24"/>
        </w:rPr>
        <w:t>5.8</w:t>
      </w:r>
      <w:r>
        <w:rPr>
          <w:rFonts w:ascii="SimHei" w:eastAsia="SimHei" w:hAnsi="SimHei" w:cs="SimHei"/>
          <w:spacing w:val="31"/>
          <w:sz w:val="24"/>
          <w:szCs w:val="24"/>
        </w:rPr>
        <w:t xml:space="preserve">  </w:t>
      </w:r>
      <w:r>
        <w:rPr>
          <w:rFonts w:ascii="SimHei" w:eastAsia="SimHei" w:hAnsi="SimHei" w:cs="SimHei"/>
          <w:spacing w:val="-2"/>
          <w:sz w:val="24"/>
          <w:szCs w:val="24"/>
        </w:rPr>
        <w:t>样地复位与改设</w:t>
      </w:r>
    </w:p>
    <w:p>
      <w:pPr>
        <w:pStyle w:val="BodyText"/>
        <w:spacing w:before="255" w:line="306" w:lineRule="auto"/>
        <w:ind w:left="19" w:right="33" w:firstLine="419"/>
        <w:jc w:val="both"/>
      </w:pPr>
      <w:r>
        <w:rPr>
          <w:spacing w:val="7"/>
        </w:rPr>
        <w:t>样地复位包括</w:t>
      </w:r>
      <w:r>
        <w:rPr>
          <w:spacing w:val="-38"/>
        </w:rPr>
        <w:t xml:space="preserve"> </w:t>
      </w:r>
      <w:r>
        <w:rPr>
          <w:rFonts w:ascii="Times New Roman" w:eastAsia="Times New Roman" w:hAnsi="Times New Roman" w:cs="Times New Roman"/>
          <w:spacing w:val="7"/>
        </w:rPr>
        <w:t xml:space="preserve">3 </w:t>
      </w:r>
      <w:r>
        <w:rPr>
          <w:spacing w:val="7"/>
        </w:rPr>
        <w:t>个步骤：找到样地的具体位置、复原样桩、复原边界。在此过程中</w:t>
      </w:r>
      <w:r>
        <w:rPr>
          <w:spacing w:val="6"/>
        </w:rPr>
        <w:t>，要</w:t>
      </w:r>
      <w:r>
        <w:t xml:space="preserve"> </w:t>
      </w:r>
      <w:r>
        <w:rPr>
          <w:spacing w:val="8"/>
        </w:rPr>
        <w:t>注重利用基准点、已定位的乔木个体的位置信息。如原样地损坏无法找到或复原的情况下，</w:t>
      </w:r>
      <w:r>
        <w:rPr>
          <w:spacing w:val="17"/>
        </w:rPr>
        <w:t xml:space="preserve"> </w:t>
      </w:r>
      <w:r>
        <w:rPr>
          <w:spacing w:val="8"/>
        </w:rPr>
        <w:t>应进行样地改设，并重新放样。参考《国家</w:t>
      </w:r>
      <w:r>
        <w:rPr>
          <w:spacing w:val="7"/>
        </w:rPr>
        <w:t>森林资源连续清查技术规定》，固定样地复位率</w:t>
      </w:r>
      <w:r>
        <w:t xml:space="preserve"> </w:t>
      </w:r>
      <w:r>
        <w:rPr>
          <w:spacing w:val="5"/>
        </w:rPr>
        <w:t>应大于等于</w:t>
      </w:r>
      <w:r>
        <w:rPr>
          <w:spacing w:val="-34"/>
        </w:rPr>
        <w:t xml:space="preserve"> </w:t>
      </w:r>
      <w:r>
        <w:rPr>
          <w:rFonts w:ascii="Times New Roman" w:eastAsia="Times New Roman" w:hAnsi="Times New Roman" w:cs="Times New Roman"/>
          <w:spacing w:val="5"/>
        </w:rPr>
        <w:t>98%</w:t>
      </w:r>
      <w:r>
        <w:rPr>
          <w:spacing w:val="5"/>
        </w:rPr>
        <w:t>。</w:t>
      </w:r>
    </w:p>
    <w:p>
      <w:pPr>
        <w:spacing w:before="243" w:line="221" w:lineRule="auto"/>
        <w:ind w:left="15"/>
        <w:rPr>
          <w:rFonts w:ascii="SimHei" w:eastAsia="SimHei" w:hAnsi="SimHei" w:cs="SimHei"/>
          <w:sz w:val="24"/>
          <w:szCs w:val="24"/>
        </w:rPr>
      </w:pPr>
      <w:r>
        <w:rPr>
          <w:rFonts w:ascii="SimHei" w:eastAsia="SimHei" w:hAnsi="SimHei" w:cs="SimHei"/>
          <w:spacing w:val="-2"/>
          <w:sz w:val="24"/>
          <w:szCs w:val="24"/>
        </w:rPr>
        <w:t>5.9</w:t>
      </w:r>
      <w:r>
        <w:rPr>
          <w:rFonts w:ascii="SimHei" w:eastAsia="SimHei" w:hAnsi="SimHei" w:cs="SimHei"/>
          <w:spacing w:val="32"/>
          <w:sz w:val="24"/>
          <w:szCs w:val="24"/>
        </w:rPr>
        <w:t xml:space="preserve">  </w:t>
      </w:r>
      <w:r>
        <w:rPr>
          <w:rFonts w:ascii="SimHei" w:eastAsia="SimHei" w:hAnsi="SimHei" w:cs="SimHei"/>
          <w:spacing w:val="-2"/>
          <w:sz w:val="24"/>
          <w:szCs w:val="24"/>
        </w:rPr>
        <w:t>样地建设费用概算</w:t>
      </w:r>
    </w:p>
    <w:p>
      <w:pPr>
        <w:pStyle w:val="BodyText"/>
        <w:spacing w:before="256" w:line="306" w:lineRule="auto"/>
        <w:ind w:left="19" w:right="69" w:firstLine="419"/>
        <w:jc w:val="both"/>
      </w:pPr>
      <w:r>
        <w:rPr>
          <w:spacing w:val="13"/>
        </w:rPr>
        <w:t>据估算，全国（不包括香港特别行政区、澳门特别行政区和台湾省）约</w:t>
      </w:r>
      <w:r>
        <w:rPr>
          <w:spacing w:val="12"/>
        </w:rPr>
        <w:t>需建设</w:t>
      </w:r>
      <w:r>
        <w:rPr>
          <w:spacing w:val="-18"/>
        </w:rPr>
        <w:t xml:space="preserve"> </w:t>
      </w:r>
      <w:r>
        <w:rPr>
          <w:rFonts w:ascii="Times New Roman" w:eastAsia="Times New Roman" w:hAnsi="Times New Roman" w:cs="Times New Roman"/>
          <w:spacing w:val="12"/>
        </w:rPr>
        <w:t>12186</w:t>
      </w:r>
      <w:r>
        <w:rPr>
          <w:rFonts w:ascii="Times New Roman" w:eastAsia="Times New Roman" w:hAnsi="Times New Roman" w:cs="Times New Roman"/>
        </w:rPr>
        <w:t xml:space="preserve"> </w:t>
      </w:r>
      <w:r>
        <w:rPr>
          <w:spacing w:val="8"/>
        </w:rPr>
        <w:t>个森林类型固定样地，</w:t>
      </w:r>
      <w:r>
        <w:rPr>
          <w:spacing w:val="-49"/>
        </w:rPr>
        <w:t xml:space="preserve"> </w:t>
      </w:r>
      <w:r>
        <w:rPr>
          <w:spacing w:val="8"/>
        </w:rPr>
        <w:t>以其建设和监督费用为</w:t>
      </w:r>
      <w:r>
        <w:rPr>
          <w:spacing w:val="-34"/>
        </w:rPr>
        <w:t xml:space="preserve"> </w:t>
      </w:r>
      <w:r>
        <w:rPr>
          <w:rFonts w:ascii="Times New Roman" w:eastAsia="Times New Roman" w:hAnsi="Times New Roman" w:cs="Times New Roman"/>
          <w:spacing w:val="8"/>
        </w:rPr>
        <w:t>5</w:t>
      </w:r>
      <w:r>
        <w:rPr>
          <w:rFonts w:ascii="Times New Roman" w:eastAsia="Times New Roman" w:hAnsi="Times New Roman" w:cs="Times New Roman"/>
          <w:spacing w:val="17"/>
        </w:rPr>
        <w:t xml:space="preserve"> </w:t>
      </w:r>
      <w:r>
        <w:rPr>
          <w:spacing w:val="8"/>
        </w:rPr>
        <w:t>万元</w:t>
      </w:r>
      <w:r>
        <w:rPr>
          <w:rFonts w:ascii="Times New Roman" w:eastAsia="Times New Roman" w:hAnsi="Times New Roman" w:cs="Times New Roman"/>
          <w:spacing w:val="8"/>
        </w:rPr>
        <w:t>/</w:t>
      </w:r>
      <w:r>
        <w:rPr>
          <w:spacing w:val="8"/>
        </w:rPr>
        <w:t>个计，约需建设</w:t>
      </w:r>
      <w:r>
        <w:rPr>
          <w:spacing w:val="-34"/>
        </w:rPr>
        <w:t xml:space="preserve"> </w:t>
      </w:r>
      <w:r>
        <w:rPr>
          <w:rFonts w:ascii="Times New Roman" w:eastAsia="Times New Roman" w:hAnsi="Times New Roman" w:cs="Times New Roman"/>
          <w:spacing w:val="8"/>
        </w:rPr>
        <w:t xml:space="preserve">39268 </w:t>
      </w:r>
      <w:r>
        <w:rPr>
          <w:spacing w:val="8"/>
        </w:rPr>
        <w:t>个非森林类型</w:t>
      </w:r>
      <w:r>
        <w:t xml:space="preserve"> </w:t>
      </w:r>
      <w:r>
        <w:rPr>
          <w:spacing w:val="6"/>
        </w:rPr>
        <w:t>固定样地，以其建设和监督费用为</w:t>
      </w:r>
      <w:r>
        <w:rPr>
          <w:spacing w:val="-3"/>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7"/>
          <w:w w:val="101"/>
        </w:rPr>
        <w:t xml:space="preserve"> </w:t>
      </w:r>
      <w:r>
        <w:rPr>
          <w:spacing w:val="6"/>
        </w:rPr>
        <w:t>万元计，全国总建设费用约</w:t>
      </w:r>
      <w:r>
        <w:rPr>
          <w:spacing w:val="-23"/>
        </w:rPr>
        <w:t xml:space="preserve"> </w:t>
      </w:r>
      <w:r>
        <w:rPr>
          <w:rFonts w:ascii="Times New Roman" w:eastAsia="Times New Roman" w:hAnsi="Times New Roman" w:cs="Times New Roman"/>
          <w:spacing w:val="6"/>
        </w:rPr>
        <w:t xml:space="preserve">10.02 </w:t>
      </w:r>
      <w:r>
        <w:rPr>
          <w:spacing w:val="6"/>
        </w:rPr>
        <w:t>亿元，各省份固定样</w:t>
      </w:r>
      <w:r>
        <w:t xml:space="preserve"> </w:t>
      </w:r>
      <w:r>
        <w:rPr>
          <w:spacing w:val="4"/>
        </w:rPr>
        <w:t>地建设费用详见表</w:t>
      </w:r>
      <w:r>
        <w:rPr>
          <w:spacing w:val="-15"/>
        </w:rPr>
        <w:t xml:space="preserve"> </w:t>
      </w:r>
      <w:r>
        <w:rPr>
          <w:rFonts w:ascii="Times New Roman" w:eastAsia="Times New Roman" w:hAnsi="Times New Roman" w:cs="Times New Roman"/>
          <w:spacing w:val="4"/>
        </w:rPr>
        <w:t>1</w:t>
      </w:r>
      <w:r>
        <w:rPr>
          <w:spacing w:val="4"/>
        </w:rPr>
        <w:t>。</w:t>
      </w:r>
    </w:p>
    <w:p>
      <w:pPr>
        <w:spacing w:line="306" w:lineRule="auto"/>
        <w:sectPr>
          <w:footerReference w:type="default" r:id="rId17"/>
          <w:pgSz w:w="11906" w:h="16839"/>
          <w:pgMar w:top="1431" w:right="1728" w:bottom="1362" w:left="1785" w:header="0" w:footer="1200" w:gutter="0"/>
          <w:pgNumType w:start="13"/>
          <w:cols w:space="708"/>
        </w:sectPr>
      </w:pPr>
    </w:p>
    <w:p>
      <w:pPr>
        <w:spacing w:before="137" w:line="229" w:lineRule="auto"/>
        <w:ind w:left="2713"/>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17"/>
          <w:sz w:val="20"/>
          <w:szCs w:val="20"/>
        </w:rPr>
        <w:t xml:space="preserve"> </w:t>
      </w:r>
      <w:r>
        <w:rPr>
          <w:rFonts w:ascii="SimHei" w:eastAsia="SimHei" w:hAnsi="SimHei" w:cs="SimHei"/>
          <w:spacing w:val="6"/>
          <w:sz w:val="20"/>
          <w:szCs w:val="20"/>
        </w:rPr>
        <w:t>1</w:t>
      </w:r>
      <w:r>
        <w:rPr>
          <w:rFonts w:ascii="SimHei" w:eastAsia="SimHei" w:hAnsi="SimHei" w:cs="SimHei"/>
          <w:spacing w:val="-37"/>
          <w:sz w:val="20"/>
          <w:szCs w:val="20"/>
        </w:rPr>
        <w:t xml:space="preserve"> </w:t>
      </w:r>
      <w:r>
        <w:rPr>
          <w:rFonts w:ascii="SimHei" w:eastAsia="SimHei" w:hAnsi="SimHei" w:cs="SimHei"/>
          <w:spacing w:val="6"/>
          <w:sz w:val="20"/>
          <w:szCs w:val="20"/>
        </w:rPr>
        <w:t>各省份固定样地建设费用概算</w:t>
      </w:r>
    </w:p>
    <w:tbl>
      <w:tblPr>
        <w:tblStyle w:val="TableNormal0"/>
        <w:tblW w:w="852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4"/>
        <w:gridCol w:w="1065"/>
        <w:gridCol w:w="1301"/>
        <w:gridCol w:w="1452"/>
        <w:gridCol w:w="1270"/>
        <w:gridCol w:w="1424"/>
        <w:gridCol w:w="1192"/>
      </w:tblGrid>
      <w:tr>
        <w:tblPrEx>
          <w:tblW w:w="852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824" w:type="dxa"/>
            <w:vMerge w:val="restart"/>
            <w:tcBorders>
              <w:top w:val="single" w:sz="10" w:space="0" w:color="000000"/>
              <w:left w:val="single" w:sz="10" w:space="0" w:color="000000"/>
              <w:bottom w:val="nil"/>
            </w:tcBorders>
            <w:vAlign w:val="top"/>
          </w:tcPr>
          <w:p>
            <w:pPr>
              <w:spacing w:line="322" w:lineRule="auto"/>
              <w:rPr>
                <w:rFonts w:ascii="Arial"/>
                <w:sz w:val="21"/>
              </w:rPr>
            </w:pPr>
          </w:p>
          <w:p>
            <w:pPr>
              <w:spacing w:before="65" w:line="229" w:lineRule="auto"/>
              <w:ind w:left="193"/>
              <w:rPr>
                <w:rFonts w:ascii="SimSun" w:eastAsia="SimSun" w:hAnsi="SimSun" w:cs="SimSun"/>
                <w:sz w:val="20"/>
                <w:szCs w:val="20"/>
              </w:rPr>
            </w:pPr>
            <w:r>
              <w:rPr>
                <w:rFonts w:ascii="SimSun" w:eastAsia="SimSun" w:hAnsi="SimSun" w:cs="SimSun"/>
                <w:spacing w:val="5"/>
                <w:sz w:val="20"/>
                <w:szCs w:val="20"/>
              </w:rPr>
              <w:t>序号</w:t>
            </w:r>
          </w:p>
        </w:tc>
        <w:tc>
          <w:tcPr>
            <w:tcW w:w="1065" w:type="dxa"/>
            <w:vMerge w:val="restart"/>
            <w:tcBorders>
              <w:top w:val="single" w:sz="10" w:space="0" w:color="000000"/>
              <w:bottom w:val="nil"/>
            </w:tcBorders>
            <w:vAlign w:val="top"/>
          </w:tcPr>
          <w:p>
            <w:pPr>
              <w:spacing w:line="321" w:lineRule="auto"/>
              <w:rPr>
                <w:rFonts w:ascii="Arial"/>
                <w:sz w:val="21"/>
              </w:rPr>
            </w:pPr>
          </w:p>
          <w:p>
            <w:pPr>
              <w:spacing w:before="65" w:line="228" w:lineRule="auto"/>
              <w:ind w:left="321"/>
              <w:rPr>
                <w:rFonts w:ascii="SimSun" w:eastAsia="SimSun" w:hAnsi="SimSun" w:cs="SimSun"/>
                <w:sz w:val="20"/>
                <w:szCs w:val="20"/>
              </w:rPr>
            </w:pPr>
            <w:r>
              <w:rPr>
                <w:rFonts w:ascii="SimSun" w:eastAsia="SimSun" w:hAnsi="SimSun" w:cs="SimSun"/>
                <w:spacing w:val="3"/>
                <w:sz w:val="20"/>
                <w:szCs w:val="20"/>
              </w:rPr>
              <w:t>省份</w:t>
            </w:r>
          </w:p>
        </w:tc>
        <w:tc>
          <w:tcPr>
            <w:tcW w:w="2753" w:type="dxa"/>
            <w:gridSpan w:val="2"/>
            <w:tcBorders>
              <w:top w:val="single" w:sz="10" w:space="0" w:color="000000"/>
            </w:tcBorders>
            <w:vAlign w:val="top"/>
          </w:tcPr>
          <w:p>
            <w:pPr>
              <w:spacing w:before="134" w:line="228" w:lineRule="auto"/>
              <w:ind w:left="539"/>
              <w:rPr>
                <w:rFonts w:ascii="SimSun" w:eastAsia="SimSun" w:hAnsi="SimSun" w:cs="SimSun"/>
                <w:sz w:val="20"/>
                <w:szCs w:val="20"/>
              </w:rPr>
            </w:pPr>
            <w:r>
              <w:rPr>
                <w:rFonts w:ascii="SimSun" w:eastAsia="SimSun" w:hAnsi="SimSun" w:cs="SimSun"/>
                <w:spacing w:val="8"/>
                <w:sz w:val="20"/>
                <w:szCs w:val="20"/>
              </w:rPr>
              <w:t>森林类型固定样地</w:t>
            </w:r>
          </w:p>
        </w:tc>
        <w:tc>
          <w:tcPr>
            <w:tcW w:w="2694" w:type="dxa"/>
            <w:gridSpan w:val="2"/>
            <w:tcBorders>
              <w:top w:val="single" w:sz="10" w:space="0" w:color="000000"/>
            </w:tcBorders>
            <w:vAlign w:val="top"/>
          </w:tcPr>
          <w:p>
            <w:pPr>
              <w:spacing w:before="134" w:line="228" w:lineRule="auto"/>
              <w:ind w:left="415"/>
              <w:rPr>
                <w:rFonts w:ascii="SimSun" w:eastAsia="SimSun" w:hAnsi="SimSun" w:cs="SimSun"/>
                <w:sz w:val="20"/>
                <w:szCs w:val="20"/>
              </w:rPr>
            </w:pPr>
            <w:r>
              <w:rPr>
                <w:rFonts w:ascii="SimSun" w:eastAsia="SimSun" w:hAnsi="SimSun" w:cs="SimSun"/>
                <w:spacing w:val="8"/>
                <w:sz w:val="20"/>
                <w:szCs w:val="20"/>
              </w:rPr>
              <w:t>非森林类型固定样地</w:t>
            </w:r>
          </w:p>
        </w:tc>
        <w:tc>
          <w:tcPr>
            <w:tcW w:w="1192" w:type="dxa"/>
            <w:vMerge w:val="restart"/>
            <w:tcBorders>
              <w:top w:val="single" w:sz="10" w:space="0" w:color="000000"/>
              <w:bottom w:val="nil"/>
              <w:right w:val="single" w:sz="10" w:space="0" w:color="000000"/>
            </w:tcBorders>
            <w:vAlign w:val="top"/>
          </w:tcPr>
          <w:p>
            <w:pPr>
              <w:spacing w:before="154" w:line="468" w:lineRule="exact"/>
              <w:ind w:left="296"/>
              <w:rPr>
                <w:rFonts w:ascii="SimSun" w:eastAsia="SimSun" w:hAnsi="SimSun" w:cs="SimSun"/>
                <w:sz w:val="20"/>
                <w:szCs w:val="20"/>
              </w:rPr>
            </w:pPr>
            <w:r>
              <w:rPr>
                <w:rFonts w:ascii="SimSun" w:eastAsia="SimSun" w:hAnsi="SimSun" w:cs="SimSun"/>
                <w:spacing w:val="5"/>
                <w:position w:val="20"/>
                <w:sz w:val="20"/>
                <w:szCs w:val="20"/>
              </w:rPr>
              <w:t>总金额</w:t>
            </w:r>
          </w:p>
          <w:p>
            <w:pPr>
              <w:spacing w:line="228" w:lineRule="auto"/>
              <w:ind w:left="195"/>
              <w:rPr>
                <w:rFonts w:ascii="SimSun" w:eastAsia="SimSun" w:hAnsi="SimSun" w:cs="SimSun"/>
                <w:sz w:val="20"/>
                <w:szCs w:val="20"/>
              </w:rPr>
            </w:pPr>
            <w:r>
              <w:rPr>
                <w:rFonts w:ascii="SimSun" w:eastAsia="SimSun" w:hAnsi="SimSun" w:cs="SimSun"/>
                <w:spacing w:val="2"/>
                <w:sz w:val="20"/>
                <w:szCs w:val="20"/>
              </w:rPr>
              <w:t>（万元）</w:t>
            </w:r>
          </w:p>
        </w:tc>
      </w:tr>
      <w:tr>
        <w:tblPrEx>
          <w:tblW w:w="8528" w:type="dxa"/>
          <w:tblInd w:w="12" w:type="dxa"/>
          <w:tblLayout w:type="fixed"/>
        </w:tblPrEx>
        <w:trPr>
          <w:trHeight w:val="512"/>
        </w:trPr>
        <w:tc>
          <w:tcPr>
            <w:tcW w:w="824" w:type="dxa"/>
            <w:vMerge/>
            <w:tcBorders>
              <w:top w:val="nil"/>
              <w:left w:val="single" w:sz="10" w:space="0" w:color="000000"/>
              <w:bottom w:val="single" w:sz="10" w:space="0" w:color="000000"/>
            </w:tcBorders>
            <w:vAlign w:val="top"/>
          </w:tcPr>
          <w:p>
            <w:pPr>
              <w:rPr>
                <w:rFonts w:ascii="Arial"/>
                <w:sz w:val="21"/>
              </w:rPr>
            </w:pPr>
          </w:p>
        </w:tc>
        <w:tc>
          <w:tcPr>
            <w:tcW w:w="1065" w:type="dxa"/>
            <w:vMerge/>
            <w:tcBorders>
              <w:top w:val="nil"/>
              <w:bottom w:val="single" w:sz="10" w:space="0" w:color="000000"/>
            </w:tcBorders>
            <w:vAlign w:val="top"/>
          </w:tcPr>
          <w:p>
            <w:pPr>
              <w:rPr>
                <w:rFonts w:ascii="Arial"/>
                <w:sz w:val="21"/>
              </w:rPr>
            </w:pPr>
          </w:p>
        </w:tc>
        <w:tc>
          <w:tcPr>
            <w:tcW w:w="1301" w:type="dxa"/>
            <w:tcBorders>
              <w:bottom w:val="single" w:sz="10" w:space="0" w:color="000000"/>
            </w:tcBorders>
            <w:vAlign w:val="top"/>
          </w:tcPr>
          <w:p>
            <w:pPr>
              <w:spacing w:before="144" w:line="228" w:lineRule="auto"/>
              <w:ind w:left="443"/>
              <w:rPr>
                <w:rFonts w:ascii="SimSun" w:eastAsia="SimSun" w:hAnsi="SimSun" w:cs="SimSun"/>
                <w:sz w:val="20"/>
                <w:szCs w:val="20"/>
              </w:rPr>
            </w:pPr>
            <w:r>
              <w:rPr>
                <w:rFonts w:ascii="SimSun" w:eastAsia="SimSun" w:hAnsi="SimSun" w:cs="SimSun"/>
                <w:spacing w:val="3"/>
                <w:sz w:val="20"/>
                <w:szCs w:val="20"/>
              </w:rPr>
              <w:t>数量</w:t>
            </w:r>
          </w:p>
        </w:tc>
        <w:tc>
          <w:tcPr>
            <w:tcW w:w="1452" w:type="dxa"/>
            <w:tcBorders>
              <w:bottom w:val="single" w:sz="10" w:space="0" w:color="000000"/>
            </w:tcBorders>
            <w:vAlign w:val="top"/>
          </w:tcPr>
          <w:p>
            <w:pPr>
              <w:spacing w:before="145" w:line="226" w:lineRule="auto"/>
              <w:ind w:left="111"/>
              <w:rPr>
                <w:rFonts w:ascii="SimSun" w:eastAsia="SimSun" w:hAnsi="SimSun" w:cs="SimSun"/>
                <w:sz w:val="20"/>
                <w:szCs w:val="20"/>
              </w:rPr>
            </w:pPr>
            <w:r>
              <w:rPr>
                <w:rFonts w:ascii="SimSun" w:eastAsia="SimSun" w:hAnsi="SimSun" w:cs="SimSun"/>
                <w:spacing w:val="6"/>
                <w:sz w:val="20"/>
                <w:szCs w:val="20"/>
              </w:rPr>
              <w:t>单价（万元）</w:t>
            </w:r>
          </w:p>
        </w:tc>
        <w:tc>
          <w:tcPr>
            <w:tcW w:w="1270" w:type="dxa"/>
            <w:tcBorders>
              <w:bottom w:val="single" w:sz="10" w:space="0" w:color="000000"/>
            </w:tcBorders>
            <w:vAlign w:val="top"/>
          </w:tcPr>
          <w:p>
            <w:pPr>
              <w:spacing w:before="144" w:line="228" w:lineRule="auto"/>
              <w:ind w:left="435"/>
              <w:rPr>
                <w:rFonts w:ascii="SimSun" w:eastAsia="SimSun" w:hAnsi="SimSun" w:cs="SimSun"/>
                <w:sz w:val="20"/>
                <w:szCs w:val="20"/>
              </w:rPr>
            </w:pPr>
            <w:r>
              <w:rPr>
                <w:rFonts w:ascii="SimSun" w:eastAsia="SimSun" w:hAnsi="SimSun" w:cs="SimSun"/>
                <w:spacing w:val="3"/>
                <w:sz w:val="20"/>
                <w:szCs w:val="20"/>
              </w:rPr>
              <w:t>数量</w:t>
            </w:r>
          </w:p>
        </w:tc>
        <w:tc>
          <w:tcPr>
            <w:tcW w:w="1424" w:type="dxa"/>
            <w:tcBorders>
              <w:bottom w:val="single" w:sz="10" w:space="0" w:color="000000"/>
            </w:tcBorders>
            <w:vAlign w:val="top"/>
          </w:tcPr>
          <w:p>
            <w:pPr>
              <w:spacing w:before="145" w:line="226" w:lineRule="auto"/>
              <w:ind w:left="120"/>
              <w:rPr>
                <w:rFonts w:ascii="SimSun" w:eastAsia="SimSun" w:hAnsi="SimSun" w:cs="SimSun"/>
                <w:sz w:val="20"/>
                <w:szCs w:val="20"/>
              </w:rPr>
            </w:pPr>
            <w:r>
              <w:rPr>
                <w:rFonts w:ascii="SimSun" w:eastAsia="SimSun" w:hAnsi="SimSun" w:cs="SimSun"/>
                <w:spacing w:val="6"/>
                <w:sz w:val="20"/>
                <w:szCs w:val="20"/>
              </w:rPr>
              <w:t>单价（万元）</w:t>
            </w:r>
          </w:p>
        </w:tc>
        <w:tc>
          <w:tcPr>
            <w:tcW w:w="1192" w:type="dxa"/>
            <w:vMerge/>
            <w:tcBorders>
              <w:top w:val="nil"/>
              <w:bottom w:val="single" w:sz="10" w:space="0" w:color="000000"/>
              <w:right w:val="single" w:sz="10" w:space="0" w:color="000000"/>
            </w:tcBorders>
            <w:vAlign w:val="top"/>
          </w:tcPr>
          <w:p>
            <w:pPr>
              <w:rPr>
                <w:rFonts w:ascii="Arial"/>
                <w:sz w:val="21"/>
              </w:rPr>
            </w:pPr>
          </w:p>
        </w:tc>
      </w:tr>
      <w:tr>
        <w:tblPrEx>
          <w:tblW w:w="8528" w:type="dxa"/>
          <w:tblInd w:w="12" w:type="dxa"/>
          <w:tblLayout w:type="fixed"/>
        </w:tblPrEx>
        <w:trPr>
          <w:trHeight w:val="463"/>
        </w:trPr>
        <w:tc>
          <w:tcPr>
            <w:tcW w:w="824" w:type="dxa"/>
            <w:tcBorders>
              <w:top w:val="single" w:sz="10" w:space="0" w:color="000000"/>
              <w:left w:val="single" w:sz="10" w:space="0" w:color="000000"/>
            </w:tcBorders>
            <w:vAlign w:val="top"/>
          </w:tcPr>
          <w:p>
            <w:pPr>
              <w:pStyle w:val="TableText"/>
              <w:spacing w:before="157" w:line="195" w:lineRule="auto"/>
              <w:ind w:left="366"/>
            </w:pPr>
            <w:r>
              <w:t>1</w:t>
            </w:r>
          </w:p>
        </w:tc>
        <w:tc>
          <w:tcPr>
            <w:tcW w:w="1065" w:type="dxa"/>
            <w:tcBorders>
              <w:top w:val="single" w:sz="10" w:space="0" w:color="000000"/>
            </w:tcBorders>
            <w:vAlign w:val="top"/>
          </w:tcPr>
          <w:p>
            <w:pPr>
              <w:spacing w:before="121" w:line="228" w:lineRule="auto"/>
              <w:ind w:left="321"/>
              <w:rPr>
                <w:rFonts w:ascii="SimSun" w:eastAsia="SimSun" w:hAnsi="SimSun" w:cs="SimSun"/>
                <w:sz w:val="20"/>
                <w:szCs w:val="20"/>
              </w:rPr>
            </w:pPr>
            <w:r>
              <w:rPr>
                <w:rFonts w:ascii="SimSun" w:eastAsia="SimSun" w:hAnsi="SimSun" w:cs="SimSun"/>
                <w:spacing w:val="3"/>
                <w:sz w:val="20"/>
                <w:szCs w:val="20"/>
              </w:rPr>
              <w:t>北京</w:t>
            </w:r>
          </w:p>
        </w:tc>
        <w:tc>
          <w:tcPr>
            <w:tcW w:w="1301" w:type="dxa"/>
            <w:tcBorders>
              <w:top w:val="single" w:sz="10" w:space="0" w:color="000000"/>
            </w:tcBorders>
            <w:vAlign w:val="top"/>
          </w:tcPr>
          <w:p>
            <w:pPr>
              <w:pStyle w:val="TableText"/>
              <w:spacing w:before="157" w:line="195" w:lineRule="auto"/>
              <w:ind w:left="540"/>
            </w:pPr>
            <w:r>
              <w:rPr>
                <w:spacing w:val="2"/>
              </w:rPr>
              <w:t>22</w:t>
            </w:r>
          </w:p>
        </w:tc>
        <w:tc>
          <w:tcPr>
            <w:tcW w:w="1452" w:type="dxa"/>
            <w:tcBorders>
              <w:top w:val="single" w:sz="10" w:space="0" w:color="000000"/>
            </w:tcBorders>
            <w:vAlign w:val="top"/>
          </w:tcPr>
          <w:p>
            <w:pPr>
              <w:pStyle w:val="TableText"/>
              <w:spacing w:before="160" w:line="192" w:lineRule="auto"/>
              <w:ind w:left="680"/>
            </w:pPr>
            <w:r>
              <w:t>5</w:t>
            </w:r>
          </w:p>
        </w:tc>
        <w:tc>
          <w:tcPr>
            <w:tcW w:w="1270" w:type="dxa"/>
            <w:tcBorders>
              <w:top w:val="single" w:sz="10" w:space="0" w:color="000000"/>
            </w:tcBorders>
            <w:vAlign w:val="top"/>
          </w:tcPr>
          <w:p>
            <w:pPr>
              <w:pStyle w:val="TableText"/>
              <w:spacing w:before="157" w:line="195" w:lineRule="auto"/>
              <w:ind w:left="539"/>
            </w:pPr>
            <w:r>
              <w:t>39</w:t>
            </w:r>
          </w:p>
        </w:tc>
        <w:tc>
          <w:tcPr>
            <w:tcW w:w="1424" w:type="dxa"/>
            <w:tcBorders>
              <w:top w:val="single" w:sz="10" w:space="0" w:color="000000"/>
            </w:tcBorders>
            <w:vAlign w:val="top"/>
          </w:tcPr>
          <w:p>
            <w:pPr>
              <w:pStyle w:val="TableText"/>
              <w:spacing w:before="157" w:line="195" w:lineRule="auto"/>
              <w:ind w:left="689"/>
            </w:pPr>
            <w:r>
              <w:t>1</w:t>
            </w:r>
          </w:p>
        </w:tc>
        <w:tc>
          <w:tcPr>
            <w:tcW w:w="1192" w:type="dxa"/>
            <w:tcBorders>
              <w:top w:val="single" w:sz="10" w:space="0" w:color="000000"/>
              <w:right w:val="single" w:sz="10" w:space="0" w:color="000000"/>
            </w:tcBorders>
            <w:vAlign w:val="top"/>
          </w:tcPr>
          <w:p>
            <w:pPr>
              <w:pStyle w:val="TableText"/>
              <w:spacing w:before="157" w:line="195" w:lineRule="auto"/>
              <w:ind w:left="465"/>
            </w:pPr>
            <w:r>
              <w:rPr>
                <w:spacing w:val="-3"/>
              </w:rPr>
              <w:t>149</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67" w:line="195" w:lineRule="auto"/>
              <w:ind w:left="346"/>
            </w:pPr>
            <w:r>
              <w:t>2</w:t>
            </w:r>
          </w:p>
        </w:tc>
        <w:tc>
          <w:tcPr>
            <w:tcW w:w="1065" w:type="dxa"/>
            <w:vAlign w:val="top"/>
          </w:tcPr>
          <w:p>
            <w:pPr>
              <w:spacing w:before="130" w:line="228" w:lineRule="auto"/>
              <w:ind w:left="322"/>
              <w:rPr>
                <w:rFonts w:ascii="SimSun" w:eastAsia="SimSun" w:hAnsi="SimSun" w:cs="SimSun"/>
                <w:sz w:val="20"/>
                <w:szCs w:val="20"/>
              </w:rPr>
            </w:pPr>
            <w:r>
              <w:rPr>
                <w:rFonts w:ascii="SimSun" w:eastAsia="SimSun" w:hAnsi="SimSun" w:cs="SimSun"/>
                <w:spacing w:val="2"/>
                <w:sz w:val="20"/>
                <w:szCs w:val="20"/>
              </w:rPr>
              <w:t>天津</w:t>
            </w:r>
          </w:p>
        </w:tc>
        <w:tc>
          <w:tcPr>
            <w:tcW w:w="1301" w:type="dxa"/>
            <w:vAlign w:val="top"/>
          </w:tcPr>
          <w:p>
            <w:pPr>
              <w:pStyle w:val="TableText"/>
              <w:spacing w:before="167" w:line="195" w:lineRule="auto"/>
              <w:ind w:left="613"/>
            </w:pPr>
            <w:r>
              <w:t>1</w:t>
            </w:r>
          </w:p>
        </w:tc>
        <w:tc>
          <w:tcPr>
            <w:tcW w:w="1452" w:type="dxa"/>
            <w:vAlign w:val="top"/>
          </w:tcPr>
          <w:p>
            <w:pPr>
              <w:pStyle w:val="TableText"/>
              <w:spacing w:before="169" w:line="192" w:lineRule="auto"/>
              <w:ind w:left="680"/>
            </w:pPr>
            <w:r>
              <w:t>5</w:t>
            </w:r>
          </w:p>
        </w:tc>
        <w:tc>
          <w:tcPr>
            <w:tcW w:w="1270" w:type="dxa"/>
            <w:vAlign w:val="top"/>
          </w:tcPr>
          <w:p>
            <w:pPr>
              <w:pStyle w:val="TableText"/>
              <w:spacing w:before="167" w:line="195" w:lineRule="auto"/>
              <w:ind w:left="555"/>
            </w:pPr>
            <w:r>
              <w:rPr>
                <w:spacing w:val="-8"/>
              </w:rPr>
              <w:t>14</w:t>
            </w:r>
          </w:p>
        </w:tc>
        <w:tc>
          <w:tcPr>
            <w:tcW w:w="1424" w:type="dxa"/>
            <w:vAlign w:val="top"/>
          </w:tcPr>
          <w:p>
            <w:pPr>
              <w:pStyle w:val="TableText"/>
              <w:spacing w:before="167" w:line="195" w:lineRule="auto"/>
              <w:ind w:left="689"/>
            </w:pPr>
            <w:r>
              <w:t>1</w:t>
            </w:r>
          </w:p>
        </w:tc>
        <w:tc>
          <w:tcPr>
            <w:tcW w:w="1192" w:type="dxa"/>
            <w:tcBorders>
              <w:right w:val="single" w:sz="10" w:space="0" w:color="000000"/>
            </w:tcBorders>
            <w:vAlign w:val="top"/>
          </w:tcPr>
          <w:p>
            <w:pPr>
              <w:pStyle w:val="TableText"/>
              <w:spacing w:before="166" w:line="195" w:lineRule="auto"/>
              <w:ind w:left="516"/>
            </w:pPr>
            <w:r>
              <w:rPr>
                <w:spacing w:val="-8"/>
              </w:rPr>
              <w:t>19</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67" w:line="195" w:lineRule="auto"/>
              <w:ind w:left="350"/>
            </w:pPr>
            <w:r>
              <w:t>3</w:t>
            </w:r>
          </w:p>
        </w:tc>
        <w:tc>
          <w:tcPr>
            <w:tcW w:w="1065" w:type="dxa"/>
            <w:vAlign w:val="top"/>
          </w:tcPr>
          <w:p>
            <w:pPr>
              <w:spacing w:before="131" w:line="230" w:lineRule="auto"/>
              <w:ind w:left="317"/>
              <w:rPr>
                <w:rFonts w:ascii="SimSun" w:eastAsia="SimSun" w:hAnsi="SimSun" w:cs="SimSun"/>
                <w:sz w:val="20"/>
                <w:szCs w:val="20"/>
              </w:rPr>
            </w:pPr>
            <w:r>
              <w:rPr>
                <w:rFonts w:ascii="SimSun" w:eastAsia="SimSun" w:hAnsi="SimSun" w:cs="SimSun"/>
                <w:spacing w:val="5"/>
                <w:sz w:val="20"/>
                <w:szCs w:val="20"/>
              </w:rPr>
              <w:t>河北</w:t>
            </w:r>
          </w:p>
        </w:tc>
        <w:tc>
          <w:tcPr>
            <w:tcW w:w="1301" w:type="dxa"/>
            <w:vAlign w:val="top"/>
          </w:tcPr>
          <w:p>
            <w:pPr>
              <w:pStyle w:val="TableText"/>
              <w:spacing w:before="167" w:line="195" w:lineRule="auto"/>
              <w:ind w:left="510"/>
            </w:pPr>
            <w:r>
              <w:rPr>
                <w:spacing w:val="-3"/>
              </w:rPr>
              <w:t>174</w:t>
            </w:r>
          </w:p>
        </w:tc>
        <w:tc>
          <w:tcPr>
            <w:tcW w:w="1452" w:type="dxa"/>
            <w:vAlign w:val="top"/>
          </w:tcPr>
          <w:p>
            <w:pPr>
              <w:pStyle w:val="TableText"/>
              <w:spacing w:before="170" w:line="192" w:lineRule="auto"/>
              <w:ind w:left="680"/>
            </w:pPr>
            <w:r>
              <w:t>5</w:t>
            </w:r>
          </w:p>
        </w:tc>
        <w:tc>
          <w:tcPr>
            <w:tcW w:w="1270" w:type="dxa"/>
            <w:vAlign w:val="top"/>
          </w:tcPr>
          <w:p>
            <w:pPr>
              <w:pStyle w:val="TableText"/>
              <w:spacing w:before="167" w:line="195" w:lineRule="auto"/>
              <w:ind w:left="481"/>
            </w:pPr>
            <w:r>
              <w:rPr>
                <w:spacing w:val="4"/>
              </w:rPr>
              <w:t>471</w:t>
            </w:r>
          </w:p>
        </w:tc>
        <w:tc>
          <w:tcPr>
            <w:tcW w:w="1424" w:type="dxa"/>
            <w:vAlign w:val="top"/>
          </w:tcPr>
          <w:p>
            <w:pPr>
              <w:pStyle w:val="TableText"/>
              <w:spacing w:before="167" w:line="195" w:lineRule="auto"/>
              <w:ind w:left="689"/>
            </w:pPr>
            <w:r>
              <w:t>1</w:t>
            </w:r>
          </w:p>
        </w:tc>
        <w:tc>
          <w:tcPr>
            <w:tcW w:w="1192" w:type="dxa"/>
            <w:tcBorders>
              <w:right w:val="single" w:sz="10" w:space="0" w:color="000000"/>
            </w:tcBorders>
            <w:vAlign w:val="top"/>
          </w:tcPr>
          <w:p>
            <w:pPr>
              <w:pStyle w:val="TableText"/>
              <w:spacing w:before="167" w:line="195" w:lineRule="auto"/>
              <w:ind w:left="410"/>
            </w:pPr>
            <w:r>
              <w:rPr>
                <w:spacing w:val="-1"/>
              </w:rPr>
              <w:t>1341</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68" w:line="195" w:lineRule="auto"/>
              <w:ind w:left="345"/>
            </w:pPr>
            <w:r>
              <w:rPr>
                <w:spacing w:val="1"/>
              </w:rPr>
              <w:t>4</w:t>
            </w:r>
          </w:p>
        </w:tc>
        <w:tc>
          <w:tcPr>
            <w:tcW w:w="1065" w:type="dxa"/>
            <w:vAlign w:val="top"/>
          </w:tcPr>
          <w:p>
            <w:pPr>
              <w:spacing w:before="132" w:line="231" w:lineRule="auto"/>
              <w:ind w:left="337"/>
              <w:rPr>
                <w:rFonts w:ascii="SimSun" w:eastAsia="SimSun" w:hAnsi="SimSun" w:cs="SimSun"/>
                <w:sz w:val="20"/>
                <w:szCs w:val="20"/>
              </w:rPr>
            </w:pPr>
            <w:r>
              <w:rPr>
                <w:rFonts w:ascii="SimSun" w:eastAsia="SimSun" w:hAnsi="SimSun" w:cs="SimSun"/>
                <w:spacing w:val="-5"/>
                <w:sz w:val="20"/>
                <w:szCs w:val="20"/>
              </w:rPr>
              <w:t>山西</w:t>
            </w:r>
          </w:p>
        </w:tc>
        <w:tc>
          <w:tcPr>
            <w:tcW w:w="1301" w:type="dxa"/>
            <w:vAlign w:val="top"/>
          </w:tcPr>
          <w:p>
            <w:pPr>
              <w:pStyle w:val="TableText"/>
              <w:spacing w:before="168" w:line="195" w:lineRule="auto"/>
              <w:ind w:left="510"/>
            </w:pPr>
            <w:r>
              <w:rPr>
                <w:spacing w:val="-3"/>
              </w:rPr>
              <w:t>130</w:t>
            </w:r>
          </w:p>
        </w:tc>
        <w:tc>
          <w:tcPr>
            <w:tcW w:w="1452" w:type="dxa"/>
            <w:vAlign w:val="top"/>
          </w:tcPr>
          <w:p>
            <w:pPr>
              <w:pStyle w:val="TableText"/>
              <w:spacing w:before="171" w:line="192" w:lineRule="auto"/>
              <w:ind w:left="680"/>
            </w:pPr>
            <w:r>
              <w:t>5</w:t>
            </w:r>
          </w:p>
        </w:tc>
        <w:tc>
          <w:tcPr>
            <w:tcW w:w="1270" w:type="dxa"/>
            <w:vAlign w:val="top"/>
          </w:tcPr>
          <w:p>
            <w:pPr>
              <w:pStyle w:val="TableText"/>
              <w:spacing w:before="168" w:line="195" w:lineRule="auto"/>
              <w:ind w:left="481"/>
            </w:pPr>
            <w:r>
              <w:rPr>
                <w:spacing w:val="4"/>
              </w:rPr>
              <w:t>455</w:t>
            </w:r>
          </w:p>
        </w:tc>
        <w:tc>
          <w:tcPr>
            <w:tcW w:w="1424" w:type="dxa"/>
            <w:vAlign w:val="top"/>
          </w:tcPr>
          <w:p>
            <w:pPr>
              <w:pStyle w:val="TableText"/>
              <w:spacing w:before="168" w:line="195" w:lineRule="auto"/>
              <w:ind w:left="689"/>
            </w:pPr>
            <w:r>
              <w:t>1</w:t>
            </w:r>
          </w:p>
        </w:tc>
        <w:tc>
          <w:tcPr>
            <w:tcW w:w="1192" w:type="dxa"/>
            <w:tcBorders>
              <w:right w:val="single" w:sz="10" w:space="0" w:color="000000"/>
            </w:tcBorders>
            <w:vAlign w:val="top"/>
          </w:tcPr>
          <w:p>
            <w:pPr>
              <w:pStyle w:val="TableText"/>
              <w:spacing w:before="168" w:line="195" w:lineRule="auto"/>
              <w:ind w:left="415"/>
            </w:pPr>
            <w:r>
              <w:rPr>
                <w:spacing w:val="-3"/>
              </w:rPr>
              <w:t>1105</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74" w:line="192" w:lineRule="auto"/>
              <w:ind w:left="351"/>
            </w:pPr>
            <w:r>
              <w:t>5</w:t>
            </w:r>
          </w:p>
        </w:tc>
        <w:tc>
          <w:tcPr>
            <w:tcW w:w="1065" w:type="dxa"/>
            <w:vAlign w:val="top"/>
          </w:tcPr>
          <w:p>
            <w:pPr>
              <w:spacing w:before="134" w:line="228" w:lineRule="auto"/>
              <w:ind w:left="240"/>
              <w:rPr>
                <w:rFonts w:ascii="SimSun" w:eastAsia="SimSun" w:hAnsi="SimSun" w:cs="SimSun"/>
                <w:sz w:val="20"/>
                <w:szCs w:val="20"/>
              </w:rPr>
            </w:pPr>
            <w:r>
              <w:rPr>
                <w:rFonts w:ascii="SimSun" w:eastAsia="SimSun" w:hAnsi="SimSun" w:cs="SimSun"/>
                <w:spacing w:val="-2"/>
                <w:sz w:val="20"/>
                <w:szCs w:val="20"/>
              </w:rPr>
              <w:t>内蒙古</w:t>
            </w:r>
          </w:p>
        </w:tc>
        <w:tc>
          <w:tcPr>
            <w:tcW w:w="1301" w:type="dxa"/>
            <w:vAlign w:val="top"/>
          </w:tcPr>
          <w:p>
            <w:pPr>
              <w:pStyle w:val="TableText"/>
              <w:spacing w:before="171" w:line="195" w:lineRule="auto"/>
              <w:ind w:left="457"/>
            </w:pPr>
            <w:r>
              <w:rPr>
                <w:spacing w:val="-2"/>
              </w:rPr>
              <w:t>1401</w:t>
            </w:r>
          </w:p>
        </w:tc>
        <w:tc>
          <w:tcPr>
            <w:tcW w:w="1452" w:type="dxa"/>
            <w:vAlign w:val="top"/>
          </w:tcPr>
          <w:p>
            <w:pPr>
              <w:pStyle w:val="TableText"/>
              <w:spacing w:before="174" w:line="192" w:lineRule="auto"/>
              <w:ind w:left="680"/>
            </w:pPr>
            <w:r>
              <w:t>5</w:t>
            </w:r>
          </w:p>
        </w:tc>
        <w:tc>
          <w:tcPr>
            <w:tcW w:w="1270" w:type="dxa"/>
            <w:vAlign w:val="top"/>
          </w:tcPr>
          <w:p>
            <w:pPr>
              <w:pStyle w:val="TableText"/>
              <w:spacing w:before="171" w:line="195" w:lineRule="auto"/>
              <w:ind w:left="433"/>
            </w:pPr>
            <w:r>
              <w:rPr>
                <w:spacing w:val="3"/>
              </w:rPr>
              <w:t>7880</w:t>
            </w:r>
          </w:p>
        </w:tc>
        <w:tc>
          <w:tcPr>
            <w:tcW w:w="1424" w:type="dxa"/>
            <w:vAlign w:val="top"/>
          </w:tcPr>
          <w:p>
            <w:pPr>
              <w:pStyle w:val="TableText"/>
              <w:spacing w:before="171" w:line="195" w:lineRule="auto"/>
              <w:ind w:left="689"/>
            </w:pPr>
            <w:r>
              <w:t>1</w:t>
            </w:r>
          </w:p>
        </w:tc>
        <w:tc>
          <w:tcPr>
            <w:tcW w:w="1192" w:type="dxa"/>
            <w:tcBorders>
              <w:right w:val="single" w:sz="10" w:space="0" w:color="000000"/>
            </w:tcBorders>
            <w:vAlign w:val="top"/>
          </w:tcPr>
          <w:p>
            <w:pPr>
              <w:pStyle w:val="TableText"/>
              <w:spacing w:before="171" w:line="195" w:lineRule="auto"/>
              <w:ind w:left="360"/>
            </w:pPr>
            <w:r>
              <w:t>14885</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71" w:line="195" w:lineRule="auto"/>
              <w:ind w:left="350"/>
            </w:pPr>
            <w:r>
              <w:t>6</w:t>
            </w:r>
          </w:p>
        </w:tc>
        <w:tc>
          <w:tcPr>
            <w:tcW w:w="1065" w:type="dxa"/>
            <w:vAlign w:val="top"/>
          </w:tcPr>
          <w:p>
            <w:pPr>
              <w:spacing w:before="135" w:line="229" w:lineRule="auto"/>
              <w:ind w:left="323"/>
              <w:rPr>
                <w:rFonts w:ascii="SimSun" w:eastAsia="SimSun" w:hAnsi="SimSun" w:cs="SimSun"/>
                <w:sz w:val="20"/>
                <w:szCs w:val="20"/>
              </w:rPr>
            </w:pPr>
            <w:r>
              <w:rPr>
                <w:rFonts w:ascii="SimSun" w:eastAsia="SimSun" w:hAnsi="SimSun" w:cs="SimSun"/>
                <w:spacing w:val="2"/>
                <w:sz w:val="20"/>
                <w:szCs w:val="20"/>
              </w:rPr>
              <w:t>辽宁</w:t>
            </w:r>
          </w:p>
        </w:tc>
        <w:tc>
          <w:tcPr>
            <w:tcW w:w="1301" w:type="dxa"/>
            <w:vAlign w:val="top"/>
          </w:tcPr>
          <w:p>
            <w:pPr>
              <w:pStyle w:val="TableText"/>
              <w:spacing w:before="171" w:line="195" w:lineRule="auto"/>
              <w:ind w:left="490"/>
            </w:pPr>
            <w:r>
              <w:rPr>
                <w:spacing w:val="3"/>
              </w:rPr>
              <w:t>210</w:t>
            </w:r>
          </w:p>
        </w:tc>
        <w:tc>
          <w:tcPr>
            <w:tcW w:w="1452" w:type="dxa"/>
            <w:vAlign w:val="top"/>
          </w:tcPr>
          <w:p>
            <w:pPr>
              <w:pStyle w:val="TableText"/>
              <w:spacing w:before="174" w:line="192" w:lineRule="auto"/>
              <w:ind w:left="680"/>
            </w:pPr>
            <w:r>
              <w:t>5</w:t>
            </w:r>
          </w:p>
        </w:tc>
        <w:tc>
          <w:tcPr>
            <w:tcW w:w="1270" w:type="dxa"/>
            <w:vAlign w:val="top"/>
          </w:tcPr>
          <w:p>
            <w:pPr>
              <w:pStyle w:val="TableText"/>
              <w:spacing w:before="171" w:line="195" w:lineRule="auto"/>
              <w:ind w:left="487"/>
            </w:pPr>
            <w:r>
              <w:rPr>
                <w:spacing w:val="2"/>
              </w:rPr>
              <w:t>338</w:t>
            </w:r>
          </w:p>
        </w:tc>
        <w:tc>
          <w:tcPr>
            <w:tcW w:w="1424" w:type="dxa"/>
            <w:vAlign w:val="top"/>
          </w:tcPr>
          <w:p>
            <w:pPr>
              <w:pStyle w:val="TableText"/>
              <w:spacing w:before="171" w:line="195" w:lineRule="auto"/>
              <w:ind w:left="689"/>
            </w:pPr>
            <w:r>
              <w:t>1</w:t>
            </w:r>
          </w:p>
        </w:tc>
        <w:tc>
          <w:tcPr>
            <w:tcW w:w="1192" w:type="dxa"/>
            <w:tcBorders>
              <w:right w:val="single" w:sz="10" w:space="0" w:color="000000"/>
            </w:tcBorders>
            <w:vAlign w:val="top"/>
          </w:tcPr>
          <w:p>
            <w:pPr>
              <w:pStyle w:val="TableText"/>
              <w:spacing w:before="171" w:line="195" w:lineRule="auto"/>
              <w:ind w:left="410"/>
            </w:pPr>
            <w:r>
              <w:rPr>
                <w:spacing w:val="-1"/>
              </w:rPr>
              <w:t>1388</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75" w:line="192" w:lineRule="auto"/>
              <w:ind w:left="349"/>
            </w:pPr>
            <w:r>
              <w:t>7</w:t>
            </w:r>
          </w:p>
        </w:tc>
        <w:tc>
          <w:tcPr>
            <w:tcW w:w="1065" w:type="dxa"/>
            <w:vAlign w:val="top"/>
          </w:tcPr>
          <w:p>
            <w:pPr>
              <w:spacing w:before="136" w:line="228" w:lineRule="auto"/>
              <w:ind w:left="325"/>
              <w:rPr>
                <w:rFonts w:ascii="SimSun" w:eastAsia="SimSun" w:hAnsi="SimSun" w:cs="SimSun"/>
                <w:sz w:val="20"/>
                <w:szCs w:val="20"/>
              </w:rPr>
            </w:pPr>
            <w:r>
              <w:rPr>
                <w:rFonts w:ascii="SimSun" w:eastAsia="SimSun" w:hAnsi="SimSun" w:cs="SimSun"/>
                <w:spacing w:val="1"/>
                <w:sz w:val="20"/>
                <w:szCs w:val="20"/>
              </w:rPr>
              <w:t>吉林</w:t>
            </w:r>
          </w:p>
        </w:tc>
        <w:tc>
          <w:tcPr>
            <w:tcW w:w="1301" w:type="dxa"/>
            <w:vAlign w:val="top"/>
          </w:tcPr>
          <w:p>
            <w:pPr>
              <w:pStyle w:val="TableText"/>
              <w:spacing w:before="172" w:line="195" w:lineRule="auto"/>
              <w:ind w:left="494"/>
            </w:pPr>
            <w:r>
              <w:rPr>
                <w:spacing w:val="2"/>
              </w:rPr>
              <w:t>602</w:t>
            </w:r>
          </w:p>
        </w:tc>
        <w:tc>
          <w:tcPr>
            <w:tcW w:w="1452" w:type="dxa"/>
            <w:vAlign w:val="top"/>
          </w:tcPr>
          <w:p>
            <w:pPr>
              <w:pStyle w:val="TableText"/>
              <w:spacing w:before="175" w:line="192" w:lineRule="auto"/>
              <w:ind w:left="680"/>
            </w:pPr>
            <w:r>
              <w:t>5</w:t>
            </w:r>
          </w:p>
        </w:tc>
        <w:tc>
          <w:tcPr>
            <w:tcW w:w="1270" w:type="dxa"/>
            <w:vAlign w:val="top"/>
          </w:tcPr>
          <w:p>
            <w:pPr>
              <w:pStyle w:val="TableText"/>
              <w:spacing w:before="172" w:line="195" w:lineRule="auto"/>
              <w:ind w:left="488"/>
            </w:pPr>
            <w:r>
              <w:rPr>
                <w:spacing w:val="1"/>
              </w:rPr>
              <w:t>584</w:t>
            </w:r>
          </w:p>
        </w:tc>
        <w:tc>
          <w:tcPr>
            <w:tcW w:w="1424" w:type="dxa"/>
            <w:vAlign w:val="top"/>
          </w:tcPr>
          <w:p>
            <w:pPr>
              <w:pStyle w:val="TableText"/>
              <w:spacing w:before="172" w:line="195" w:lineRule="auto"/>
              <w:ind w:left="689"/>
            </w:pPr>
            <w:r>
              <w:t>1</w:t>
            </w:r>
          </w:p>
        </w:tc>
        <w:tc>
          <w:tcPr>
            <w:tcW w:w="1192" w:type="dxa"/>
            <w:tcBorders>
              <w:right w:val="single" w:sz="10" w:space="0" w:color="000000"/>
            </w:tcBorders>
            <w:vAlign w:val="top"/>
          </w:tcPr>
          <w:p>
            <w:pPr>
              <w:pStyle w:val="TableText"/>
              <w:spacing w:before="172" w:line="195" w:lineRule="auto"/>
              <w:ind w:left="394"/>
            </w:pPr>
            <w:r>
              <w:rPr>
                <w:spacing w:val="3"/>
              </w:rPr>
              <w:t>3594</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72" w:line="195" w:lineRule="auto"/>
              <w:ind w:left="354"/>
            </w:pPr>
            <w:r>
              <w:t>8</w:t>
            </w:r>
          </w:p>
        </w:tc>
        <w:tc>
          <w:tcPr>
            <w:tcW w:w="1065" w:type="dxa"/>
            <w:vAlign w:val="top"/>
          </w:tcPr>
          <w:p>
            <w:pPr>
              <w:spacing w:before="136" w:line="228" w:lineRule="auto"/>
              <w:ind w:left="220"/>
              <w:rPr>
                <w:rFonts w:ascii="SimSun" w:eastAsia="SimSun" w:hAnsi="SimSun" w:cs="SimSun"/>
                <w:sz w:val="20"/>
                <w:szCs w:val="20"/>
              </w:rPr>
            </w:pPr>
            <w:r>
              <w:rPr>
                <w:rFonts w:ascii="SimSun" w:eastAsia="SimSun" w:hAnsi="SimSun" w:cs="SimSun"/>
                <w:spacing w:val="5"/>
                <w:sz w:val="20"/>
                <w:szCs w:val="20"/>
              </w:rPr>
              <w:t>黑龙江</w:t>
            </w:r>
          </w:p>
        </w:tc>
        <w:tc>
          <w:tcPr>
            <w:tcW w:w="1301" w:type="dxa"/>
            <w:vAlign w:val="top"/>
          </w:tcPr>
          <w:p>
            <w:pPr>
              <w:pStyle w:val="TableText"/>
              <w:spacing w:before="172" w:line="195" w:lineRule="auto"/>
              <w:ind w:left="457"/>
            </w:pPr>
            <w:r>
              <w:rPr>
                <w:spacing w:val="-2"/>
              </w:rPr>
              <w:t>1716</w:t>
            </w:r>
          </w:p>
        </w:tc>
        <w:tc>
          <w:tcPr>
            <w:tcW w:w="1452" w:type="dxa"/>
            <w:vAlign w:val="top"/>
          </w:tcPr>
          <w:p>
            <w:pPr>
              <w:pStyle w:val="TableText"/>
              <w:spacing w:before="175" w:line="192" w:lineRule="auto"/>
              <w:ind w:left="680"/>
            </w:pPr>
            <w:r>
              <w:t>5</w:t>
            </w:r>
          </w:p>
        </w:tc>
        <w:tc>
          <w:tcPr>
            <w:tcW w:w="1270" w:type="dxa"/>
            <w:vAlign w:val="top"/>
          </w:tcPr>
          <w:p>
            <w:pPr>
              <w:pStyle w:val="TableText"/>
              <w:spacing w:before="172" w:line="195" w:lineRule="auto"/>
              <w:ind w:left="486"/>
            </w:pPr>
            <w:r>
              <w:rPr>
                <w:spacing w:val="2"/>
              </w:rPr>
              <w:t>753</w:t>
            </w:r>
          </w:p>
        </w:tc>
        <w:tc>
          <w:tcPr>
            <w:tcW w:w="1424" w:type="dxa"/>
            <w:vAlign w:val="top"/>
          </w:tcPr>
          <w:p>
            <w:pPr>
              <w:pStyle w:val="TableText"/>
              <w:spacing w:before="173" w:line="195" w:lineRule="auto"/>
              <w:ind w:left="689"/>
            </w:pPr>
            <w:r>
              <w:t>1</w:t>
            </w:r>
          </w:p>
        </w:tc>
        <w:tc>
          <w:tcPr>
            <w:tcW w:w="1192" w:type="dxa"/>
            <w:tcBorders>
              <w:right w:val="single" w:sz="10" w:space="0" w:color="000000"/>
            </w:tcBorders>
            <w:vAlign w:val="top"/>
          </w:tcPr>
          <w:p>
            <w:pPr>
              <w:pStyle w:val="TableText"/>
              <w:spacing w:before="172" w:line="195" w:lineRule="auto"/>
              <w:ind w:left="394"/>
            </w:pPr>
            <w:r>
              <w:rPr>
                <w:spacing w:val="3"/>
              </w:rPr>
              <w:t>9333</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73" w:line="195" w:lineRule="auto"/>
              <w:ind w:left="350"/>
            </w:pPr>
            <w:r>
              <w:t>9</w:t>
            </w:r>
          </w:p>
        </w:tc>
        <w:tc>
          <w:tcPr>
            <w:tcW w:w="1065" w:type="dxa"/>
            <w:vAlign w:val="top"/>
          </w:tcPr>
          <w:p>
            <w:pPr>
              <w:spacing w:before="137" w:line="229" w:lineRule="auto"/>
              <w:ind w:left="320"/>
              <w:rPr>
                <w:rFonts w:ascii="SimSun" w:eastAsia="SimSun" w:hAnsi="SimSun" w:cs="SimSun"/>
                <w:sz w:val="20"/>
                <w:szCs w:val="20"/>
              </w:rPr>
            </w:pPr>
            <w:r>
              <w:rPr>
                <w:rFonts w:ascii="SimSun" w:eastAsia="SimSun" w:hAnsi="SimSun" w:cs="SimSun"/>
                <w:spacing w:val="3"/>
                <w:sz w:val="20"/>
                <w:szCs w:val="20"/>
              </w:rPr>
              <w:t>上海</w:t>
            </w:r>
          </w:p>
        </w:tc>
        <w:tc>
          <w:tcPr>
            <w:tcW w:w="1301" w:type="dxa"/>
            <w:vAlign w:val="top"/>
          </w:tcPr>
          <w:p>
            <w:pPr>
              <w:pStyle w:val="TableText"/>
              <w:spacing w:before="173" w:line="195" w:lineRule="auto"/>
              <w:ind w:left="613"/>
            </w:pPr>
            <w:r>
              <w:t>1</w:t>
            </w:r>
          </w:p>
        </w:tc>
        <w:tc>
          <w:tcPr>
            <w:tcW w:w="1452" w:type="dxa"/>
            <w:vAlign w:val="top"/>
          </w:tcPr>
          <w:p>
            <w:pPr>
              <w:pStyle w:val="TableText"/>
              <w:spacing w:before="176" w:line="192" w:lineRule="auto"/>
              <w:ind w:left="680"/>
            </w:pPr>
            <w:r>
              <w:t>5</w:t>
            </w:r>
          </w:p>
        </w:tc>
        <w:tc>
          <w:tcPr>
            <w:tcW w:w="1270" w:type="dxa"/>
            <w:vAlign w:val="top"/>
          </w:tcPr>
          <w:p>
            <w:pPr>
              <w:pStyle w:val="TableText"/>
              <w:spacing w:before="176" w:line="192" w:lineRule="auto"/>
              <w:ind w:left="591"/>
            </w:pPr>
            <w:r>
              <w:t>7</w:t>
            </w:r>
          </w:p>
        </w:tc>
        <w:tc>
          <w:tcPr>
            <w:tcW w:w="1424" w:type="dxa"/>
            <w:vAlign w:val="top"/>
          </w:tcPr>
          <w:p>
            <w:pPr>
              <w:pStyle w:val="TableText"/>
              <w:spacing w:before="173" w:line="195" w:lineRule="auto"/>
              <w:ind w:left="689"/>
            </w:pPr>
            <w:r>
              <w:t>1</w:t>
            </w:r>
          </w:p>
        </w:tc>
        <w:tc>
          <w:tcPr>
            <w:tcW w:w="1192" w:type="dxa"/>
            <w:tcBorders>
              <w:right w:val="single" w:sz="10" w:space="0" w:color="000000"/>
            </w:tcBorders>
            <w:vAlign w:val="top"/>
          </w:tcPr>
          <w:p>
            <w:pPr>
              <w:pStyle w:val="TableText"/>
              <w:spacing w:before="173" w:line="195" w:lineRule="auto"/>
              <w:ind w:left="516"/>
            </w:pPr>
            <w:r>
              <w:rPr>
                <w:spacing w:val="-8"/>
              </w:rPr>
              <w:t>12</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74" w:line="195" w:lineRule="auto"/>
              <w:ind w:left="315"/>
            </w:pPr>
            <w:r>
              <w:rPr>
                <w:spacing w:val="-8"/>
              </w:rPr>
              <w:t>10</w:t>
            </w:r>
          </w:p>
        </w:tc>
        <w:tc>
          <w:tcPr>
            <w:tcW w:w="1065" w:type="dxa"/>
            <w:vAlign w:val="top"/>
          </w:tcPr>
          <w:p>
            <w:pPr>
              <w:spacing w:before="138" w:line="228" w:lineRule="auto"/>
              <w:ind w:left="319"/>
              <w:rPr>
                <w:rFonts w:ascii="SimSun" w:eastAsia="SimSun" w:hAnsi="SimSun" w:cs="SimSun"/>
                <w:sz w:val="20"/>
                <w:szCs w:val="20"/>
              </w:rPr>
            </w:pPr>
            <w:r>
              <w:rPr>
                <w:rFonts w:ascii="SimSun" w:eastAsia="SimSun" w:hAnsi="SimSun" w:cs="SimSun"/>
                <w:spacing w:val="4"/>
                <w:sz w:val="20"/>
                <w:szCs w:val="20"/>
              </w:rPr>
              <w:t>江苏</w:t>
            </w:r>
          </w:p>
        </w:tc>
        <w:tc>
          <w:tcPr>
            <w:tcW w:w="1301" w:type="dxa"/>
            <w:vAlign w:val="top"/>
          </w:tcPr>
          <w:p>
            <w:pPr>
              <w:pStyle w:val="TableText"/>
              <w:spacing w:before="177" w:line="192" w:lineRule="auto"/>
              <w:ind w:left="599"/>
            </w:pPr>
            <w:r>
              <w:t>5</w:t>
            </w:r>
          </w:p>
        </w:tc>
        <w:tc>
          <w:tcPr>
            <w:tcW w:w="1452" w:type="dxa"/>
            <w:vAlign w:val="top"/>
          </w:tcPr>
          <w:p>
            <w:pPr>
              <w:pStyle w:val="TableText"/>
              <w:spacing w:before="177" w:line="192" w:lineRule="auto"/>
              <w:ind w:left="680"/>
            </w:pPr>
            <w:r>
              <w:t>5</w:t>
            </w:r>
          </w:p>
        </w:tc>
        <w:tc>
          <w:tcPr>
            <w:tcW w:w="1270" w:type="dxa"/>
            <w:vAlign w:val="top"/>
          </w:tcPr>
          <w:p>
            <w:pPr>
              <w:pStyle w:val="TableText"/>
              <w:spacing w:before="174" w:line="195" w:lineRule="auto"/>
              <w:ind w:left="534"/>
            </w:pPr>
            <w:r>
              <w:rPr>
                <w:spacing w:val="3"/>
              </w:rPr>
              <w:t>41</w:t>
            </w:r>
          </w:p>
        </w:tc>
        <w:tc>
          <w:tcPr>
            <w:tcW w:w="1424" w:type="dxa"/>
            <w:vAlign w:val="top"/>
          </w:tcPr>
          <w:p>
            <w:pPr>
              <w:pStyle w:val="TableText"/>
              <w:spacing w:before="174" w:line="195" w:lineRule="auto"/>
              <w:ind w:left="689"/>
            </w:pPr>
            <w:r>
              <w:t>1</w:t>
            </w:r>
          </w:p>
        </w:tc>
        <w:tc>
          <w:tcPr>
            <w:tcW w:w="1192" w:type="dxa"/>
            <w:tcBorders>
              <w:right w:val="single" w:sz="10" w:space="0" w:color="000000"/>
            </w:tcBorders>
            <w:vAlign w:val="top"/>
          </w:tcPr>
          <w:p>
            <w:pPr>
              <w:pStyle w:val="TableText"/>
              <w:spacing w:before="174" w:line="195" w:lineRule="auto"/>
              <w:ind w:left="500"/>
            </w:pPr>
            <w:r>
              <w:t>66</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77" w:line="195" w:lineRule="auto"/>
              <w:ind w:left="318"/>
            </w:pPr>
            <w:r>
              <w:rPr>
                <w:spacing w:val="-10"/>
              </w:rPr>
              <w:t>11</w:t>
            </w:r>
          </w:p>
        </w:tc>
        <w:tc>
          <w:tcPr>
            <w:tcW w:w="1065" w:type="dxa"/>
            <w:vAlign w:val="top"/>
          </w:tcPr>
          <w:p>
            <w:pPr>
              <w:spacing w:before="140" w:line="231" w:lineRule="auto"/>
              <w:ind w:left="319"/>
              <w:rPr>
                <w:rFonts w:ascii="SimSun" w:eastAsia="SimSun" w:hAnsi="SimSun" w:cs="SimSun"/>
                <w:sz w:val="20"/>
                <w:szCs w:val="20"/>
              </w:rPr>
            </w:pPr>
            <w:r>
              <w:rPr>
                <w:rFonts w:ascii="SimSun" w:eastAsia="SimSun" w:hAnsi="SimSun" w:cs="SimSun"/>
                <w:spacing w:val="4"/>
                <w:sz w:val="20"/>
                <w:szCs w:val="20"/>
              </w:rPr>
              <w:t>浙江</w:t>
            </w:r>
          </w:p>
        </w:tc>
        <w:tc>
          <w:tcPr>
            <w:tcW w:w="1301" w:type="dxa"/>
            <w:vAlign w:val="top"/>
          </w:tcPr>
          <w:p>
            <w:pPr>
              <w:pStyle w:val="TableText"/>
              <w:spacing w:before="177" w:line="195" w:lineRule="auto"/>
              <w:ind w:left="494"/>
            </w:pPr>
            <w:r>
              <w:rPr>
                <w:spacing w:val="2"/>
              </w:rPr>
              <w:t>343</w:t>
            </w:r>
          </w:p>
        </w:tc>
        <w:tc>
          <w:tcPr>
            <w:tcW w:w="1452" w:type="dxa"/>
            <w:vAlign w:val="top"/>
          </w:tcPr>
          <w:p>
            <w:pPr>
              <w:pStyle w:val="TableText"/>
              <w:spacing w:before="180" w:line="192" w:lineRule="auto"/>
              <w:ind w:left="680"/>
            </w:pPr>
            <w:r>
              <w:t>5</w:t>
            </w:r>
          </w:p>
        </w:tc>
        <w:tc>
          <w:tcPr>
            <w:tcW w:w="1270" w:type="dxa"/>
            <w:vAlign w:val="top"/>
          </w:tcPr>
          <w:p>
            <w:pPr>
              <w:pStyle w:val="TableText"/>
              <w:spacing w:before="177" w:line="195" w:lineRule="auto"/>
              <w:ind w:left="487"/>
            </w:pPr>
            <w:r>
              <w:rPr>
                <w:spacing w:val="2"/>
              </w:rPr>
              <w:t>316</w:t>
            </w:r>
          </w:p>
        </w:tc>
        <w:tc>
          <w:tcPr>
            <w:tcW w:w="1424" w:type="dxa"/>
            <w:vAlign w:val="top"/>
          </w:tcPr>
          <w:p>
            <w:pPr>
              <w:pStyle w:val="TableText"/>
              <w:spacing w:before="177" w:line="195" w:lineRule="auto"/>
              <w:ind w:left="689"/>
            </w:pPr>
            <w:r>
              <w:t>1</w:t>
            </w:r>
          </w:p>
        </w:tc>
        <w:tc>
          <w:tcPr>
            <w:tcW w:w="1192" w:type="dxa"/>
            <w:tcBorders>
              <w:right w:val="single" w:sz="10" w:space="0" w:color="000000"/>
            </w:tcBorders>
            <w:vAlign w:val="top"/>
          </w:tcPr>
          <w:p>
            <w:pPr>
              <w:pStyle w:val="TableText"/>
              <w:spacing w:before="177" w:line="195" w:lineRule="auto"/>
              <w:ind w:left="390"/>
            </w:pPr>
            <w:r>
              <w:rPr>
                <w:spacing w:val="4"/>
              </w:rPr>
              <w:t>2031</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77" w:line="195" w:lineRule="auto"/>
              <w:ind w:left="315"/>
            </w:pPr>
            <w:r>
              <w:rPr>
                <w:spacing w:val="-8"/>
              </w:rPr>
              <w:t>12</w:t>
            </w:r>
          </w:p>
        </w:tc>
        <w:tc>
          <w:tcPr>
            <w:tcW w:w="1065" w:type="dxa"/>
            <w:vAlign w:val="top"/>
          </w:tcPr>
          <w:p>
            <w:pPr>
              <w:spacing w:before="142" w:line="228" w:lineRule="auto"/>
              <w:ind w:left="322"/>
              <w:rPr>
                <w:rFonts w:ascii="SimSun" w:eastAsia="SimSun" w:hAnsi="SimSun" w:cs="SimSun"/>
                <w:sz w:val="20"/>
                <w:szCs w:val="20"/>
              </w:rPr>
            </w:pPr>
            <w:r>
              <w:rPr>
                <w:rFonts w:ascii="SimSun" w:eastAsia="SimSun" w:hAnsi="SimSun" w:cs="SimSun"/>
                <w:spacing w:val="2"/>
                <w:sz w:val="20"/>
                <w:szCs w:val="20"/>
              </w:rPr>
              <w:t>安徽</w:t>
            </w:r>
          </w:p>
        </w:tc>
        <w:tc>
          <w:tcPr>
            <w:tcW w:w="1301" w:type="dxa"/>
            <w:vAlign w:val="top"/>
          </w:tcPr>
          <w:p>
            <w:pPr>
              <w:pStyle w:val="TableText"/>
              <w:spacing w:before="177" w:line="195" w:lineRule="auto"/>
              <w:ind w:left="510"/>
            </w:pPr>
            <w:r>
              <w:rPr>
                <w:spacing w:val="-3"/>
              </w:rPr>
              <w:t>155</w:t>
            </w:r>
          </w:p>
        </w:tc>
        <w:tc>
          <w:tcPr>
            <w:tcW w:w="1452" w:type="dxa"/>
            <w:vAlign w:val="top"/>
          </w:tcPr>
          <w:p>
            <w:pPr>
              <w:pStyle w:val="TableText"/>
              <w:spacing w:before="180" w:line="192" w:lineRule="auto"/>
              <w:ind w:left="680"/>
            </w:pPr>
            <w:r>
              <w:t>5</w:t>
            </w:r>
          </w:p>
        </w:tc>
        <w:tc>
          <w:tcPr>
            <w:tcW w:w="1270" w:type="dxa"/>
            <w:vAlign w:val="top"/>
          </w:tcPr>
          <w:p>
            <w:pPr>
              <w:pStyle w:val="TableText"/>
              <w:spacing w:before="177" w:line="195" w:lineRule="auto"/>
              <w:ind w:left="503"/>
            </w:pPr>
            <w:r>
              <w:rPr>
                <w:spacing w:val="-3"/>
              </w:rPr>
              <w:t>166</w:t>
            </w:r>
          </w:p>
        </w:tc>
        <w:tc>
          <w:tcPr>
            <w:tcW w:w="1424" w:type="dxa"/>
            <w:vAlign w:val="top"/>
          </w:tcPr>
          <w:p>
            <w:pPr>
              <w:pStyle w:val="TableText"/>
              <w:spacing w:before="177" w:line="195" w:lineRule="auto"/>
              <w:ind w:left="689"/>
            </w:pPr>
            <w:r>
              <w:t>1</w:t>
            </w:r>
          </w:p>
        </w:tc>
        <w:tc>
          <w:tcPr>
            <w:tcW w:w="1192" w:type="dxa"/>
            <w:tcBorders>
              <w:right w:val="single" w:sz="10" w:space="0" w:color="000000"/>
            </w:tcBorders>
            <w:vAlign w:val="top"/>
          </w:tcPr>
          <w:p>
            <w:pPr>
              <w:pStyle w:val="TableText"/>
              <w:spacing w:before="177" w:line="195" w:lineRule="auto"/>
              <w:ind w:left="449"/>
            </w:pPr>
            <w:r>
              <w:rPr>
                <w:spacing w:val="2"/>
              </w:rPr>
              <w:t>941</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78" w:line="195" w:lineRule="auto"/>
              <w:ind w:left="315"/>
            </w:pPr>
            <w:r>
              <w:rPr>
                <w:spacing w:val="-8"/>
              </w:rPr>
              <w:t>13</w:t>
            </w:r>
          </w:p>
        </w:tc>
        <w:tc>
          <w:tcPr>
            <w:tcW w:w="1065" w:type="dxa"/>
            <w:vAlign w:val="top"/>
          </w:tcPr>
          <w:p>
            <w:pPr>
              <w:spacing w:before="142" w:line="229" w:lineRule="auto"/>
              <w:ind w:left="317"/>
              <w:rPr>
                <w:rFonts w:ascii="SimSun" w:eastAsia="SimSun" w:hAnsi="SimSun" w:cs="SimSun"/>
                <w:sz w:val="20"/>
                <w:szCs w:val="20"/>
              </w:rPr>
            </w:pPr>
            <w:r>
              <w:rPr>
                <w:rFonts w:ascii="SimSun" w:eastAsia="SimSun" w:hAnsi="SimSun" w:cs="SimSun"/>
                <w:spacing w:val="5"/>
                <w:sz w:val="20"/>
                <w:szCs w:val="20"/>
              </w:rPr>
              <w:t>福建</w:t>
            </w:r>
          </w:p>
        </w:tc>
        <w:tc>
          <w:tcPr>
            <w:tcW w:w="1301" w:type="dxa"/>
            <w:vAlign w:val="top"/>
          </w:tcPr>
          <w:p>
            <w:pPr>
              <w:pStyle w:val="TableText"/>
              <w:spacing w:before="178" w:line="195" w:lineRule="auto"/>
              <w:ind w:left="489"/>
            </w:pPr>
            <w:r>
              <w:rPr>
                <w:spacing w:val="4"/>
              </w:rPr>
              <w:t>424</w:t>
            </w:r>
          </w:p>
        </w:tc>
        <w:tc>
          <w:tcPr>
            <w:tcW w:w="1452" w:type="dxa"/>
            <w:vAlign w:val="top"/>
          </w:tcPr>
          <w:p>
            <w:pPr>
              <w:pStyle w:val="TableText"/>
              <w:spacing w:before="181" w:line="192" w:lineRule="auto"/>
              <w:ind w:left="680"/>
            </w:pPr>
            <w:r>
              <w:t>5</w:t>
            </w:r>
          </w:p>
        </w:tc>
        <w:tc>
          <w:tcPr>
            <w:tcW w:w="1270" w:type="dxa"/>
            <w:vAlign w:val="top"/>
          </w:tcPr>
          <w:p>
            <w:pPr>
              <w:pStyle w:val="TableText"/>
              <w:spacing w:before="178" w:line="195" w:lineRule="auto"/>
              <w:ind w:left="482"/>
            </w:pPr>
            <w:r>
              <w:rPr>
                <w:spacing w:val="3"/>
              </w:rPr>
              <w:t>204</w:t>
            </w:r>
          </w:p>
        </w:tc>
        <w:tc>
          <w:tcPr>
            <w:tcW w:w="1424" w:type="dxa"/>
            <w:vAlign w:val="top"/>
          </w:tcPr>
          <w:p>
            <w:pPr>
              <w:pStyle w:val="TableText"/>
              <w:spacing w:before="178" w:line="195" w:lineRule="auto"/>
              <w:ind w:left="689"/>
            </w:pPr>
            <w:r>
              <w:t>1</w:t>
            </w:r>
          </w:p>
        </w:tc>
        <w:tc>
          <w:tcPr>
            <w:tcW w:w="1192" w:type="dxa"/>
            <w:tcBorders>
              <w:right w:val="single" w:sz="10" w:space="0" w:color="000000"/>
            </w:tcBorders>
            <w:vAlign w:val="top"/>
          </w:tcPr>
          <w:p>
            <w:pPr>
              <w:pStyle w:val="TableText"/>
              <w:spacing w:before="178" w:line="195" w:lineRule="auto"/>
              <w:ind w:left="390"/>
            </w:pPr>
            <w:r>
              <w:rPr>
                <w:spacing w:val="4"/>
              </w:rPr>
              <w:t>2324</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79" w:line="195" w:lineRule="auto"/>
              <w:ind w:left="315"/>
            </w:pPr>
            <w:r>
              <w:rPr>
                <w:spacing w:val="-8"/>
              </w:rPr>
              <w:t>14</w:t>
            </w:r>
          </w:p>
        </w:tc>
        <w:tc>
          <w:tcPr>
            <w:tcW w:w="1065" w:type="dxa"/>
            <w:vAlign w:val="top"/>
          </w:tcPr>
          <w:p>
            <w:pPr>
              <w:spacing w:before="143" w:line="231" w:lineRule="auto"/>
              <w:ind w:left="319"/>
              <w:rPr>
                <w:rFonts w:ascii="SimSun" w:eastAsia="SimSun" w:hAnsi="SimSun" w:cs="SimSun"/>
                <w:sz w:val="20"/>
                <w:szCs w:val="20"/>
              </w:rPr>
            </w:pPr>
            <w:r>
              <w:rPr>
                <w:rFonts w:ascii="SimSun" w:eastAsia="SimSun" w:hAnsi="SimSun" w:cs="SimSun"/>
                <w:spacing w:val="4"/>
                <w:sz w:val="20"/>
                <w:szCs w:val="20"/>
              </w:rPr>
              <w:t>江西</w:t>
            </w:r>
          </w:p>
        </w:tc>
        <w:tc>
          <w:tcPr>
            <w:tcW w:w="1301" w:type="dxa"/>
            <w:vAlign w:val="top"/>
          </w:tcPr>
          <w:p>
            <w:pPr>
              <w:pStyle w:val="TableText"/>
              <w:spacing w:before="178" w:line="195" w:lineRule="auto"/>
              <w:ind w:left="494"/>
            </w:pPr>
            <w:r>
              <w:rPr>
                <w:spacing w:val="2"/>
              </w:rPr>
              <w:t>663</w:t>
            </w:r>
          </w:p>
        </w:tc>
        <w:tc>
          <w:tcPr>
            <w:tcW w:w="1452" w:type="dxa"/>
            <w:vAlign w:val="top"/>
          </w:tcPr>
          <w:p>
            <w:pPr>
              <w:pStyle w:val="TableText"/>
              <w:spacing w:before="181" w:line="192" w:lineRule="auto"/>
              <w:ind w:left="680"/>
            </w:pPr>
            <w:r>
              <w:t>5</w:t>
            </w:r>
          </w:p>
        </w:tc>
        <w:tc>
          <w:tcPr>
            <w:tcW w:w="1270" w:type="dxa"/>
            <w:vAlign w:val="top"/>
          </w:tcPr>
          <w:p>
            <w:pPr>
              <w:pStyle w:val="TableText"/>
              <w:spacing w:before="179" w:line="195" w:lineRule="auto"/>
              <w:ind w:left="481"/>
            </w:pPr>
            <w:r>
              <w:rPr>
                <w:spacing w:val="4"/>
              </w:rPr>
              <w:t>444</w:t>
            </w:r>
          </w:p>
        </w:tc>
        <w:tc>
          <w:tcPr>
            <w:tcW w:w="1424" w:type="dxa"/>
            <w:vAlign w:val="top"/>
          </w:tcPr>
          <w:p>
            <w:pPr>
              <w:pStyle w:val="TableText"/>
              <w:spacing w:before="179" w:line="195" w:lineRule="auto"/>
              <w:ind w:left="689"/>
            </w:pPr>
            <w:r>
              <w:t>1</w:t>
            </w:r>
          </w:p>
        </w:tc>
        <w:tc>
          <w:tcPr>
            <w:tcW w:w="1192" w:type="dxa"/>
            <w:tcBorders>
              <w:right w:val="single" w:sz="10" w:space="0" w:color="000000"/>
            </w:tcBorders>
            <w:vAlign w:val="top"/>
          </w:tcPr>
          <w:p>
            <w:pPr>
              <w:pStyle w:val="TableText"/>
              <w:spacing w:before="178" w:line="195" w:lineRule="auto"/>
              <w:ind w:left="394"/>
            </w:pPr>
            <w:r>
              <w:rPr>
                <w:spacing w:val="3"/>
              </w:rPr>
              <w:t>3759</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79" w:line="195" w:lineRule="auto"/>
              <w:ind w:left="315"/>
            </w:pPr>
            <w:r>
              <w:rPr>
                <w:spacing w:val="-8"/>
              </w:rPr>
              <w:t>15</w:t>
            </w:r>
          </w:p>
        </w:tc>
        <w:tc>
          <w:tcPr>
            <w:tcW w:w="1065" w:type="dxa"/>
            <w:vAlign w:val="top"/>
          </w:tcPr>
          <w:p>
            <w:pPr>
              <w:spacing w:before="143" w:line="228" w:lineRule="auto"/>
              <w:ind w:left="337"/>
              <w:rPr>
                <w:rFonts w:ascii="SimSun" w:eastAsia="SimSun" w:hAnsi="SimSun" w:cs="SimSun"/>
                <w:sz w:val="20"/>
                <w:szCs w:val="20"/>
              </w:rPr>
            </w:pPr>
            <w:r>
              <w:rPr>
                <w:rFonts w:ascii="SimSun" w:eastAsia="SimSun" w:hAnsi="SimSun" w:cs="SimSun"/>
                <w:spacing w:val="-5"/>
                <w:sz w:val="20"/>
                <w:szCs w:val="20"/>
              </w:rPr>
              <w:t>山东</w:t>
            </w:r>
          </w:p>
        </w:tc>
        <w:tc>
          <w:tcPr>
            <w:tcW w:w="1301" w:type="dxa"/>
            <w:vAlign w:val="top"/>
          </w:tcPr>
          <w:p>
            <w:pPr>
              <w:pStyle w:val="TableText"/>
              <w:spacing w:before="179" w:line="195" w:lineRule="auto"/>
              <w:ind w:left="560"/>
            </w:pPr>
            <w:r>
              <w:rPr>
                <w:spacing w:val="-8"/>
              </w:rPr>
              <w:t>10</w:t>
            </w:r>
          </w:p>
        </w:tc>
        <w:tc>
          <w:tcPr>
            <w:tcW w:w="1452" w:type="dxa"/>
            <w:vAlign w:val="top"/>
          </w:tcPr>
          <w:p>
            <w:pPr>
              <w:pStyle w:val="TableText"/>
              <w:spacing w:before="182" w:line="192" w:lineRule="auto"/>
              <w:ind w:left="680"/>
            </w:pPr>
            <w:r>
              <w:t>5</w:t>
            </w:r>
          </w:p>
        </w:tc>
        <w:tc>
          <w:tcPr>
            <w:tcW w:w="1270" w:type="dxa"/>
            <w:vAlign w:val="top"/>
          </w:tcPr>
          <w:p>
            <w:pPr>
              <w:pStyle w:val="TableText"/>
              <w:spacing w:before="179" w:line="195" w:lineRule="auto"/>
              <w:ind w:left="503"/>
            </w:pPr>
            <w:r>
              <w:rPr>
                <w:spacing w:val="-3"/>
              </w:rPr>
              <w:t>163</w:t>
            </w:r>
          </w:p>
        </w:tc>
        <w:tc>
          <w:tcPr>
            <w:tcW w:w="1424" w:type="dxa"/>
            <w:vAlign w:val="top"/>
          </w:tcPr>
          <w:p>
            <w:pPr>
              <w:pStyle w:val="TableText"/>
              <w:spacing w:before="179" w:line="195" w:lineRule="auto"/>
              <w:ind w:left="689"/>
            </w:pPr>
            <w:r>
              <w:t>1</w:t>
            </w:r>
          </w:p>
        </w:tc>
        <w:tc>
          <w:tcPr>
            <w:tcW w:w="1192" w:type="dxa"/>
            <w:tcBorders>
              <w:right w:val="single" w:sz="10" w:space="0" w:color="000000"/>
            </w:tcBorders>
            <w:vAlign w:val="top"/>
          </w:tcPr>
          <w:p>
            <w:pPr>
              <w:pStyle w:val="TableText"/>
              <w:spacing w:before="179" w:line="195" w:lineRule="auto"/>
              <w:ind w:left="445"/>
            </w:pPr>
            <w:r>
              <w:rPr>
                <w:spacing w:val="3"/>
              </w:rPr>
              <w:t>213</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80" w:line="195" w:lineRule="auto"/>
              <w:ind w:left="315"/>
            </w:pPr>
            <w:r>
              <w:rPr>
                <w:spacing w:val="-8"/>
              </w:rPr>
              <w:t>16</w:t>
            </w:r>
          </w:p>
        </w:tc>
        <w:tc>
          <w:tcPr>
            <w:tcW w:w="1065" w:type="dxa"/>
            <w:vAlign w:val="top"/>
          </w:tcPr>
          <w:p>
            <w:pPr>
              <w:spacing w:before="144" w:line="230" w:lineRule="auto"/>
              <w:ind w:left="317"/>
              <w:rPr>
                <w:rFonts w:ascii="SimSun" w:eastAsia="SimSun" w:hAnsi="SimSun" w:cs="SimSun"/>
                <w:sz w:val="20"/>
                <w:szCs w:val="20"/>
              </w:rPr>
            </w:pPr>
            <w:r>
              <w:rPr>
                <w:rFonts w:ascii="SimSun" w:eastAsia="SimSun" w:hAnsi="SimSun" w:cs="SimSun"/>
                <w:spacing w:val="5"/>
                <w:sz w:val="20"/>
                <w:szCs w:val="20"/>
              </w:rPr>
              <w:t>河南</w:t>
            </w:r>
          </w:p>
        </w:tc>
        <w:tc>
          <w:tcPr>
            <w:tcW w:w="1301" w:type="dxa"/>
            <w:vAlign w:val="top"/>
          </w:tcPr>
          <w:p>
            <w:pPr>
              <w:pStyle w:val="TableText"/>
              <w:spacing w:before="180" w:line="195" w:lineRule="auto"/>
              <w:ind w:left="510"/>
            </w:pPr>
            <w:r>
              <w:rPr>
                <w:spacing w:val="-3"/>
              </w:rPr>
              <w:t>132</w:t>
            </w:r>
          </w:p>
        </w:tc>
        <w:tc>
          <w:tcPr>
            <w:tcW w:w="1452" w:type="dxa"/>
            <w:vAlign w:val="top"/>
          </w:tcPr>
          <w:p>
            <w:pPr>
              <w:pStyle w:val="TableText"/>
              <w:spacing w:before="183" w:line="192" w:lineRule="auto"/>
              <w:ind w:left="680"/>
            </w:pPr>
            <w:r>
              <w:t>5</w:t>
            </w:r>
          </w:p>
        </w:tc>
        <w:tc>
          <w:tcPr>
            <w:tcW w:w="1270" w:type="dxa"/>
            <w:vAlign w:val="top"/>
          </w:tcPr>
          <w:p>
            <w:pPr>
              <w:pStyle w:val="TableText"/>
              <w:spacing w:before="180" w:line="195" w:lineRule="auto"/>
              <w:ind w:left="481"/>
            </w:pPr>
            <w:r>
              <w:rPr>
                <w:spacing w:val="4"/>
              </w:rPr>
              <w:t>443</w:t>
            </w:r>
          </w:p>
        </w:tc>
        <w:tc>
          <w:tcPr>
            <w:tcW w:w="1424" w:type="dxa"/>
            <w:vAlign w:val="top"/>
          </w:tcPr>
          <w:p>
            <w:pPr>
              <w:pStyle w:val="TableText"/>
              <w:spacing w:before="180" w:line="195" w:lineRule="auto"/>
              <w:ind w:left="689"/>
            </w:pPr>
            <w:r>
              <w:t>1</w:t>
            </w:r>
          </w:p>
        </w:tc>
        <w:tc>
          <w:tcPr>
            <w:tcW w:w="1192" w:type="dxa"/>
            <w:tcBorders>
              <w:right w:val="single" w:sz="10" w:space="0" w:color="000000"/>
            </w:tcBorders>
            <w:vAlign w:val="top"/>
          </w:tcPr>
          <w:p>
            <w:pPr>
              <w:pStyle w:val="TableText"/>
              <w:spacing w:before="180" w:line="195" w:lineRule="auto"/>
              <w:ind w:left="415"/>
            </w:pPr>
            <w:r>
              <w:rPr>
                <w:spacing w:val="-3"/>
              </w:rPr>
              <w:t>1103</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83" w:line="195" w:lineRule="auto"/>
              <w:ind w:left="315"/>
            </w:pPr>
            <w:r>
              <w:rPr>
                <w:spacing w:val="-8"/>
              </w:rPr>
              <w:t>17</w:t>
            </w:r>
          </w:p>
        </w:tc>
        <w:tc>
          <w:tcPr>
            <w:tcW w:w="1065" w:type="dxa"/>
            <w:vAlign w:val="top"/>
          </w:tcPr>
          <w:p>
            <w:pPr>
              <w:spacing w:before="147" w:line="230" w:lineRule="auto"/>
              <w:ind w:left="317"/>
              <w:rPr>
                <w:rFonts w:ascii="SimSun" w:eastAsia="SimSun" w:hAnsi="SimSun" w:cs="SimSun"/>
                <w:sz w:val="20"/>
                <w:szCs w:val="20"/>
              </w:rPr>
            </w:pPr>
            <w:r>
              <w:rPr>
                <w:rFonts w:ascii="SimSun" w:eastAsia="SimSun" w:hAnsi="SimSun" w:cs="SimSun"/>
                <w:spacing w:val="5"/>
                <w:sz w:val="20"/>
                <w:szCs w:val="20"/>
              </w:rPr>
              <w:t>湖北</w:t>
            </w:r>
          </w:p>
        </w:tc>
        <w:tc>
          <w:tcPr>
            <w:tcW w:w="1301" w:type="dxa"/>
            <w:vAlign w:val="top"/>
          </w:tcPr>
          <w:p>
            <w:pPr>
              <w:pStyle w:val="TableText"/>
              <w:spacing w:before="183" w:line="195" w:lineRule="auto"/>
              <w:ind w:left="489"/>
            </w:pPr>
            <w:r>
              <w:rPr>
                <w:spacing w:val="4"/>
              </w:rPr>
              <w:t>454</w:t>
            </w:r>
          </w:p>
        </w:tc>
        <w:tc>
          <w:tcPr>
            <w:tcW w:w="1452" w:type="dxa"/>
            <w:vAlign w:val="top"/>
          </w:tcPr>
          <w:p>
            <w:pPr>
              <w:pStyle w:val="TableText"/>
              <w:spacing w:before="186" w:line="192" w:lineRule="auto"/>
              <w:ind w:left="680"/>
            </w:pPr>
            <w:r>
              <w:t>5</w:t>
            </w:r>
          </w:p>
        </w:tc>
        <w:tc>
          <w:tcPr>
            <w:tcW w:w="1270" w:type="dxa"/>
            <w:vAlign w:val="top"/>
          </w:tcPr>
          <w:p>
            <w:pPr>
              <w:pStyle w:val="TableText"/>
              <w:spacing w:before="183" w:line="195" w:lineRule="auto"/>
              <w:ind w:left="487"/>
            </w:pPr>
            <w:r>
              <w:rPr>
                <w:spacing w:val="2"/>
              </w:rPr>
              <w:t>635</w:t>
            </w:r>
          </w:p>
        </w:tc>
        <w:tc>
          <w:tcPr>
            <w:tcW w:w="1424" w:type="dxa"/>
            <w:vAlign w:val="top"/>
          </w:tcPr>
          <w:p>
            <w:pPr>
              <w:pStyle w:val="TableText"/>
              <w:spacing w:before="183" w:line="195" w:lineRule="auto"/>
              <w:ind w:left="689"/>
            </w:pPr>
            <w:r>
              <w:t>1</w:t>
            </w:r>
          </w:p>
        </w:tc>
        <w:tc>
          <w:tcPr>
            <w:tcW w:w="1192" w:type="dxa"/>
            <w:tcBorders>
              <w:right w:val="single" w:sz="10" w:space="0" w:color="000000"/>
            </w:tcBorders>
            <w:vAlign w:val="top"/>
          </w:tcPr>
          <w:p>
            <w:pPr>
              <w:pStyle w:val="TableText"/>
              <w:spacing w:before="183" w:line="195" w:lineRule="auto"/>
              <w:ind w:left="390"/>
            </w:pPr>
            <w:r>
              <w:rPr>
                <w:spacing w:val="4"/>
              </w:rPr>
              <w:t>2905</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83" w:line="195" w:lineRule="auto"/>
              <w:ind w:left="315"/>
            </w:pPr>
            <w:r>
              <w:rPr>
                <w:spacing w:val="-8"/>
              </w:rPr>
              <w:t>18</w:t>
            </w:r>
          </w:p>
        </w:tc>
        <w:tc>
          <w:tcPr>
            <w:tcW w:w="1065" w:type="dxa"/>
            <w:vAlign w:val="top"/>
          </w:tcPr>
          <w:p>
            <w:pPr>
              <w:spacing w:before="147" w:line="230" w:lineRule="auto"/>
              <w:ind w:left="317"/>
              <w:rPr>
                <w:rFonts w:ascii="SimSun" w:eastAsia="SimSun" w:hAnsi="SimSun" w:cs="SimSun"/>
                <w:sz w:val="20"/>
                <w:szCs w:val="20"/>
              </w:rPr>
            </w:pPr>
            <w:r>
              <w:rPr>
                <w:rFonts w:ascii="SimSun" w:eastAsia="SimSun" w:hAnsi="SimSun" w:cs="SimSun"/>
                <w:spacing w:val="5"/>
                <w:sz w:val="20"/>
                <w:szCs w:val="20"/>
              </w:rPr>
              <w:t>湖南</w:t>
            </w:r>
          </w:p>
        </w:tc>
        <w:tc>
          <w:tcPr>
            <w:tcW w:w="1301" w:type="dxa"/>
            <w:vAlign w:val="top"/>
          </w:tcPr>
          <w:p>
            <w:pPr>
              <w:pStyle w:val="TableText"/>
              <w:spacing w:before="183" w:line="195" w:lineRule="auto"/>
              <w:ind w:left="489"/>
            </w:pPr>
            <w:r>
              <w:rPr>
                <w:spacing w:val="4"/>
              </w:rPr>
              <w:t>476</w:t>
            </w:r>
          </w:p>
        </w:tc>
        <w:tc>
          <w:tcPr>
            <w:tcW w:w="1452" w:type="dxa"/>
            <w:vAlign w:val="top"/>
          </w:tcPr>
          <w:p>
            <w:pPr>
              <w:pStyle w:val="TableText"/>
              <w:spacing w:before="186" w:line="192" w:lineRule="auto"/>
              <w:ind w:left="680"/>
            </w:pPr>
            <w:r>
              <w:t>5</w:t>
            </w:r>
          </w:p>
        </w:tc>
        <w:tc>
          <w:tcPr>
            <w:tcW w:w="1270" w:type="dxa"/>
            <w:vAlign w:val="top"/>
          </w:tcPr>
          <w:p>
            <w:pPr>
              <w:pStyle w:val="TableText"/>
              <w:spacing w:before="183" w:line="195" w:lineRule="auto"/>
              <w:ind w:left="487"/>
            </w:pPr>
            <w:r>
              <w:rPr>
                <w:spacing w:val="2"/>
              </w:rPr>
              <w:t>637</w:t>
            </w:r>
          </w:p>
        </w:tc>
        <w:tc>
          <w:tcPr>
            <w:tcW w:w="1424" w:type="dxa"/>
            <w:vAlign w:val="top"/>
          </w:tcPr>
          <w:p>
            <w:pPr>
              <w:pStyle w:val="TableText"/>
              <w:spacing w:before="183" w:line="195" w:lineRule="auto"/>
              <w:ind w:left="689"/>
            </w:pPr>
            <w:r>
              <w:t>1</w:t>
            </w:r>
          </w:p>
        </w:tc>
        <w:tc>
          <w:tcPr>
            <w:tcW w:w="1192" w:type="dxa"/>
            <w:tcBorders>
              <w:right w:val="single" w:sz="10" w:space="0" w:color="000000"/>
            </w:tcBorders>
            <w:vAlign w:val="top"/>
          </w:tcPr>
          <w:p>
            <w:pPr>
              <w:pStyle w:val="TableText"/>
              <w:spacing w:before="183" w:line="195" w:lineRule="auto"/>
              <w:ind w:left="394"/>
            </w:pPr>
            <w:r>
              <w:rPr>
                <w:spacing w:val="3"/>
              </w:rPr>
              <w:t>3017</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84" w:line="195" w:lineRule="auto"/>
              <w:ind w:left="315"/>
            </w:pPr>
            <w:r>
              <w:rPr>
                <w:spacing w:val="-8"/>
              </w:rPr>
              <w:t>19</w:t>
            </w:r>
          </w:p>
        </w:tc>
        <w:tc>
          <w:tcPr>
            <w:tcW w:w="1065" w:type="dxa"/>
            <w:vAlign w:val="top"/>
          </w:tcPr>
          <w:p>
            <w:pPr>
              <w:spacing w:before="148" w:line="228" w:lineRule="auto"/>
              <w:ind w:left="318"/>
              <w:rPr>
                <w:rFonts w:ascii="SimSun" w:eastAsia="SimSun" w:hAnsi="SimSun" w:cs="SimSun"/>
                <w:sz w:val="20"/>
                <w:szCs w:val="20"/>
              </w:rPr>
            </w:pPr>
            <w:r>
              <w:rPr>
                <w:rFonts w:ascii="SimSun" w:eastAsia="SimSun" w:hAnsi="SimSun" w:cs="SimSun"/>
                <w:spacing w:val="4"/>
                <w:sz w:val="20"/>
                <w:szCs w:val="20"/>
              </w:rPr>
              <w:t>广东</w:t>
            </w:r>
          </w:p>
        </w:tc>
        <w:tc>
          <w:tcPr>
            <w:tcW w:w="1301" w:type="dxa"/>
            <w:vAlign w:val="top"/>
          </w:tcPr>
          <w:p>
            <w:pPr>
              <w:pStyle w:val="TableText"/>
              <w:spacing w:before="184" w:line="195" w:lineRule="auto"/>
              <w:ind w:left="494"/>
            </w:pPr>
            <w:r>
              <w:rPr>
                <w:spacing w:val="2"/>
              </w:rPr>
              <w:t>326</w:t>
            </w:r>
          </w:p>
        </w:tc>
        <w:tc>
          <w:tcPr>
            <w:tcW w:w="1452" w:type="dxa"/>
            <w:vAlign w:val="top"/>
          </w:tcPr>
          <w:p>
            <w:pPr>
              <w:pStyle w:val="TableText"/>
              <w:spacing w:before="187" w:line="192" w:lineRule="auto"/>
              <w:ind w:left="680"/>
            </w:pPr>
            <w:r>
              <w:t>5</w:t>
            </w:r>
          </w:p>
        </w:tc>
        <w:tc>
          <w:tcPr>
            <w:tcW w:w="1270" w:type="dxa"/>
            <w:vAlign w:val="top"/>
          </w:tcPr>
          <w:p>
            <w:pPr>
              <w:pStyle w:val="TableText"/>
              <w:spacing w:before="184" w:line="195" w:lineRule="auto"/>
              <w:ind w:left="487"/>
            </w:pPr>
            <w:r>
              <w:rPr>
                <w:spacing w:val="2"/>
              </w:rPr>
              <w:t>326</w:t>
            </w:r>
          </w:p>
        </w:tc>
        <w:tc>
          <w:tcPr>
            <w:tcW w:w="1424" w:type="dxa"/>
            <w:vAlign w:val="top"/>
          </w:tcPr>
          <w:p>
            <w:pPr>
              <w:pStyle w:val="TableText"/>
              <w:spacing w:before="184" w:line="195" w:lineRule="auto"/>
              <w:ind w:left="689"/>
            </w:pPr>
            <w:r>
              <w:t>1</w:t>
            </w:r>
          </w:p>
        </w:tc>
        <w:tc>
          <w:tcPr>
            <w:tcW w:w="1192" w:type="dxa"/>
            <w:tcBorders>
              <w:right w:val="single" w:sz="10" w:space="0" w:color="000000"/>
            </w:tcBorders>
            <w:vAlign w:val="top"/>
          </w:tcPr>
          <w:p>
            <w:pPr>
              <w:pStyle w:val="TableText"/>
              <w:spacing w:before="184" w:line="195" w:lineRule="auto"/>
              <w:ind w:left="410"/>
            </w:pPr>
            <w:r>
              <w:rPr>
                <w:spacing w:val="-1"/>
              </w:rPr>
              <w:t>1956</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84" w:line="195" w:lineRule="auto"/>
              <w:ind w:left="295"/>
            </w:pPr>
            <w:r>
              <w:rPr>
                <w:spacing w:val="2"/>
              </w:rPr>
              <w:t>20</w:t>
            </w:r>
          </w:p>
        </w:tc>
        <w:tc>
          <w:tcPr>
            <w:tcW w:w="1065" w:type="dxa"/>
            <w:vAlign w:val="top"/>
          </w:tcPr>
          <w:p>
            <w:pPr>
              <w:spacing w:before="149" w:line="229" w:lineRule="auto"/>
              <w:ind w:left="318"/>
              <w:rPr>
                <w:rFonts w:ascii="SimSun" w:eastAsia="SimSun" w:hAnsi="SimSun" w:cs="SimSun"/>
                <w:sz w:val="20"/>
                <w:szCs w:val="20"/>
              </w:rPr>
            </w:pPr>
            <w:r>
              <w:rPr>
                <w:rFonts w:ascii="SimSun" w:eastAsia="SimSun" w:hAnsi="SimSun" w:cs="SimSun"/>
                <w:spacing w:val="4"/>
                <w:sz w:val="20"/>
                <w:szCs w:val="20"/>
              </w:rPr>
              <w:t>广西</w:t>
            </w:r>
          </w:p>
        </w:tc>
        <w:tc>
          <w:tcPr>
            <w:tcW w:w="1301" w:type="dxa"/>
            <w:vAlign w:val="top"/>
          </w:tcPr>
          <w:p>
            <w:pPr>
              <w:pStyle w:val="TableText"/>
              <w:spacing w:before="184" w:line="195" w:lineRule="auto"/>
              <w:ind w:left="489"/>
            </w:pPr>
            <w:r>
              <w:rPr>
                <w:spacing w:val="4"/>
              </w:rPr>
              <w:t>482</w:t>
            </w:r>
          </w:p>
        </w:tc>
        <w:tc>
          <w:tcPr>
            <w:tcW w:w="1452" w:type="dxa"/>
            <w:vAlign w:val="top"/>
          </w:tcPr>
          <w:p>
            <w:pPr>
              <w:pStyle w:val="TableText"/>
              <w:spacing w:before="187" w:line="192" w:lineRule="auto"/>
              <w:ind w:left="680"/>
            </w:pPr>
            <w:r>
              <w:t>5</w:t>
            </w:r>
          </w:p>
        </w:tc>
        <w:tc>
          <w:tcPr>
            <w:tcW w:w="1270" w:type="dxa"/>
            <w:vAlign w:val="top"/>
          </w:tcPr>
          <w:p>
            <w:pPr>
              <w:pStyle w:val="TableText"/>
              <w:spacing w:before="184" w:line="195" w:lineRule="auto"/>
              <w:ind w:left="491"/>
            </w:pPr>
            <w:r>
              <w:t>869</w:t>
            </w:r>
          </w:p>
        </w:tc>
        <w:tc>
          <w:tcPr>
            <w:tcW w:w="1424" w:type="dxa"/>
            <w:vAlign w:val="top"/>
          </w:tcPr>
          <w:p>
            <w:pPr>
              <w:pStyle w:val="TableText"/>
              <w:spacing w:before="185" w:line="195" w:lineRule="auto"/>
              <w:ind w:left="689"/>
            </w:pPr>
            <w:r>
              <w:t>1</w:t>
            </w:r>
          </w:p>
        </w:tc>
        <w:tc>
          <w:tcPr>
            <w:tcW w:w="1192" w:type="dxa"/>
            <w:tcBorders>
              <w:right w:val="single" w:sz="10" w:space="0" w:color="000000"/>
            </w:tcBorders>
            <w:vAlign w:val="top"/>
          </w:tcPr>
          <w:p>
            <w:pPr>
              <w:pStyle w:val="TableText"/>
              <w:spacing w:before="184" w:line="195" w:lineRule="auto"/>
              <w:ind w:left="394"/>
            </w:pPr>
            <w:r>
              <w:rPr>
                <w:spacing w:val="3"/>
              </w:rPr>
              <w:t>3279</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85" w:line="195" w:lineRule="auto"/>
              <w:ind w:left="295"/>
            </w:pPr>
            <w:r>
              <w:rPr>
                <w:spacing w:val="2"/>
              </w:rPr>
              <w:t>21</w:t>
            </w:r>
          </w:p>
        </w:tc>
        <w:tc>
          <w:tcPr>
            <w:tcW w:w="1065" w:type="dxa"/>
            <w:vAlign w:val="top"/>
          </w:tcPr>
          <w:p>
            <w:pPr>
              <w:spacing w:before="149" w:line="229" w:lineRule="auto"/>
              <w:ind w:left="317"/>
              <w:rPr>
                <w:rFonts w:ascii="SimSun" w:eastAsia="SimSun" w:hAnsi="SimSun" w:cs="SimSun"/>
                <w:sz w:val="20"/>
                <w:szCs w:val="20"/>
              </w:rPr>
            </w:pPr>
            <w:r>
              <w:rPr>
                <w:rFonts w:ascii="SimSun" w:eastAsia="SimSun" w:hAnsi="SimSun" w:cs="SimSun"/>
                <w:spacing w:val="5"/>
                <w:sz w:val="20"/>
                <w:szCs w:val="20"/>
              </w:rPr>
              <w:t>海南</w:t>
            </w:r>
          </w:p>
        </w:tc>
        <w:tc>
          <w:tcPr>
            <w:tcW w:w="1301" w:type="dxa"/>
            <w:vAlign w:val="top"/>
          </w:tcPr>
          <w:p>
            <w:pPr>
              <w:pStyle w:val="TableText"/>
              <w:spacing w:before="185" w:line="195" w:lineRule="auto"/>
              <w:ind w:left="546"/>
            </w:pPr>
            <w:r>
              <w:t>52</w:t>
            </w:r>
          </w:p>
        </w:tc>
        <w:tc>
          <w:tcPr>
            <w:tcW w:w="1452" w:type="dxa"/>
            <w:vAlign w:val="top"/>
          </w:tcPr>
          <w:p>
            <w:pPr>
              <w:pStyle w:val="TableText"/>
              <w:spacing w:before="188" w:line="192" w:lineRule="auto"/>
              <w:ind w:left="680"/>
            </w:pPr>
            <w:r>
              <w:t>5</w:t>
            </w:r>
          </w:p>
        </w:tc>
        <w:tc>
          <w:tcPr>
            <w:tcW w:w="1270" w:type="dxa"/>
            <w:vAlign w:val="top"/>
          </w:tcPr>
          <w:p>
            <w:pPr>
              <w:pStyle w:val="TableText"/>
              <w:spacing w:before="185" w:line="195" w:lineRule="auto"/>
              <w:ind w:left="539"/>
            </w:pPr>
            <w:r>
              <w:t>95</w:t>
            </w:r>
          </w:p>
        </w:tc>
        <w:tc>
          <w:tcPr>
            <w:tcW w:w="1424" w:type="dxa"/>
            <w:vAlign w:val="top"/>
          </w:tcPr>
          <w:p>
            <w:pPr>
              <w:pStyle w:val="TableText"/>
              <w:spacing w:before="185" w:line="195" w:lineRule="auto"/>
              <w:ind w:left="689"/>
            </w:pPr>
            <w:r>
              <w:t>1</w:t>
            </w:r>
          </w:p>
        </w:tc>
        <w:tc>
          <w:tcPr>
            <w:tcW w:w="1192" w:type="dxa"/>
            <w:tcBorders>
              <w:right w:val="single" w:sz="10" w:space="0" w:color="000000"/>
            </w:tcBorders>
            <w:vAlign w:val="top"/>
          </w:tcPr>
          <w:p>
            <w:pPr>
              <w:pStyle w:val="TableText"/>
              <w:spacing w:before="185" w:line="195" w:lineRule="auto"/>
              <w:ind w:left="449"/>
            </w:pPr>
            <w:r>
              <w:rPr>
                <w:spacing w:val="2"/>
              </w:rPr>
              <w:t>355</w:t>
            </w:r>
          </w:p>
        </w:tc>
      </w:tr>
    </w:tbl>
    <w:p>
      <w:pPr>
        <w:sectPr>
          <w:footerReference w:type="default" r:id="rId18"/>
          <w:pgSz w:w="11906" w:h="16839"/>
          <w:pgMar w:top="1431" w:right="1676" w:bottom="1362" w:left="1675" w:header="0" w:footer="1200" w:gutter="0"/>
          <w:pgNumType w:start="14"/>
          <w:cols w:space="708"/>
        </w:sectPr>
      </w:pPr>
    </w:p>
    <w:tbl>
      <w:tblPr>
        <w:tblStyle w:val="TableNormal1"/>
        <w:tblW w:w="852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4"/>
        <w:gridCol w:w="1065"/>
        <w:gridCol w:w="1301"/>
        <w:gridCol w:w="1452"/>
        <w:gridCol w:w="1270"/>
        <w:gridCol w:w="1424"/>
        <w:gridCol w:w="1192"/>
      </w:tblGrid>
      <w:tr>
        <w:tblPrEx>
          <w:tblW w:w="852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2"/>
        </w:trPr>
        <w:tc>
          <w:tcPr>
            <w:tcW w:w="824" w:type="dxa"/>
            <w:tcBorders>
              <w:left w:val="single" w:sz="10" w:space="0" w:color="000000"/>
            </w:tcBorders>
            <w:vAlign w:val="top"/>
          </w:tcPr>
          <w:p>
            <w:pPr>
              <w:pStyle w:val="TableText"/>
              <w:spacing w:before="186" w:line="195" w:lineRule="auto"/>
              <w:ind w:left="295"/>
            </w:pPr>
            <w:r>
              <w:rPr>
                <w:spacing w:val="2"/>
              </w:rPr>
              <w:t>22</w:t>
            </w:r>
          </w:p>
        </w:tc>
        <w:tc>
          <w:tcPr>
            <w:tcW w:w="1065" w:type="dxa"/>
            <w:vAlign w:val="top"/>
          </w:tcPr>
          <w:p>
            <w:pPr>
              <w:spacing w:before="150" w:line="228" w:lineRule="auto"/>
              <w:ind w:left="319"/>
              <w:rPr>
                <w:rFonts w:ascii="SimSun" w:eastAsia="SimSun" w:hAnsi="SimSun" w:cs="SimSun"/>
                <w:sz w:val="20"/>
                <w:szCs w:val="20"/>
              </w:rPr>
            </w:pPr>
            <w:r>
              <w:rPr>
                <w:rFonts w:ascii="SimSun" w:eastAsia="SimSun" w:hAnsi="SimSun" w:cs="SimSun"/>
                <w:spacing w:val="4"/>
                <w:sz w:val="20"/>
                <w:szCs w:val="20"/>
              </w:rPr>
              <w:t>重庆</w:t>
            </w:r>
          </w:p>
        </w:tc>
        <w:tc>
          <w:tcPr>
            <w:tcW w:w="1301" w:type="dxa"/>
            <w:vAlign w:val="top"/>
          </w:tcPr>
          <w:p>
            <w:pPr>
              <w:pStyle w:val="TableText"/>
              <w:spacing w:before="186" w:line="195" w:lineRule="auto"/>
              <w:ind w:left="510"/>
            </w:pPr>
            <w:r>
              <w:rPr>
                <w:spacing w:val="-3"/>
              </w:rPr>
              <w:t>154</w:t>
            </w:r>
          </w:p>
        </w:tc>
        <w:tc>
          <w:tcPr>
            <w:tcW w:w="1452" w:type="dxa"/>
            <w:vAlign w:val="top"/>
          </w:tcPr>
          <w:p>
            <w:pPr>
              <w:pStyle w:val="TableText"/>
              <w:spacing w:before="189" w:line="192" w:lineRule="auto"/>
              <w:ind w:left="680"/>
            </w:pPr>
            <w:r>
              <w:t>5</w:t>
            </w:r>
          </w:p>
        </w:tc>
        <w:tc>
          <w:tcPr>
            <w:tcW w:w="1270" w:type="dxa"/>
            <w:vAlign w:val="top"/>
          </w:tcPr>
          <w:p>
            <w:pPr>
              <w:pStyle w:val="TableText"/>
              <w:spacing w:before="186" w:line="195" w:lineRule="auto"/>
              <w:ind w:left="482"/>
            </w:pPr>
            <w:r>
              <w:rPr>
                <w:spacing w:val="3"/>
              </w:rPr>
              <w:t>215</w:t>
            </w:r>
          </w:p>
        </w:tc>
        <w:tc>
          <w:tcPr>
            <w:tcW w:w="1424" w:type="dxa"/>
            <w:vAlign w:val="top"/>
          </w:tcPr>
          <w:p>
            <w:pPr>
              <w:pStyle w:val="TableText"/>
              <w:spacing w:before="186" w:line="195" w:lineRule="auto"/>
              <w:ind w:left="689"/>
            </w:pPr>
            <w:r>
              <w:t>1</w:t>
            </w:r>
          </w:p>
        </w:tc>
        <w:tc>
          <w:tcPr>
            <w:tcW w:w="1192" w:type="dxa"/>
            <w:tcBorders>
              <w:right w:val="single" w:sz="10" w:space="0" w:color="000000"/>
            </w:tcBorders>
            <w:vAlign w:val="top"/>
          </w:tcPr>
          <w:p>
            <w:pPr>
              <w:pStyle w:val="TableText"/>
              <w:spacing w:before="186" w:line="195" w:lineRule="auto"/>
              <w:ind w:left="449"/>
            </w:pPr>
            <w:r>
              <w:rPr>
                <w:spacing w:val="2"/>
              </w:rPr>
              <w:t>985</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89" w:line="195" w:lineRule="auto"/>
              <w:ind w:left="295"/>
            </w:pPr>
            <w:r>
              <w:rPr>
                <w:spacing w:val="2"/>
              </w:rPr>
              <w:t>23</w:t>
            </w:r>
          </w:p>
        </w:tc>
        <w:tc>
          <w:tcPr>
            <w:tcW w:w="1065" w:type="dxa"/>
            <w:vAlign w:val="top"/>
          </w:tcPr>
          <w:p>
            <w:pPr>
              <w:spacing w:before="152" w:line="228" w:lineRule="auto"/>
              <w:ind w:left="337"/>
              <w:rPr>
                <w:rFonts w:ascii="SimSun" w:eastAsia="SimSun" w:hAnsi="SimSun" w:cs="SimSun"/>
                <w:sz w:val="20"/>
                <w:szCs w:val="20"/>
              </w:rPr>
            </w:pPr>
            <w:r>
              <w:rPr>
                <w:rFonts w:ascii="SimSun" w:eastAsia="SimSun" w:hAnsi="SimSun" w:cs="SimSun"/>
                <w:spacing w:val="-5"/>
                <w:sz w:val="20"/>
                <w:szCs w:val="20"/>
              </w:rPr>
              <w:t>四川</w:t>
            </w:r>
          </w:p>
        </w:tc>
        <w:tc>
          <w:tcPr>
            <w:tcW w:w="1301" w:type="dxa"/>
            <w:vAlign w:val="top"/>
          </w:tcPr>
          <w:p>
            <w:pPr>
              <w:pStyle w:val="TableText"/>
              <w:spacing w:before="189" w:line="195" w:lineRule="auto"/>
              <w:ind w:left="498"/>
            </w:pPr>
            <w:r>
              <w:t>891</w:t>
            </w:r>
          </w:p>
        </w:tc>
        <w:tc>
          <w:tcPr>
            <w:tcW w:w="1452" w:type="dxa"/>
            <w:vAlign w:val="top"/>
          </w:tcPr>
          <w:p>
            <w:pPr>
              <w:pStyle w:val="TableText"/>
              <w:spacing w:before="192" w:line="192" w:lineRule="auto"/>
              <w:ind w:left="680"/>
            </w:pPr>
            <w:r>
              <w:t>5</w:t>
            </w:r>
          </w:p>
        </w:tc>
        <w:tc>
          <w:tcPr>
            <w:tcW w:w="1270" w:type="dxa"/>
            <w:vAlign w:val="top"/>
          </w:tcPr>
          <w:p>
            <w:pPr>
              <w:pStyle w:val="TableText"/>
              <w:spacing w:before="189" w:line="195" w:lineRule="auto"/>
              <w:ind w:left="430"/>
            </w:pPr>
            <w:r>
              <w:rPr>
                <w:spacing w:val="4"/>
              </w:rPr>
              <w:t>2038</w:t>
            </w:r>
          </w:p>
        </w:tc>
        <w:tc>
          <w:tcPr>
            <w:tcW w:w="1424" w:type="dxa"/>
            <w:vAlign w:val="top"/>
          </w:tcPr>
          <w:p>
            <w:pPr>
              <w:pStyle w:val="TableText"/>
              <w:spacing w:before="189" w:line="195" w:lineRule="auto"/>
              <w:ind w:left="689"/>
            </w:pPr>
            <w:r>
              <w:t>1</w:t>
            </w:r>
          </w:p>
        </w:tc>
        <w:tc>
          <w:tcPr>
            <w:tcW w:w="1192" w:type="dxa"/>
            <w:tcBorders>
              <w:right w:val="single" w:sz="10" w:space="0" w:color="000000"/>
            </w:tcBorders>
            <w:vAlign w:val="top"/>
          </w:tcPr>
          <w:p>
            <w:pPr>
              <w:pStyle w:val="TableText"/>
              <w:spacing w:before="189" w:line="195" w:lineRule="auto"/>
              <w:ind w:left="395"/>
            </w:pPr>
            <w:r>
              <w:rPr>
                <w:spacing w:val="3"/>
              </w:rPr>
              <w:t>6493</w:t>
            </w:r>
          </w:p>
        </w:tc>
      </w:tr>
      <w:tr>
        <w:tblPrEx>
          <w:tblW w:w="8528" w:type="dxa"/>
          <w:tblInd w:w="12" w:type="dxa"/>
          <w:tblLayout w:type="fixed"/>
        </w:tblPrEx>
        <w:trPr>
          <w:trHeight w:val="472"/>
        </w:trPr>
        <w:tc>
          <w:tcPr>
            <w:tcW w:w="824" w:type="dxa"/>
            <w:tcBorders>
              <w:left w:val="single" w:sz="10" w:space="0" w:color="000000"/>
            </w:tcBorders>
            <w:vAlign w:val="top"/>
          </w:tcPr>
          <w:p>
            <w:pPr>
              <w:pStyle w:val="TableText"/>
              <w:spacing w:before="189" w:line="195" w:lineRule="auto"/>
              <w:ind w:left="295"/>
            </w:pPr>
            <w:r>
              <w:rPr>
                <w:spacing w:val="2"/>
              </w:rPr>
              <w:t>24</w:t>
            </w:r>
          </w:p>
        </w:tc>
        <w:tc>
          <w:tcPr>
            <w:tcW w:w="1065" w:type="dxa"/>
            <w:vAlign w:val="top"/>
          </w:tcPr>
          <w:p>
            <w:pPr>
              <w:spacing w:before="153" w:line="227" w:lineRule="auto"/>
              <w:ind w:left="320"/>
              <w:rPr>
                <w:rFonts w:ascii="SimSun" w:eastAsia="SimSun" w:hAnsi="SimSun" w:cs="SimSun"/>
                <w:sz w:val="20"/>
                <w:szCs w:val="20"/>
              </w:rPr>
            </w:pPr>
            <w:r>
              <w:rPr>
                <w:rFonts w:ascii="SimSun" w:eastAsia="SimSun" w:hAnsi="SimSun" w:cs="SimSun"/>
                <w:spacing w:val="3"/>
                <w:sz w:val="20"/>
                <w:szCs w:val="20"/>
              </w:rPr>
              <w:t>贵州</w:t>
            </w:r>
          </w:p>
        </w:tc>
        <w:tc>
          <w:tcPr>
            <w:tcW w:w="1301" w:type="dxa"/>
            <w:vAlign w:val="top"/>
          </w:tcPr>
          <w:p>
            <w:pPr>
              <w:pStyle w:val="TableText"/>
              <w:spacing w:before="189" w:line="195" w:lineRule="auto"/>
              <w:ind w:left="490"/>
            </w:pPr>
            <w:r>
              <w:rPr>
                <w:spacing w:val="3"/>
              </w:rPr>
              <w:t>299</w:t>
            </w:r>
          </w:p>
        </w:tc>
        <w:tc>
          <w:tcPr>
            <w:tcW w:w="1452" w:type="dxa"/>
            <w:vAlign w:val="top"/>
          </w:tcPr>
          <w:p>
            <w:pPr>
              <w:pStyle w:val="TableText"/>
              <w:spacing w:before="192" w:line="192" w:lineRule="auto"/>
              <w:ind w:left="680"/>
            </w:pPr>
            <w:r>
              <w:t>5</w:t>
            </w:r>
          </w:p>
        </w:tc>
        <w:tc>
          <w:tcPr>
            <w:tcW w:w="1270" w:type="dxa"/>
            <w:vAlign w:val="top"/>
          </w:tcPr>
          <w:p>
            <w:pPr>
              <w:pStyle w:val="TableText"/>
              <w:spacing w:before="189" w:line="195" w:lineRule="auto"/>
              <w:ind w:left="481"/>
            </w:pPr>
            <w:r>
              <w:rPr>
                <w:spacing w:val="4"/>
              </w:rPr>
              <w:t>428</w:t>
            </w:r>
          </w:p>
        </w:tc>
        <w:tc>
          <w:tcPr>
            <w:tcW w:w="1424" w:type="dxa"/>
            <w:vAlign w:val="top"/>
          </w:tcPr>
          <w:p>
            <w:pPr>
              <w:pStyle w:val="TableText"/>
              <w:spacing w:before="189" w:line="195" w:lineRule="auto"/>
              <w:ind w:left="689"/>
            </w:pPr>
            <w:r>
              <w:t>1</w:t>
            </w:r>
          </w:p>
        </w:tc>
        <w:tc>
          <w:tcPr>
            <w:tcW w:w="1192" w:type="dxa"/>
            <w:tcBorders>
              <w:right w:val="single" w:sz="10" w:space="0" w:color="000000"/>
            </w:tcBorders>
            <w:vAlign w:val="top"/>
          </w:tcPr>
          <w:p>
            <w:pPr>
              <w:pStyle w:val="TableText"/>
              <w:spacing w:before="189" w:line="195" w:lineRule="auto"/>
              <w:ind w:left="410"/>
            </w:pPr>
            <w:r>
              <w:rPr>
                <w:spacing w:val="-1"/>
              </w:rPr>
              <w:t>1923</w:t>
            </w:r>
          </w:p>
        </w:tc>
      </w:tr>
      <w:tr>
        <w:tblPrEx>
          <w:tblW w:w="8528" w:type="dxa"/>
          <w:tblInd w:w="12" w:type="dxa"/>
          <w:tblLayout w:type="fixed"/>
        </w:tblPrEx>
        <w:trPr>
          <w:trHeight w:val="473"/>
        </w:trPr>
        <w:tc>
          <w:tcPr>
            <w:tcW w:w="824" w:type="dxa"/>
            <w:tcBorders>
              <w:left w:val="single" w:sz="10" w:space="0" w:color="000000"/>
            </w:tcBorders>
            <w:vAlign w:val="top"/>
          </w:tcPr>
          <w:p>
            <w:pPr>
              <w:pStyle w:val="TableText"/>
              <w:spacing w:before="190" w:line="195" w:lineRule="auto"/>
              <w:ind w:left="295"/>
            </w:pPr>
            <w:r>
              <w:rPr>
                <w:spacing w:val="2"/>
              </w:rPr>
              <w:t>25</w:t>
            </w:r>
          </w:p>
        </w:tc>
        <w:tc>
          <w:tcPr>
            <w:tcW w:w="1065" w:type="dxa"/>
            <w:vAlign w:val="top"/>
          </w:tcPr>
          <w:p>
            <w:pPr>
              <w:spacing w:before="154" w:line="230" w:lineRule="auto"/>
              <w:ind w:left="323"/>
              <w:rPr>
                <w:rFonts w:ascii="SimSun" w:eastAsia="SimSun" w:hAnsi="SimSun" w:cs="SimSun"/>
                <w:sz w:val="20"/>
                <w:szCs w:val="20"/>
              </w:rPr>
            </w:pPr>
            <w:r>
              <w:rPr>
                <w:rFonts w:ascii="SimSun" w:eastAsia="SimSun" w:hAnsi="SimSun" w:cs="SimSun"/>
                <w:spacing w:val="2"/>
                <w:sz w:val="20"/>
                <w:szCs w:val="20"/>
              </w:rPr>
              <w:t>云南</w:t>
            </w:r>
          </w:p>
        </w:tc>
        <w:tc>
          <w:tcPr>
            <w:tcW w:w="1301" w:type="dxa"/>
            <w:vAlign w:val="top"/>
          </w:tcPr>
          <w:p>
            <w:pPr>
              <w:pStyle w:val="TableText"/>
              <w:spacing w:before="190" w:line="195" w:lineRule="auto"/>
              <w:ind w:left="457"/>
            </w:pPr>
            <w:r>
              <w:rPr>
                <w:spacing w:val="-2"/>
              </w:rPr>
              <w:t>1336</w:t>
            </w:r>
          </w:p>
        </w:tc>
        <w:tc>
          <w:tcPr>
            <w:tcW w:w="1452" w:type="dxa"/>
            <w:vAlign w:val="top"/>
          </w:tcPr>
          <w:p>
            <w:pPr>
              <w:pStyle w:val="TableText"/>
              <w:spacing w:before="193" w:line="192" w:lineRule="auto"/>
              <w:ind w:left="680"/>
            </w:pPr>
            <w:r>
              <w:t>5</w:t>
            </w:r>
          </w:p>
        </w:tc>
        <w:tc>
          <w:tcPr>
            <w:tcW w:w="1270" w:type="dxa"/>
            <w:vAlign w:val="top"/>
          </w:tcPr>
          <w:p>
            <w:pPr>
              <w:pStyle w:val="TableText"/>
              <w:spacing w:before="190" w:line="195" w:lineRule="auto"/>
              <w:ind w:left="450"/>
            </w:pPr>
            <w:r>
              <w:rPr>
                <w:spacing w:val="-1"/>
              </w:rPr>
              <w:t>1530</w:t>
            </w:r>
          </w:p>
        </w:tc>
        <w:tc>
          <w:tcPr>
            <w:tcW w:w="1424" w:type="dxa"/>
            <w:vAlign w:val="top"/>
          </w:tcPr>
          <w:p>
            <w:pPr>
              <w:pStyle w:val="TableText"/>
              <w:spacing w:before="190" w:line="195" w:lineRule="auto"/>
              <w:ind w:left="689"/>
            </w:pPr>
            <w:r>
              <w:t>1</w:t>
            </w:r>
          </w:p>
        </w:tc>
        <w:tc>
          <w:tcPr>
            <w:tcW w:w="1192" w:type="dxa"/>
            <w:tcBorders>
              <w:right w:val="single" w:sz="10" w:space="0" w:color="000000"/>
            </w:tcBorders>
            <w:vAlign w:val="top"/>
          </w:tcPr>
          <w:p>
            <w:pPr>
              <w:pStyle w:val="TableText"/>
              <w:spacing w:before="190" w:line="195" w:lineRule="auto"/>
              <w:ind w:left="398"/>
            </w:pPr>
            <w:r>
              <w:rPr>
                <w:spacing w:val="2"/>
              </w:rPr>
              <w:t>8210</w:t>
            </w:r>
          </w:p>
        </w:tc>
      </w:tr>
      <w:tr>
        <w:tblPrEx>
          <w:tblW w:w="8528" w:type="dxa"/>
          <w:tblInd w:w="12" w:type="dxa"/>
          <w:tblLayout w:type="fixed"/>
        </w:tblPrEx>
        <w:trPr>
          <w:trHeight w:val="494"/>
        </w:trPr>
        <w:tc>
          <w:tcPr>
            <w:tcW w:w="824" w:type="dxa"/>
            <w:tcBorders>
              <w:left w:val="single" w:sz="10" w:space="0" w:color="000000"/>
              <w:bottom w:val="single" w:sz="10" w:space="0" w:color="000000"/>
            </w:tcBorders>
            <w:vAlign w:val="top"/>
          </w:tcPr>
          <w:p>
            <w:pPr>
              <w:pStyle w:val="TableText"/>
              <w:spacing w:before="189" w:line="195" w:lineRule="auto"/>
              <w:ind w:left="295"/>
            </w:pPr>
            <w:r>
              <w:rPr>
                <w:spacing w:val="2"/>
              </w:rPr>
              <w:t>26</w:t>
            </w:r>
          </w:p>
        </w:tc>
        <w:tc>
          <w:tcPr>
            <w:tcW w:w="1065" w:type="dxa"/>
            <w:tcBorders>
              <w:bottom w:val="single" w:sz="10" w:space="0" w:color="000000"/>
            </w:tcBorders>
            <w:vAlign w:val="top"/>
          </w:tcPr>
          <w:p>
            <w:pPr>
              <w:spacing w:before="153" w:line="228" w:lineRule="auto"/>
              <w:ind w:left="323"/>
              <w:rPr>
                <w:rFonts w:ascii="SimSun" w:eastAsia="SimSun" w:hAnsi="SimSun" w:cs="SimSun"/>
                <w:sz w:val="20"/>
                <w:szCs w:val="20"/>
              </w:rPr>
            </w:pPr>
            <w:r>
              <w:rPr>
                <w:rFonts w:ascii="SimSun" w:eastAsia="SimSun" w:hAnsi="SimSun" w:cs="SimSun"/>
                <w:spacing w:val="2"/>
                <w:sz w:val="20"/>
                <w:szCs w:val="20"/>
              </w:rPr>
              <w:t>西藏</w:t>
            </w:r>
          </w:p>
        </w:tc>
        <w:tc>
          <w:tcPr>
            <w:tcW w:w="1301" w:type="dxa"/>
            <w:tcBorders>
              <w:bottom w:val="single" w:sz="10" w:space="0" w:color="000000"/>
            </w:tcBorders>
            <w:vAlign w:val="top"/>
          </w:tcPr>
          <w:p>
            <w:pPr>
              <w:pStyle w:val="TableText"/>
              <w:spacing w:before="189" w:line="195" w:lineRule="auto"/>
              <w:ind w:left="498"/>
            </w:pPr>
            <w:r>
              <w:t>844</w:t>
            </w:r>
          </w:p>
        </w:tc>
        <w:tc>
          <w:tcPr>
            <w:tcW w:w="1452" w:type="dxa"/>
            <w:tcBorders>
              <w:bottom w:val="single" w:sz="10" w:space="0" w:color="000000"/>
            </w:tcBorders>
            <w:vAlign w:val="top"/>
          </w:tcPr>
          <w:p>
            <w:pPr>
              <w:pStyle w:val="TableText"/>
              <w:spacing w:before="192" w:line="192" w:lineRule="auto"/>
              <w:ind w:left="680"/>
            </w:pPr>
            <w:r>
              <w:t>5</w:t>
            </w:r>
          </w:p>
        </w:tc>
        <w:tc>
          <w:tcPr>
            <w:tcW w:w="1270" w:type="dxa"/>
            <w:tcBorders>
              <w:bottom w:val="single" w:sz="10" w:space="0" w:color="000000"/>
            </w:tcBorders>
            <w:vAlign w:val="top"/>
          </w:tcPr>
          <w:p>
            <w:pPr>
              <w:pStyle w:val="TableText"/>
              <w:spacing w:before="189" w:line="195" w:lineRule="auto"/>
              <w:ind w:left="438"/>
            </w:pPr>
            <w:r>
              <w:rPr>
                <w:spacing w:val="2"/>
              </w:rPr>
              <w:t>8205</w:t>
            </w:r>
          </w:p>
        </w:tc>
        <w:tc>
          <w:tcPr>
            <w:tcW w:w="1424" w:type="dxa"/>
            <w:tcBorders>
              <w:bottom w:val="single" w:sz="10" w:space="0" w:color="000000"/>
            </w:tcBorders>
            <w:vAlign w:val="top"/>
          </w:tcPr>
          <w:p>
            <w:pPr>
              <w:pStyle w:val="TableText"/>
              <w:spacing w:before="190" w:line="195" w:lineRule="auto"/>
              <w:ind w:left="689"/>
            </w:pPr>
            <w:r>
              <w:t>1</w:t>
            </w:r>
          </w:p>
        </w:tc>
        <w:tc>
          <w:tcPr>
            <w:tcW w:w="1192" w:type="dxa"/>
            <w:tcBorders>
              <w:bottom w:val="single" w:sz="10" w:space="0" w:color="000000"/>
              <w:right w:val="single" w:sz="10" w:space="0" w:color="000000"/>
            </w:tcBorders>
            <w:vAlign w:val="top"/>
          </w:tcPr>
          <w:p>
            <w:pPr>
              <w:pStyle w:val="TableText"/>
              <w:spacing w:before="189" w:line="195" w:lineRule="auto"/>
              <w:ind w:left="360"/>
            </w:pPr>
            <w:r>
              <w:t>12425</w:t>
            </w:r>
          </w:p>
        </w:tc>
      </w:tr>
    </w:tbl>
    <w:p>
      <w:pPr>
        <w:spacing w:line="76" w:lineRule="exact"/>
        <w:rPr>
          <w:rFonts w:ascii="Arial"/>
          <w:sz w:val="6"/>
        </w:rPr>
      </w:pPr>
    </w:p>
    <w:p>
      <w:pPr>
        <w:spacing w:line="76" w:lineRule="exact"/>
        <w:rPr>
          <w:rFonts w:ascii="Arial" w:eastAsia="Arial" w:hAnsi="Arial" w:cs="Arial"/>
          <w:sz w:val="6"/>
          <w:szCs w:val="6"/>
        </w:rPr>
      </w:pPr>
      <w:r>
        <w:rPr>
          <w:rFonts w:ascii="Arial" w:eastAsia="Arial" w:hAnsi="Arial" w:cs="Arial"/>
          <w:sz w:val="6"/>
          <w:szCs w:val="6"/>
        </w:rPr>
        <w:br/>
      </w:r>
      <w:r>
        <w:rPr>
          <w:rFonts w:ascii="Arial" w:eastAsia="Arial" w:hAnsi="Arial" w:cs="Arial"/>
          <w:sz w:val="6"/>
          <w:szCs w:val="6"/>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9" w:history="1">
        <w:r>
          <w:rPr>
            <w:rFonts w:ascii="SimSun" w:eastAsia="SimSun" w:hAnsi="SimSun" w:cs="SimSun"/>
            <w:b/>
            <w:bCs/>
            <w:noProof w:val="0"/>
            <w:snapToGrid/>
            <w:color w:val="0000EE"/>
            <w:kern w:val="0"/>
            <w:sz w:val="30"/>
            <w:szCs w:val="30"/>
            <w:u w:val="single" w:color="0000EE"/>
          </w:rPr>
          <w:t>https://d.book118.com/058036047042006036</w:t>
        </w:r>
      </w:hyperlink>
    </w:p>
    <w:p>
      <w:pPr>
        <w:spacing w:line="76" w:lineRule="exact"/>
        <w:rPr>
          <w:rFonts w:ascii="Arial" w:eastAsia="Arial" w:hAnsi="Arial" w:cs="Arial"/>
          <w:sz w:val="6"/>
          <w:szCs w:val="6"/>
        </w:rPr>
      </w:pPr>
    </w:p>
    <w:sectPr>
      <w:footerReference w:type="default" r:id="rId20"/>
      <w:type w:val="nextPage"/>
      <w:pgSz w:w="11906" w:h="16839"/>
      <w:pgMar w:top="1431" w:right="1676" w:bottom="1362" w:left="1675" w:header="0" w:footer="1200" w:gutter="0"/>
      <w:pgNumType w:start="1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103"/>
      <w:rPr>
        <w:sz w:val="14"/>
        <w:szCs w:val="14"/>
      </w:rPr>
    </w:pPr>
    <w:r>
      <w:rPr>
        <w:color w:val="815428"/>
        <w:sz w:val="14"/>
        <w:szCs w:val="14"/>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103"/>
      <w:rPr>
        <w:sz w:val="14"/>
        <w:szCs w:val="14"/>
      </w:rPr>
    </w:pPr>
    <w:r>
      <w:rPr>
        <w:color w:val="815428"/>
        <w:sz w:val="14"/>
        <w:szCs w:val="14"/>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2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2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4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4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Times New Roman" w:eastAsia="Times New Roman" w:hAnsi="Times New Roman" w:cs="Times New Roma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image" Target="media/image1.jpeg"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hyperlink" Target="https://d.book118.com/058036047042006036" TargetMode="Externa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2024-02-17T21:56:53Z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2024-02-17T21:56:57Z</vt:filetime>
  </property>
  <property fmtid="{D5CDD505-2E9C-101B-9397-08002B2CF9AE}" pid="3" name="CRO">
    <vt:lpwstr>wqlLaW5nc29mdCBQREYgdG8gV1BTIDkw</vt:lpwstr>
  </property>
  <property fmtid="{D5CDD505-2E9C-101B-9397-08002B2CF9AE}" pid="4" name="UsrData">
    <vt:lpwstr>65d0bb222af94e001ff4b29fwl</vt:lpwstr>
  </property>
</Properties>
</file>