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核仪器设备行业项目可行性分析报告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8" w:history="1">
        <w:r>
          <w:rPr>
            <w:rFonts w:ascii="仿宋" w:eastAsia="仿宋" w:hAnsi="仿宋" w:cs="仿宋" w:hint="eastAsia"/>
            <w:lang w:eastAsia="zh-CN"/>
          </w:rPr>
          <w:t>序言</w:t>
        </w:r>
        <w:r>
          <w:tab/>
        </w:r>
        <w:r>
          <w:fldChar w:fldCharType="begin"/>
        </w:r>
        <w:r>
          <w:instrText xml:space="preserve"> PAGEREF _Toc2918 \h </w:instrText>
        </w:r>
        <w:r>
          <w:fldChar w:fldCharType="separate"/>
        </w:r>
        <w:r>
          <w:t>3</w:t>
        </w:r>
        <w:r>
          <w:fldChar w:fldCharType="end"/>
        </w:r>
      </w:hyperlink>
    </w:p>
    <w:p>
      <w:pPr>
        <w:pStyle w:val="TOC1"/>
        <w:tabs>
          <w:tab w:val="right" w:leader="dot" w:pos="8306"/>
        </w:tabs>
      </w:pPr>
      <w:hyperlink w:anchor="_Toc17861" w:history="1">
        <w:r>
          <w:rPr>
            <w:rFonts w:ascii="仿宋" w:eastAsia="仿宋" w:hAnsi="仿宋" w:cs="仿宋" w:hint="eastAsia"/>
            <w:lang w:eastAsia="zh-CN"/>
          </w:rPr>
          <w:t>一、产品定价和销售策略</w:t>
        </w:r>
        <w:r>
          <w:tab/>
        </w:r>
        <w:r>
          <w:fldChar w:fldCharType="begin"/>
        </w:r>
        <w:r>
          <w:instrText xml:space="preserve"> PAGEREF _Toc17861 \h </w:instrText>
        </w:r>
        <w:r>
          <w:fldChar w:fldCharType="separate"/>
        </w:r>
        <w:r>
          <w:t>3</w:t>
        </w:r>
        <w:r>
          <w:fldChar w:fldCharType="end"/>
        </w:r>
      </w:hyperlink>
    </w:p>
    <w:p>
      <w:pPr>
        <w:pStyle w:val="TOC2"/>
        <w:tabs>
          <w:tab w:val="right" w:leader="dot" w:pos="8306"/>
        </w:tabs>
      </w:pPr>
      <w:hyperlink w:anchor="_Toc16029" w:history="1">
        <w:r>
          <w:rPr>
            <w:rFonts w:ascii="仿宋" w:eastAsia="仿宋" w:hAnsi="仿宋" w:cs="仿宋" w:hint="eastAsia"/>
            <w:lang w:eastAsia="zh-CN"/>
          </w:rPr>
          <w:t>(一)、产品定价的原则和策略</w:t>
        </w:r>
        <w:r>
          <w:tab/>
        </w:r>
        <w:r>
          <w:fldChar w:fldCharType="begin"/>
        </w:r>
        <w:r>
          <w:instrText xml:space="preserve"> PAGEREF _Toc16029 \h </w:instrText>
        </w:r>
        <w:r>
          <w:fldChar w:fldCharType="separate"/>
        </w:r>
        <w:r>
          <w:t>3</w:t>
        </w:r>
        <w:r>
          <w:fldChar w:fldCharType="end"/>
        </w:r>
      </w:hyperlink>
    </w:p>
    <w:p>
      <w:pPr>
        <w:pStyle w:val="TOC2"/>
        <w:tabs>
          <w:tab w:val="right" w:leader="dot" w:pos="8306"/>
        </w:tabs>
      </w:pPr>
      <w:hyperlink w:anchor="_Toc25383" w:history="1">
        <w:r>
          <w:rPr>
            <w:rFonts w:ascii="仿宋" w:eastAsia="仿宋" w:hAnsi="仿宋" w:cs="仿宋" w:hint="eastAsia"/>
            <w:lang w:eastAsia="zh-CN"/>
          </w:rPr>
          <w:t>(二)、销售渠道的选择和拓展</w:t>
        </w:r>
        <w:r>
          <w:tab/>
        </w:r>
        <w:r>
          <w:fldChar w:fldCharType="begin"/>
        </w:r>
        <w:r>
          <w:instrText xml:space="preserve"> PAGEREF _Toc25383 \h </w:instrText>
        </w:r>
        <w:r>
          <w:fldChar w:fldCharType="separate"/>
        </w:r>
        <w:r>
          <w:t>5</w:t>
        </w:r>
        <w:r>
          <w:fldChar w:fldCharType="end"/>
        </w:r>
      </w:hyperlink>
    </w:p>
    <w:p>
      <w:pPr>
        <w:pStyle w:val="TOC2"/>
        <w:tabs>
          <w:tab w:val="right" w:leader="dot" w:pos="8306"/>
        </w:tabs>
      </w:pPr>
      <w:hyperlink w:anchor="_Toc29573" w:history="1">
        <w:r>
          <w:rPr>
            <w:rFonts w:ascii="仿宋" w:eastAsia="仿宋" w:hAnsi="仿宋" w:cs="仿宋" w:hint="eastAsia"/>
            <w:lang w:eastAsia="zh-CN"/>
          </w:rPr>
          <w:t>(三)、销售促进和营销活动的策划和实施</w:t>
        </w:r>
        <w:r>
          <w:tab/>
        </w:r>
        <w:r>
          <w:fldChar w:fldCharType="begin"/>
        </w:r>
        <w:r>
          <w:instrText xml:space="preserve"> PAGEREF _Toc29573 \h </w:instrText>
        </w:r>
        <w:r>
          <w:fldChar w:fldCharType="separate"/>
        </w:r>
        <w:r>
          <w:t>7</w:t>
        </w:r>
        <w:r>
          <w:fldChar w:fldCharType="end"/>
        </w:r>
      </w:hyperlink>
    </w:p>
    <w:p>
      <w:pPr>
        <w:pStyle w:val="TOC1"/>
        <w:tabs>
          <w:tab w:val="right" w:leader="dot" w:pos="8306"/>
        </w:tabs>
      </w:pPr>
      <w:hyperlink w:anchor="_Toc1765" w:history="1">
        <w:r>
          <w:rPr>
            <w:rFonts w:ascii="仿宋" w:eastAsia="仿宋" w:hAnsi="仿宋" w:cs="仿宋" w:hint="eastAsia"/>
            <w:lang w:eastAsia="zh-CN"/>
          </w:rPr>
          <w:t>二、技术可行性分析</w:t>
        </w:r>
        <w:r>
          <w:tab/>
        </w:r>
        <w:r>
          <w:fldChar w:fldCharType="begin"/>
        </w:r>
        <w:r>
          <w:instrText xml:space="preserve"> PAGEREF _Toc1765 \h </w:instrText>
        </w:r>
        <w:r>
          <w:fldChar w:fldCharType="separate"/>
        </w:r>
        <w:r>
          <w:t>8</w:t>
        </w:r>
        <w:r>
          <w:fldChar w:fldCharType="end"/>
        </w:r>
      </w:hyperlink>
    </w:p>
    <w:p>
      <w:pPr>
        <w:pStyle w:val="TOC2"/>
        <w:tabs>
          <w:tab w:val="right" w:leader="dot" w:pos="8306"/>
        </w:tabs>
      </w:pPr>
      <w:hyperlink w:anchor="_Toc1035" w:history="1">
        <w:r>
          <w:rPr>
            <w:rFonts w:ascii="仿宋" w:eastAsia="仿宋" w:hAnsi="仿宋" w:cs="仿宋" w:hint="eastAsia"/>
            <w:lang w:eastAsia="zh-CN"/>
          </w:rPr>
          <w:t>(一)、技术来源及先进性说明</w:t>
        </w:r>
        <w:r>
          <w:tab/>
        </w:r>
        <w:r>
          <w:fldChar w:fldCharType="begin"/>
        </w:r>
        <w:r>
          <w:instrText xml:space="preserve"> PAGEREF _Toc1035 \h </w:instrText>
        </w:r>
        <w:r>
          <w:fldChar w:fldCharType="separate"/>
        </w:r>
        <w:r>
          <w:t>8</w:t>
        </w:r>
        <w:r>
          <w:fldChar w:fldCharType="end"/>
        </w:r>
      </w:hyperlink>
    </w:p>
    <w:p>
      <w:pPr>
        <w:pStyle w:val="TOC2"/>
        <w:tabs>
          <w:tab w:val="right" w:leader="dot" w:pos="8306"/>
        </w:tabs>
      </w:pPr>
      <w:hyperlink w:anchor="_Toc6333" w:history="1">
        <w:r>
          <w:rPr>
            <w:rFonts w:ascii="仿宋" w:eastAsia="仿宋" w:hAnsi="仿宋" w:cs="仿宋" w:hint="eastAsia"/>
            <w:lang w:eastAsia="zh-CN"/>
          </w:rPr>
          <w:t>(二)、核仪器设备项目的技术难点及解决方案</w:t>
        </w:r>
        <w:r>
          <w:tab/>
        </w:r>
        <w:r>
          <w:fldChar w:fldCharType="begin"/>
        </w:r>
        <w:r>
          <w:instrText xml:space="preserve"> PAGEREF _Toc6333 \h </w:instrText>
        </w:r>
        <w:r>
          <w:fldChar w:fldCharType="separate"/>
        </w:r>
        <w:r>
          <w:t>9</w:t>
        </w:r>
        <w:r>
          <w:fldChar w:fldCharType="end"/>
        </w:r>
      </w:hyperlink>
    </w:p>
    <w:p>
      <w:pPr>
        <w:pStyle w:val="TOC2"/>
        <w:tabs>
          <w:tab w:val="right" w:leader="dot" w:pos="8306"/>
        </w:tabs>
      </w:pPr>
      <w:hyperlink w:anchor="_Toc24681" w:history="1">
        <w:r>
          <w:rPr>
            <w:rFonts w:ascii="仿宋" w:eastAsia="仿宋" w:hAnsi="仿宋" w:cs="仿宋" w:hint="eastAsia"/>
            <w:lang w:eastAsia="zh-CN"/>
          </w:rPr>
          <w:t>(三)、技术人才需求</w:t>
        </w:r>
        <w:r>
          <w:tab/>
        </w:r>
        <w:r>
          <w:fldChar w:fldCharType="begin"/>
        </w:r>
        <w:r>
          <w:instrText xml:space="preserve"> PAGEREF _Toc24681 \h </w:instrText>
        </w:r>
        <w:r>
          <w:fldChar w:fldCharType="separate"/>
        </w:r>
        <w:r>
          <w:t>10</w:t>
        </w:r>
        <w:r>
          <w:fldChar w:fldCharType="end"/>
        </w:r>
      </w:hyperlink>
    </w:p>
    <w:p>
      <w:pPr>
        <w:pStyle w:val="TOC1"/>
        <w:tabs>
          <w:tab w:val="right" w:leader="dot" w:pos="8306"/>
        </w:tabs>
      </w:pPr>
      <w:hyperlink w:anchor="_Toc14736" w:history="1">
        <w:r>
          <w:rPr>
            <w:rFonts w:ascii="仿宋" w:eastAsia="仿宋" w:hAnsi="仿宋" w:cs="仿宋" w:hint="eastAsia"/>
            <w:lang w:eastAsia="zh-CN"/>
          </w:rPr>
          <w:t>三、市场营销和客户体验管理</w:t>
        </w:r>
        <w:r>
          <w:tab/>
        </w:r>
        <w:r>
          <w:fldChar w:fldCharType="begin"/>
        </w:r>
        <w:r>
          <w:instrText xml:space="preserve"> PAGEREF _Toc14736 \h </w:instrText>
        </w:r>
        <w:r>
          <w:fldChar w:fldCharType="separate"/>
        </w:r>
        <w:r>
          <w:t>12</w:t>
        </w:r>
        <w:r>
          <w:fldChar w:fldCharType="end"/>
        </w:r>
      </w:hyperlink>
    </w:p>
    <w:p>
      <w:pPr>
        <w:pStyle w:val="TOC2"/>
        <w:tabs>
          <w:tab w:val="right" w:leader="dot" w:pos="8306"/>
        </w:tabs>
      </w:pPr>
      <w:hyperlink w:anchor="_Toc6472" w:history="1">
        <w:r>
          <w:rPr>
            <w:rFonts w:ascii="仿宋" w:eastAsia="仿宋" w:hAnsi="仿宋" w:cs="仿宋" w:hint="eastAsia"/>
            <w:lang w:eastAsia="zh-CN"/>
          </w:rPr>
          <w:t>(一)、核仪器设备项目产品的市场定位和目标客户分析</w:t>
        </w:r>
        <w:r>
          <w:tab/>
        </w:r>
        <w:r>
          <w:fldChar w:fldCharType="begin"/>
        </w:r>
        <w:r>
          <w:instrText xml:space="preserve"> PAGEREF _Toc6472 \h </w:instrText>
        </w:r>
        <w:r>
          <w:fldChar w:fldCharType="separate"/>
        </w:r>
        <w:r>
          <w:t>12</w:t>
        </w:r>
        <w:r>
          <w:fldChar w:fldCharType="end"/>
        </w:r>
      </w:hyperlink>
    </w:p>
    <w:p>
      <w:pPr>
        <w:pStyle w:val="TOC2"/>
        <w:tabs>
          <w:tab w:val="right" w:leader="dot" w:pos="8306"/>
        </w:tabs>
      </w:pPr>
      <w:hyperlink w:anchor="_Toc1414" w:history="1">
        <w:r>
          <w:rPr>
            <w:rFonts w:ascii="仿宋" w:eastAsia="仿宋" w:hAnsi="仿宋" w:cs="仿宋" w:hint="eastAsia"/>
            <w:lang w:eastAsia="zh-CN"/>
          </w:rPr>
          <w:t>(二)、市场营销策略和推广渠道选择</w:t>
        </w:r>
        <w:r>
          <w:tab/>
        </w:r>
        <w:r>
          <w:fldChar w:fldCharType="begin"/>
        </w:r>
        <w:r>
          <w:instrText xml:space="preserve"> PAGEREF _Toc1414 \h </w:instrText>
        </w:r>
        <w:r>
          <w:fldChar w:fldCharType="separate"/>
        </w:r>
        <w:r>
          <w:t>13</w:t>
        </w:r>
        <w:r>
          <w:fldChar w:fldCharType="end"/>
        </w:r>
      </w:hyperlink>
    </w:p>
    <w:p>
      <w:pPr>
        <w:pStyle w:val="TOC2"/>
        <w:tabs>
          <w:tab w:val="right" w:leader="dot" w:pos="8306"/>
        </w:tabs>
      </w:pPr>
      <w:hyperlink w:anchor="_Toc30671" w:history="1">
        <w:r>
          <w:rPr>
            <w:rFonts w:ascii="仿宋" w:eastAsia="仿宋" w:hAnsi="仿宋" w:cs="仿宋" w:hint="eastAsia"/>
            <w:lang w:eastAsia="zh-CN"/>
          </w:rPr>
          <w:t>(三)、客户体验管理和反馈机制建设</w:t>
        </w:r>
        <w:r>
          <w:tab/>
        </w:r>
        <w:r>
          <w:fldChar w:fldCharType="begin"/>
        </w:r>
        <w:r>
          <w:instrText xml:space="preserve"> PAGEREF _Toc30671 \h </w:instrText>
        </w:r>
        <w:r>
          <w:fldChar w:fldCharType="separate"/>
        </w:r>
        <w:r>
          <w:t>14</w:t>
        </w:r>
        <w:r>
          <w:fldChar w:fldCharType="end"/>
        </w:r>
      </w:hyperlink>
    </w:p>
    <w:p>
      <w:pPr>
        <w:pStyle w:val="TOC1"/>
        <w:tabs>
          <w:tab w:val="right" w:leader="dot" w:pos="8306"/>
        </w:tabs>
      </w:pPr>
      <w:hyperlink w:anchor="_Toc12380" w:history="1">
        <w:r>
          <w:rPr>
            <w:rFonts w:ascii="仿宋" w:eastAsia="仿宋" w:hAnsi="仿宋" w:cs="仿宋" w:hint="eastAsia"/>
            <w:lang w:eastAsia="zh-CN"/>
          </w:rPr>
          <w:t>四、核仪器设备项目主要建(构)筑物建设工程</w:t>
        </w:r>
        <w:r>
          <w:tab/>
        </w:r>
        <w:r>
          <w:fldChar w:fldCharType="begin"/>
        </w:r>
        <w:r>
          <w:instrText xml:space="preserve"> PAGEREF _Toc12380 \h </w:instrText>
        </w:r>
        <w:r>
          <w:fldChar w:fldCharType="separate"/>
        </w:r>
        <w:r>
          <w:t>15</w:t>
        </w:r>
        <w:r>
          <w:fldChar w:fldCharType="end"/>
        </w:r>
      </w:hyperlink>
    </w:p>
    <w:p>
      <w:pPr>
        <w:pStyle w:val="TOC2"/>
        <w:tabs>
          <w:tab w:val="right" w:leader="dot" w:pos="8306"/>
        </w:tabs>
      </w:pPr>
      <w:hyperlink w:anchor="_Toc31528" w:history="1">
        <w:r>
          <w:rPr>
            <w:rFonts w:ascii="仿宋" w:eastAsia="仿宋" w:hAnsi="仿宋" w:cs="仿宋" w:hint="eastAsia"/>
            <w:lang w:eastAsia="zh-CN"/>
          </w:rPr>
          <w:t>(一)、抗震设防</w:t>
        </w:r>
        <w:r>
          <w:tab/>
        </w:r>
        <w:r>
          <w:fldChar w:fldCharType="begin"/>
        </w:r>
        <w:r>
          <w:instrText xml:space="preserve"> PAGEREF _Toc31528 \h </w:instrText>
        </w:r>
        <w:r>
          <w:fldChar w:fldCharType="separate"/>
        </w:r>
        <w:r>
          <w:t>15</w:t>
        </w:r>
        <w:r>
          <w:fldChar w:fldCharType="end"/>
        </w:r>
      </w:hyperlink>
    </w:p>
    <w:p>
      <w:pPr>
        <w:pStyle w:val="TOC2"/>
        <w:tabs>
          <w:tab w:val="right" w:leader="dot" w:pos="8306"/>
        </w:tabs>
      </w:pPr>
      <w:hyperlink w:anchor="_Toc5461" w:history="1">
        <w:r>
          <w:rPr>
            <w:rFonts w:ascii="仿宋" w:eastAsia="仿宋" w:hAnsi="仿宋" w:cs="仿宋" w:hint="eastAsia"/>
            <w:lang w:eastAsia="zh-CN"/>
          </w:rPr>
          <w:t>(二)、建筑结构形势及基础方案</w:t>
        </w:r>
        <w:r>
          <w:tab/>
        </w:r>
        <w:r>
          <w:fldChar w:fldCharType="begin"/>
        </w:r>
        <w:r>
          <w:instrText xml:space="preserve"> PAGEREF _Toc5461 \h </w:instrText>
        </w:r>
        <w:r>
          <w:fldChar w:fldCharType="separate"/>
        </w:r>
        <w:r>
          <w:t>16</w:t>
        </w:r>
        <w:r>
          <w:fldChar w:fldCharType="end"/>
        </w:r>
      </w:hyperlink>
    </w:p>
    <w:p>
      <w:pPr>
        <w:pStyle w:val="TOC2"/>
        <w:tabs>
          <w:tab w:val="right" w:leader="dot" w:pos="8306"/>
        </w:tabs>
      </w:pPr>
      <w:hyperlink w:anchor="_Toc3919" w:history="1">
        <w:r>
          <w:rPr>
            <w:rFonts w:ascii="仿宋" w:eastAsia="仿宋" w:hAnsi="仿宋" w:cs="仿宋" w:hint="eastAsia"/>
            <w:lang w:eastAsia="zh-CN"/>
          </w:rPr>
          <w:t>(三)、主要建(构)筑物建设工程</w:t>
        </w:r>
        <w:r>
          <w:tab/>
        </w:r>
        <w:r>
          <w:fldChar w:fldCharType="begin"/>
        </w:r>
        <w:r>
          <w:instrText xml:space="preserve"> PAGEREF _Toc3919 \h </w:instrText>
        </w:r>
        <w:r>
          <w:fldChar w:fldCharType="separate"/>
        </w:r>
        <w:r>
          <w:t>16</w:t>
        </w:r>
        <w:r>
          <w:fldChar w:fldCharType="end"/>
        </w:r>
      </w:hyperlink>
    </w:p>
    <w:p>
      <w:pPr>
        <w:pStyle w:val="TOC1"/>
        <w:tabs>
          <w:tab w:val="right" w:leader="dot" w:pos="8306"/>
        </w:tabs>
      </w:pPr>
      <w:hyperlink w:anchor="_Toc24404" w:history="1">
        <w:r>
          <w:rPr>
            <w:rFonts w:ascii="仿宋" w:eastAsia="仿宋" w:hAnsi="仿宋" w:cs="仿宋" w:hint="eastAsia"/>
            <w:lang w:eastAsia="zh-CN"/>
          </w:rPr>
          <w:t>五、文化内涵和艺术价值</w:t>
        </w:r>
        <w:r>
          <w:tab/>
        </w:r>
        <w:r>
          <w:fldChar w:fldCharType="begin"/>
        </w:r>
        <w:r>
          <w:instrText xml:space="preserve"> PAGEREF _Toc24404 \h </w:instrText>
        </w:r>
        <w:r>
          <w:fldChar w:fldCharType="separate"/>
        </w:r>
        <w:r>
          <w:t>16</w:t>
        </w:r>
        <w:r>
          <w:fldChar w:fldCharType="end"/>
        </w:r>
      </w:hyperlink>
    </w:p>
    <w:p>
      <w:pPr>
        <w:pStyle w:val="TOC2"/>
        <w:tabs>
          <w:tab w:val="right" w:leader="dot" w:pos="8306"/>
        </w:tabs>
      </w:pPr>
      <w:hyperlink w:anchor="_Toc12059" w:history="1">
        <w:r>
          <w:rPr>
            <w:rFonts w:ascii="仿宋" w:eastAsia="仿宋" w:hAnsi="仿宋" w:cs="仿宋" w:hint="eastAsia"/>
            <w:lang w:eastAsia="zh-CN"/>
          </w:rPr>
          <w:t>(一)、核仪器设备项目与文化内涵的结合方式</w:t>
        </w:r>
        <w:r>
          <w:tab/>
        </w:r>
        <w:r>
          <w:fldChar w:fldCharType="begin"/>
        </w:r>
        <w:r>
          <w:instrText xml:space="preserve"> PAGEREF _Toc12059 \h </w:instrText>
        </w:r>
        <w:r>
          <w:fldChar w:fldCharType="separate"/>
        </w:r>
        <w:r>
          <w:t>16</w:t>
        </w:r>
        <w:r>
          <w:fldChar w:fldCharType="end"/>
        </w:r>
      </w:hyperlink>
    </w:p>
    <w:p>
      <w:pPr>
        <w:pStyle w:val="TOC2"/>
        <w:tabs>
          <w:tab w:val="right" w:leader="dot" w:pos="8306"/>
        </w:tabs>
      </w:pPr>
      <w:hyperlink w:anchor="_Toc21295" w:history="1">
        <w:r>
          <w:rPr>
            <w:rFonts w:ascii="仿宋" w:eastAsia="仿宋" w:hAnsi="仿宋" w:cs="仿宋" w:hint="eastAsia"/>
            <w:lang w:eastAsia="zh-CN"/>
          </w:rPr>
          <w:t>(二)、核仪器设备项目产品的艺术价值分析</w:t>
        </w:r>
        <w:r>
          <w:tab/>
        </w:r>
        <w:r>
          <w:fldChar w:fldCharType="begin"/>
        </w:r>
        <w:r>
          <w:instrText xml:space="preserve"> PAGEREF _Toc21295 \h </w:instrText>
        </w:r>
        <w:r>
          <w:fldChar w:fldCharType="separate"/>
        </w:r>
        <w:r>
          <w:t>17</w:t>
        </w:r>
        <w:r>
          <w:fldChar w:fldCharType="end"/>
        </w:r>
      </w:hyperlink>
    </w:p>
    <w:p>
      <w:pPr>
        <w:pStyle w:val="TOC2"/>
        <w:tabs>
          <w:tab w:val="right" w:leader="dot" w:pos="8306"/>
        </w:tabs>
      </w:pPr>
      <w:hyperlink w:anchor="_Toc29675" w:history="1">
        <w:r>
          <w:rPr>
            <w:rFonts w:ascii="仿宋" w:eastAsia="仿宋" w:hAnsi="仿宋" w:cs="仿宋" w:hint="eastAsia"/>
            <w:lang w:eastAsia="zh-CN"/>
          </w:rPr>
          <w:t>(三)、文化传承和艺术创新的策略探讨</w:t>
        </w:r>
        <w:r>
          <w:tab/>
        </w:r>
        <w:r>
          <w:fldChar w:fldCharType="begin"/>
        </w:r>
        <w:r>
          <w:instrText xml:space="preserve"> PAGEREF _Toc29675 \h </w:instrText>
        </w:r>
        <w:r>
          <w:fldChar w:fldCharType="separate"/>
        </w:r>
        <w:r>
          <w:t>18</w:t>
        </w:r>
        <w:r>
          <w:fldChar w:fldCharType="end"/>
        </w:r>
      </w:hyperlink>
    </w:p>
    <w:p>
      <w:pPr>
        <w:pStyle w:val="TOC1"/>
        <w:tabs>
          <w:tab w:val="right" w:leader="dot" w:pos="8306"/>
        </w:tabs>
      </w:pPr>
      <w:hyperlink w:anchor="_Toc21822" w:history="1">
        <w:r>
          <w:rPr>
            <w:rFonts w:ascii="仿宋" w:eastAsia="仿宋" w:hAnsi="仿宋" w:cs="仿宋" w:hint="eastAsia"/>
            <w:lang w:eastAsia="zh-CN"/>
          </w:rPr>
          <w:t>六、企业文化和员工培训</w:t>
        </w:r>
        <w:r>
          <w:tab/>
        </w:r>
        <w:r>
          <w:fldChar w:fldCharType="begin"/>
        </w:r>
        <w:r>
          <w:instrText xml:space="preserve"> PAGEREF _Toc21822 \h </w:instrText>
        </w:r>
        <w:r>
          <w:fldChar w:fldCharType="separate"/>
        </w:r>
        <w:r>
          <w:t>18</w:t>
        </w:r>
        <w:r>
          <w:fldChar w:fldCharType="end"/>
        </w:r>
      </w:hyperlink>
    </w:p>
    <w:p>
      <w:pPr>
        <w:pStyle w:val="TOC2"/>
        <w:tabs>
          <w:tab w:val="right" w:leader="dot" w:pos="8306"/>
        </w:tabs>
      </w:pPr>
      <w:hyperlink w:anchor="_Toc26461" w:history="1">
        <w:r>
          <w:rPr>
            <w:rFonts w:ascii="仿宋" w:eastAsia="仿宋" w:hAnsi="仿宋" w:cs="仿宋" w:hint="eastAsia"/>
            <w:lang w:eastAsia="zh-CN"/>
          </w:rPr>
          <w:t>(一)、企业文化的建设和传承</w:t>
        </w:r>
        <w:r>
          <w:tab/>
        </w:r>
        <w:r>
          <w:fldChar w:fldCharType="begin"/>
        </w:r>
        <w:r>
          <w:instrText xml:space="preserve"> PAGEREF _Toc26461 \h </w:instrText>
        </w:r>
        <w:r>
          <w:fldChar w:fldCharType="separate"/>
        </w:r>
        <w:r>
          <w:t>18</w:t>
        </w:r>
        <w:r>
          <w:fldChar w:fldCharType="end"/>
        </w:r>
      </w:hyperlink>
    </w:p>
    <w:p>
      <w:pPr>
        <w:pStyle w:val="TOC2"/>
        <w:tabs>
          <w:tab w:val="right" w:leader="dot" w:pos="8306"/>
        </w:tabs>
      </w:pPr>
      <w:hyperlink w:anchor="_Toc19629" w:history="1">
        <w:r>
          <w:rPr>
            <w:rFonts w:ascii="仿宋" w:eastAsia="仿宋" w:hAnsi="仿宋" w:cs="仿宋" w:hint="eastAsia"/>
            <w:lang w:eastAsia="zh-CN"/>
          </w:rPr>
          <w:t>(二)、员工培训的方案和实施</w:t>
        </w:r>
        <w:r>
          <w:tab/>
        </w:r>
        <w:r>
          <w:fldChar w:fldCharType="begin"/>
        </w:r>
        <w:r>
          <w:instrText xml:space="preserve"> PAGEREF _Toc19629 \h </w:instrText>
        </w:r>
        <w:r>
          <w:fldChar w:fldCharType="separate"/>
        </w:r>
        <w:r>
          <w:t>20</w:t>
        </w:r>
        <w:r>
          <w:fldChar w:fldCharType="end"/>
        </w:r>
      </w:hyperlink>
    </w:p>
    <w:p>
      <w:pPr>
        <w:pStyle w:val="TOC2"/>
        <w:tabs>
          <w:tab w:val="right" w:leader="dot" w:pos="8306"/>
        </w:tabs>
      </w:pPr>
      <w:hyperlink w:anchor="_Toc20457" w:history="1">
        <w:r>
          <w:rPr>
            <w:rFonts w:ascii="仿宋" w:eastAsia="仿宋" w:hAnsi="仿宋" w:cs="仿宋" w:hint="eastAsia"/>
            <w:lang w:eastAsia="zh-CN"/>
          </w:rPr>
          <w:t>(三)、企业文化和员工培训的互动和融合</w:t>
        </w:r>
        <w:r>
          <w:tab/>
        </w:r>
        <w:r>
          <w:fldChar w:fldCharType="begin"/>
        </w:r>
        <w:r>
          <w:instrText xml:space="preserve"> PAGEREF _Toc20457 \h </w:instrText>
        </w:r>
        <w:r>
          <w:fldChar w:fldCharType="separate"/>
        </w:r>
        <w:r>
          <w:t>21</w:t>
        </w:r>
        <w:r>
          <w:fldChar w:fldCharType="end"/>
        </w:r>
      </w:hyperlink>
    </w:p>
    <w:p>
      <w:pPr>
        <w:pStyle w:val="TOC1"/>
        <w:tabs>
          <w:tab w:val="right" w:leader="dot" w:pos="8306"/>
        </w:tabs>
      </w:pPr>
      <w:hyperlink w:anchor="_Toc23072" w:history="1">
        <w:r>
          <w:rPr>
            <w:rFonts w:ascii="仿宋" w:eastAsia="仿宋" w:hAnsi="仿宋" w:cs="仿宋" w:hint="eastAsia"/>
            <w:lang w:eastAsia="zh-CN"/>
          </w:rPr>
          <w:t>七、组织机构工作制度和劳动定员</w:t>
        </w:r>
        <w:r>
          <w:tab/>
        </w:r>
        <w:r>
          <w:fldChar w:fldCharType="begin"/>
        </w:r>
        <w:r>
          <w:instrText xml:space="preserve"> PAGEREF _Toc23072 \h </w:instrText>
        </w:r>
        <w:r>
          <w:fldChar w:fldCharType="separate"/>
        </w:r>
        <w:r>
          <w:t>22</w:t>
        </w:r>
        <w:r>
          <w:fldChar w:fldCharType="end"/>
        </w:r>
      </w:hyperlink>
    </w:p>
    <w:p>
      <w:pPr>
        <w:pStyle w:val="TOC2"/>
        <w:tabs>
          <w:tab w:val="right" w:leader="dot" w:pos="8306"/>
        </w:tabs>
      </w:pPr>
      <w:hyperlink w:anchor="_Toc14188" w:history="1">
        <w:r>
          <w:rPr>
            <w:rFonts w:ascii="仿宋" w:eastAsia="仿宋" w:hAnsi="仿宋" w:cs="仿宋" w:hint="eastAsia"/>
            <w:lang w:eastAsia="zh-CN"/>
          </w:rPr>
          <w:t>(一)、核仪器设备项目工作制度</w:t>
        </w:r>
        <w:r>
          <w:tab/>
        </w:r>
        <w:r>
          <w:fldChar w:fldCharType="begin"/>
        </w:r>
        <w:r>
          <w:instrText xml:space="preserve"> PAGEREF _Toc14188 \h </w:instrText>
        </w:r>
        <w:r>
          <w:fldChar w:fldCharType="separate"/>
        </w:r>
        <w:r>
          <w:t>22</w:t>
        </w:r>
        <w:r>
          <w:fldChar w:fldCharType="end"/>
        </w:r>
      </w:hyperlink>
    </w:p>
    <w:p>
      <w:pPr>
        <w:pStyle w:val="TOC2"/>
        <w:tabs>
          <w:tab w:val="right" w:leader="dot" w:pos="8306"/>
        </w:tabs>
      </w:pPr>
      <w:hyperlink w:anchor="_Toc17570" w:history="1">
        <w:r>
          <w:rPr>
            <w:rFonts w:ascii="仿宋" w:eastAsia="仿宋" w:hAnsi="仿宋" w:cs="仿宋" w:hint="eastAsia"/>
            <w:lang w:eastAsia="zh-CN"/>
          </w:rPr>
          <w:t>(二)、劳动定员</w:t>
        </w:r>
        <w:r>
          <w:tab/>
        </w:r>
        <w:r>
          <w:fldChar w:fldCharType="begin"/>
        </w:r>
        <w:r>
          <w:instrText xml:space="preserve"> PAGEREF _Toc17570 \h </w:instrText>
        </w:r>
        <w:r>
          <w:fldChar w:fldCharType="separate"/>
        </w:r>
        <w:r>
          <w:t>23</w:t>
        </w:r>
        <w:r>
          <w:fldChar w:fldCharType="end"/>
        </w:r>
      </w:hyperlink>
    </w:p>
    <w:p>
      <w:pPr>
        <w:pStyle w:val="TOC2"/>
        <w:tabs>
          <w:tab w:val="right" w:leader="dot" w:pos="8306"/>
        </w:tabs>
      </w:pPr>
      <w:hyperlink w:anchor="_Toc8926" w:history="1">
        <w:r>
          <w:rPr>
            <w:rFonts w:ascii="仿宋" w:eastAsia="仿宋" w:hAnsi="仿宋" w:cs="仿宋" w:hint="eastAsia"/>
            <w:lang w:eastAsia="zh-CN"/>
          </w:rPr>
          <w:t>(三)、核仪器设备项目建设人员培训</w:t>
        </w:r>
        <w:r>
          <w:tab/>
        </w:r>
        <w:r>
          <w:fldChar w:fldCharType="begin"/>
        </w:r>
        <w:r>
          <w:instrText xml:space="preserve"> PAGEREF _Toc8926 \h </w:instrText>
        </w:r>
        <w:r>
          <w:fldChar w:fldCharType="separate"/>
        </w:r>
        <w:r>
          <w:t>23</w:t>
        </w:r>
        <w:r>
          <w:fldChar w:fldCharType="end"/>
        </w:r>
      </w:hyperlink>
    </w:p>
    <w:p>
      <w:pPr>
        <w:pStyle w:val="TOC1"/>
        <w:tabs>
          <w:tab w:val="right" w:leader="dot" w:pos="8306"/>
        </w:tabs>
      </w:pPr>
      <w:hyperlink w:anchor="_Toc22274" w:history="1">
        <w:r>
          <w:rPr>
            <w:rFonts w:ascii="仿宋" w:eastAsia="仿宋" w:hAnsi="仿宋" w:cs="仿宋" w:hint="eastAsia"/>
            <w:lang w:eastAsia="zh-CN"/>
          </w:rPr>
          <w:t>八、社会投资和慈善计划</w:t>
        </w:r>
        <w:r>
          <w:tab/>
        </w:r>
        <w:r>
          <w:fldChar w:fldCharType="begin"/>
        </w:r>
        <w:r>
          <w:instrText xml:space="preserve"> PAGEREF _Toc22274 \h </w:instrText>
        </w:r>
        <w:r>
          <w:fldChar w:fldCharType="separate"/>
        </w:r>
        <w:r>
          <w:t>26</w:t>
        </w:r>
        <w:r>
          <w:fldChar w:fldCharType="end"/>
        </w:r>
      </w:hyperlink>
    </w:p>
    <w:p>
      <w:pPr>
        <w:pStyle w:val="TOC2"/>
        <w:tabs>
          <w:tab w:val="right" w:leader="dot" w:pos="8306"/>
        </w:tabs>
      </w:pPr>
      <w:hyperlink w:anchor="_Toc27839" w:history="1">
        <w:r>
          <w:rPr>
            <w:rFonts w:ascii="仿宋" w:eastAsia="仿宋" w:hAnsi="仿宋" w:cs="仿宋" w:hint="eastAsia"/>
            <w:lang w:eastAsia="zh-CN"/>
          </w:rPr>
          <w:t>(一)、社会责任投资和捐赠计划</w:t>
        </w:r>
        <w:r>
          <w:tab/>
        </w:r>
        <w:r>
          <w:fldChar w:fldCharType="begin"/>
        </w:r>
        <w:r>
          <w:instrText xml:space="preserve"> PAGEREF _Toc27839 \h </w:instrText>
        </w:r>
        <w:r>
          <w:fldChar w:fldCharType="separate"/>
        </w:r>
        <w:r>
          <w:t>26</w:t>
        </w:r>
        <w:r>
          <w:fldChar w:fldCharType="end"/>
        </w:r>
      </w:hyperlink>
    </w:p>
    <w:p>
      <w:pPr>
        <w:pStyle w:val="TOC2"/>
        <w:tabs>
          <w:tab w:val="right" w:leader="dot" w:pos="8306"/>
        </w:tabs>
      </w:pPr>
      <w:hyperlink w:anchor="_Toc30974" w:history="1">
        <w:r>
          <w:rPr>
            <w:rFonts w:ascii="仿宋" w:eastAsia="仿宋" w:hAnsi="仿宋" w:cs="仿宋" w:hint="eastAsia"/>
            <w:lang w:eastAsia="zh-CN"/>
          </w:rPr>
          <w:t>(二)、社会慈善核仪器设备项目的可行性</w:t>
        </w:r>
        <w:r>
          <w:tab/>
        </w:r>
        <w:r>
          <w:fldChar w:fldCharType="begin"/>
        </w:r>
        <w:r>
          <w:instrText xml:space="preserve"> PAGEREF _Toc30974 \h </w:instrText>
        </w:r>
        <w:r>
          <w:fldChar w:fldCharType="separate"/>
        </w:r>
        <w:r>
          <w:t>27</w:t>
        </w:r>
        <w:r>
          <w:fldChar w:fldCharType="end"/>
        </w:r>
      </w:hyperlink>
    </w:p>
    <w:p>
      <w:pPr>
        <w:pStyle w:val="TOC2"/>
        <w:tabs>
          <w:tab w:val="right" w:leader="dot" w:pos="8306"/>
        </w:tabs>
      </w:pPr>
      <w:hyperlink w:anchor="_Toc12" w:history="1">
        <w:r>
          <w:rPr>
            <w:rFonts w:ascii="仿宋" w:eastAsia="仿宋" w:hAnsi="仿宋" w:cs="仿宋" w:hint="eastAsia"/>
            <w:lang w:eastAsia="zh-CN"/>
          </w:rPr>
          <w:t>(三)、社会影响投资的测量和报告</w:t>
        </w:r>
        <w:r>
          <w:tab/>
        </w:r>
        <w:r>
          <w:fldChar w:fldCharType="begin"/>
        </w:r>
        <w:r>
          <w:instrText xml:space="preserve"> PAGEREF _Toc12 \h </w:instrText>
        </w:r>
        <w:r>
          <w:fldChar w:fldCharType="separate"/>
        </w:r>
        <w:r>
          <w:t>28</w:t>
        </w:r>
        <w:r>
          <w:fldChar w:fldCharType="end"/>
        </w:r>
      </w:hyperlink>
    </w:p>
    <w:p>
      <w:pPr>
        <w:pStyle w:val="TOC1"/>
        <w:tabs>
          <w:tab w:val="right" w:leader="dot" w:pos="8306"/>
        </w:tabs>
      </w:pPr>
      <w:hyperlink w:anchor="_Toc27380" w:history="1">
        <w:r>
          <w:rPr>
            <w:rFonts w:ascii="仿宋" w:eastAsia="仿宋" w:hAnsi="仿宋" w:cs="仿宋" w:hint="eastAsia"/>
            <w:lang w:eastAsia="zh-CN"/>
          </w:rPr>
          <w:t>九、核仪器设备项目合作协议和合同</w:t>
        </w:r>
        <w:r>
          <w:tab/>
        </w:r>
        <w:r>
          <w:fldChar w:fldCharType="begin"/>
        </w:r>
        <w:r>
          <w:instrText xml:space="preserve"> PAGEREF _Toc27380 \h </w:instrText>
        </w:r>
        <w:r>
          <w:fldChar w:fldCharType="separate"/>
        </w:r>
        <w:r>
          <w:t>30</w:t>
        </w:r>
        <w:r>
          <w:fldChar w:fldCharType="end"/>
        </w:r>
      </w:hyperlink>
    </w:p>
    <w:p>
      <w:pPr>
        <w:pStyle w:val="TOC2"/>
        <w:tabs>
          <w:tab w:val="right" w:leader="dot" w:pos="8306"/>
        </w:tabs>
      </w:pPr>
      <w:hyperlink w:anchor="_Toc24501" w:history="1">
        <w:r>
          <w:rPr>
            <w:rFonts w:ascii="仿宋" w:eastAsia="仿宋" w:hAnsi="仿宋" w:cs="仿宋" w:hint="eastAsia"/>
            <w:lang w:eastAsia="zh-CN"/>
          </w:rPr>
          <w:t>(一)、核仪器设备项目合作协议的主要内容和条款</w:t>
        </w:r>
        <w:r>
          <w:tab/>
        </w:r>
        <w:r>
          <w:fldChar w:fldCharType="begin"/>
        </w:r>
        <w:r>
          <w:instrText xml:space="preserve"> PAGEREF _Toc24501 \h </w:instrText>
        </w:r>
        <w:r>
          <w:fldChar w:fldCharType="separate"/>
        </w:r>
        <w:r>
          <w:t>30</w:t>
        </w:r>
        <w:r>
          <w:fldChar w:fldCharType="end"/>
        </w:r>
      </w:hyperlink>
    </w:p>
    <w:p>
      <w:pPr>
        <w:pStyle w:val="TOC2"/>
        <w:tabs>
          <w:tab w:val="right" w:leader="dot" w:pos="8306"/>
        </w:tabs>
      </w:pPr>
      <w:hyperlink w:anchor="_Toc32754" w:history="1">
        <w:r>
          <w:rPr>
            <w:rFonts w:ascii="仿宋" w:eastAsia="仿宋" w:hAnsi="仿宋" w:cs="仿宋" w:hint="eastAsia"/>
            <w:lang w:eastAsia="zh-CN"/>
          </w:rPr>
          <w:t>(二)、核仪器设备项目合同的主要内容和条款</w:t>
        </w:r>
        <w:r>
          <w:tab/>
        </w:r>
        <w:r>
          <w:fldChar w:fldCharType="begin"/>
        </w:r>
        <w:r>
          <w:instrText xml:space="preserve"> PAGEREF _Toc32754 \h </w:instrText>
        </w:r>
        <w:r>
          <w:fldChar w:fldCharType="separate"/>
        </w:r>
        <w:r>
          <w:t>31</w:t>
        </w:r>
        <w:r>
          <w:fldChar w:fldCharType="end"/>
        </w:r>
      </w:hyperlink>
    </w:p>
    <w:p>
      <w:pPr>
        <w:pStyle w:val="TOC2"/>
        <w:tabs>
          <w:tab w:val="right" w:leader="dot" w:pos="8306"/>
        </w:tabs>
      </w:pPr>
      <w:hyperlink w:anchor="_Toc1773" w:history="1">
        <w:r>
          <w:rPr>
            <w:rFonts w:ascii="仿宋" w:eastAsia="仿宋" w:hAnsi="仿宋" w:cs="仿宋" w:hint="eastAsia"/>
            <w:lang w:eastAsia="zh-CN"/>
          </w:rPr>
          <w:t>(三)、合作方之间的关系和权益保障</w:t>
        </w:r>
        <w:r>
          <w:tab/>
        </w:r>
        <w:r>
          <w:fldChar w:fldCharType="begin"/>
        </w:r>
        <w:r>
          <w:instrText xml:space="preserve"> PAGEREF _Toc1773 \h </w:instrText>
        </w:r>
        <w:r>
          <w:fldChar w:fldCharType="separate"/>
        </w:r>
        <w:r>
          <w:t>32</w:t>
        </w:r>
        <w:r>
          <w:fldChar w:fldCharType="end"/>
        </w:r>
      </w:hyperlink>
    </w:p>
    <w:p>
      <w:pPr>
        <w:pStyle w:val="TOC1"/>
        <w:tabs>
          <w:tab w:val="right" w:leader="dot" w:pos="8306"/>
        </w:tabs>
      </w:pPr>
      <w:hyperlink w:anchor="_Toc20819" w:history="1">
        <w:r>
          <w:rPr>
            <w:rFonts w:ascii="仿宋" w:eastAsia="仿宋" w:hAnsi="仿宋" w:cs="仿宋" w:hint="eastAsia"/>
            <w:lang w:eastAsia="zh-CN"/>
          </w:rPr>
          <w:t>十、工程设计方案</w:t>
        </w:r>
        <w:r>
          <w:tab/>
        </w:r>
        <w:r>
          <w:fldChar w:fldCharType="begin"/>
        </w:r>
        <w:r>
          <w:instrText xml:space="preserve"> PAGEREF _Toc20819 \h </w:instrText>
        </w:r>
        <w:r>
          <w:fldChar w:fldCharType="separate"/>
        </w:r>
        <w:r>
          <w:t>33</w:t>
        </w:r>
        <w:r>
          <w:fldChar w:fldCharType="end"/>
        </w:r>
      </w:hyperlink>
    </w:p>
    <w:p>
      <w:pPr>
        <w:pStyle w:val="TOC2"/>
        <w:tabs>
          <w:tab w:val="right" w:leader="dot" w:pos="8306"/>
        </w:tabs>
      </w:pPr>
      <w:hyperlink w:anchor="_Toc20684" w:history="1">
        <w:r>
          <w:rPr>
            <w:rFonts w:ascii="仿宋" w:eastAsia="仿宋" w:hAnsi="仿宋" w:cs="仿宋" w:hint="eastAsia"/>
            <w:lang w:eastAsia="zh-CN"/>
          </w:rPr>
          <w:t>(一)、总图布置</w:t>
        </w:r>
        <w:r>
          <w:tab/>
        </w:r>
        <w:r>
          <w:fldChar w:fldCharType="begin"/>
        </w:r>
        <w:r>
          <w:instrText xml:space="preserve"> PAGEREF _Toc20684 \h </w:instrText>
        </w:r>
        <w:r>
          <w:fldChar w:fldCharType="separate"/>
        </w:r>
        <w:r>
          <w:t>33</w:t>
        </w:r>
        <w:r>
          <w:fldChar w:fldCharType="end"/>
        </w:r>
      </w:hyperlink>
    </w:p>
    <w:p>
      <w:pPr>
        <w:pStyle w:val="TOC2"/>
        <w:tabs>
          <w:tab w:val="right" w:leader="dot" w:pos="8306"/>
        </w:tabs>
      </w:pPr>
      <w:hyperlink w:anchor="_Toc85" w:history="1">
        <w:r>
          <w:rPr>
            <w:rFonts w:ascii="仿宋" w:eastAsia="仿宋" w:hAnsi="仿宋" w:cs="仿宋" w:hint="eastAsia"/>
            <w:lang w:eastAsia="zh-CN"/>
          </w:rPr>
          <w:t>(二)、建筑设计</w:t>
        </w:r>
        <w:r>
          <w:tab/>
        </w:r>
        <w:r>
          <w:fldChar w:fldCharType="begin"/>
        </w:r>
        <w:r>
          <w:instrText xml:space="preserve"> PAGEREF _Toc85 \h </w:instrText>
        </w:r>
        <w:r>
          <w:fldChar w:fldCharType="separate"/>
        </w:r>
        <w:r>
          <w:t>34</w:t>
        </w:r>
        <w:r>
          <w:fldChar w:fldCharType="end"/>
        </w:r>
      </w:hyperlink>
    </w:p>
    <w:p>
      <w:pPr>
        <w:pStyle w:val="TOC2"/>
        <w:tabs>
          <w:tab w:val="right" w:leader="dot" w:pos="8306"/>
        </w:tabs>
      </w:pPr>
      <w:hyperlink w:anchor="_Toc18960" w:history="1">
        <w:r>
          <w:rPr>
            <w:rFonts w:ascii="仿宋" w:eastAsia="仿宋" w:hAnsi="仿宋" w:cs="仿宋" w:hint="eastAsia"/>
            <w:lang w:eastAsia="zh-CN"/>
          </w:rPr>
          <w:t>(三)、结构设计</w:t>
        </w:r>
        <w:r>
          <w:tab/>
        </w:r>
        <w:r>
          <w:fldChar w:fldCharType="begin"/>
        </w:r>
        <w:r>
          <w:instrText xml:space="preserve"> PAGEREF _Toc18960 \h </w:instrText>
        </w:r>
        <w:r>
          <w:fldChar w:fldCharType="separate"/>
        </w:r>
        <w:r>
          <w:t>36</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32073" w:history="1">
        <w:r>
          <w:rPr>
            <w:rFonts w:ascii="仿宋" w:eastAsia="仿宋" w:hAnsi="仿宋" w:cs="仿宋" w:hint="eastAsia"/>
            <w:lang w:eastAsia="zh-CN"/>
          </w:rPr>
          <w:t>(四)、给排水设计</w:t>
        </w:r>
        <w:r>
          <w:tab/>
        </w:r>
        <w:r>
          <w:fldChar w:fldCharType="begin"/>
        </w:r>
        <w:r>
          <w:instrText xml:space="preserve"> PAGEREF _Toc32073 \h </w:instrText>
        </w:r>
        <w:r>
          <w:fldChar w:fldCharType="separate"/>
        </w:r>
        <w:r>
          <w:t>37</w:t>
        </w:r>
        <w:r>
          <w:fldChar w:fldCharType="end"/>
        </w:r>
      </w:hyperlink>
    </w:p>
    <w:p>
      <w:pPr>
        <w:pStyle w:val="TOC2"/>
        <w:tabs>
          <w:tab w:val="right" w:leader="dot" w:pos="8306"/>
        </w:tabs>
      </w:pPr>
      <w:hyperlink w:anchor="_Toc9747" w:history="1">
        <w:r>
          <w:rPr>
            <w:rFonts w:ascii="仿宋" w:eastAsia="仿宋" w:hAnsi="仿宋" w:cs="仿宋" w:hint="eastAsia"/>
            <w:lang w:eastAsia="zh-CN"/>
          </w:rPr>
          <w:t>(五)、电气设计</w:t>
        </w:r>
        <w:r>
          <w:tab/>
        </w:r>
        <w:r>
          <w:fldChar w:fldCharType="begin"/>
        </w:r>
        <w:r>
          <w:instrText xml:space="preserve"> PAGEREF _Toc9747 \h </w:instrText>
        </w:r>
        <w:r>
          <w:fldChar w:fldCharType="separate"/>
        </w:r>
        <w:r>
          <w:t>39</w:t>
        </w:r>
        <w:r>
          <w:fldChar w:fldCharType="end"/>
        </w:r>
      </w:hyperlink>
    </w:p>
    <w:p>
      <w:pPr>
        <w:pStyle w:val="TOC2"/>
        <w:tabs>
          <w:tab w:val="right" w:leader="dot" w:pos="8306"/>
        </w:tabs>
      </w:pPr>
      <w:hyperlink w:anchor="_Toc18759" w:history="1">
        <w:r>
          <w:rPr>
            <w:rFonts w:ascii="仿宋" w:eastAsia="仿宋" w:hAnsi="仿宋" w:cs="仿宋" w:hint="eastAsia"/>
            <w:lang w:eastAsia="zh-CN"/>
          </w:rPr>
          <w:t>(六)、空调通风设计</w:t>
        </w:r>
        <w:r>
          <w:tab/>
        </w:r>
        <w:r>
          <w:fldChar w:fldCharType="begin"/>
        </w:r>
        <w:r>
          <w:instrText xml:space="preserve"> PAGEREF _Toc18759 \h </w:instrText>
        </w:r>
        <w:r>
          <w:fldChar w:fldCharType="separate"/>
        </w:r>
        <w:r>
          <w:t>40</w:t>
        </w:r>
        <w:r>
          <w:fldChar w:fldCharType="end"/>
        </w:r>
      </w:hyperlink>
    </w:p>
    <w:p>
      <w:pPr>
        <w:pStyle w:val="TOC2"/>
        <w:tabs>
          <w:tab w:val="right" w:leader="dot" w:pos="8306"/>
        </w:tabs>
      </w:pPr>
      <w:hyperlink w:anchor="_Toc6180" w:history="1">
        <w:r>
          <w:rPr>
            <w:rFonts w:ascii="仿宋" w:eastAsia="仿宋" w:hAnsi="仿宋" w:cs="仿宋" w:hint="eastAsia"/>
            <w:lang w:eastAsia="zh-CN"/>
          </w:rPr>
          <w:t>(七)、其他专业设计</w:t>
        </w:r>
        <w:r>
          <w:tab/>
        </w:r>
        <w:r>
          <w:fldChar w:fldCharType="begin"/>
        </w:r>
        <w:r>
          <w:instrText xml:space="preserve"> PAGEREF _Toc6180 \h </w:instrText>
        </w:r>
        <w:r>
          <w:fldChar w:fldCharType="separate"/>
        </w:r>
        <w:r>
          <w:t>42</w:t>
        </w:r>
        <w:r>
          <w:fldChar w:fldCharType="end"/>
        </w:r>
      </w:hyperlink>
    </w:p>
    <w:p>
      <w:pPr>
        <w:pStyle w:val="TOC1"/>
        <w:tabs>
          <w:tab w:val="right" w:leader="dot" w:pos="8306"/>
        </w:tabs>
      </w:pPr>
      <w:hyperlink w:anchor="_Toc3731" w:history="1">
        <w:r>
          <w:rPr>
            <w:rFonts w:ascii="仿宋" w:eastAsia="仿宋" w:hAnsi="仿宋" w:cs="仿宋" w:hint="eastAsia"/>
            <w:lang w:eastAsia="zh-CN"/>
          </w:rPr>
          <w:t>十一、核仪器设备可行性项目环境保护</w:t>
        </w:r>
        <w:r>
          <w:tab/>
        </w:r>
        <w:r>
          <w:fldChar w:fldCharType="begin"/>
        </w:r>
        <w:r>
          <w:instrText xml:space="preserve"> PAGEREF _Toc3731 \h </w:instrText>
        </w:r>
        <w:r>
          <w:fldChar w:fldCharType="separate"/>
        </w:r>
        <w:r>
          <w:t>43</w:t>
        </w:r>
        <w:r>
          <w:fldChar w:fldCharType="end"/>
        </w:r>
      </w:hyperlink>
    </w:p>
    <w:p>
      <w:pPr>
        <w:pStyle w:val="TOC2"/>
        <w:tabs>
          <w:tab w:val="right" w:leader="dot" w:pos="8306"/>
        </w:tabs>
      </w:pPr>
      <w:hyperlink w:anchor="_Toc7394" w:history="1">
        <w:r>
          <w:rPr>
            <w:rFonts w:ascii="仿宋" w:eastAsia="仿宋" w:hAnsi="仿宋" w:cs="仿宋" w:hint="eastAsia"/>
            <w:lang w:eastAsia="zh-CN"/>
          </w:rPr>
          <w:t>(一)、核仪器设备项目污染物的来源</w:t>
        </w:r>
        <w:r>
          <w:tab/>
        </w:r>
        <w:r>
          <w:fldChar w:fldCharType="begin"/>
        </w:r>
        <w:r>
          <w:instrText xml:space="preserve"> PAGEREF _Toc7394 \h </w:instrText>
        </w:r>
        <w:r>
          <w:fldChar w:fldCharType="separate"/>
        </w:r>
        <w:r>
          <w:t>43</w:t>
        </w:r>
        <w:r>
          <w:fldChar w:fldCharType="end"/>
        </w:r>
      </w:hyperlink>
    </w:p>
    <w:p>
      <w:pPr>
        <w:pStyle w:val="TOC2"/>
        <w:tabs>
          <w:tab w:val="right" w:leader="dot" w:pos="8306"/>
        </w:tabs>
      </w:pPr>
      <w:hyperlink w:anchor="_Toc3348" w:history="1">
        <w:r>
          <w:rPr>
            <w:rFonts w:ascii="仿宋" w:eastAsia="仿宋" w:hAnsi="仿宋" w:cs="仿宋" w:hint="eastAsia"/>
            <w:lang w:eastAsia="zh-CN"/>
          </w:rPr>
          <w:t>(二)、核仪器设备项目污染物的治理</w:t>
        </w:r>
        <w:r>
          <w:tab/>
        </w:r>
        <w:r>
          <w:fldChar w:fldCharType="begin"/>
        </w:r>
        <w:r>
          <w:instrText xml:space="preserve"> PAGEREF _Toc3348 \h </w:instrText>
        </w:r>
        <w:r>
          <w:fldChar w:fldCharType="separate"/>
        </w:r>
        <w:r>
          <w:t>44</w:t>
        </w:r>
        <w:r>
          <w:fldChar w:fldCharType="end"/>
        </w:r>
      </w:hyperlink>
    </w:p>
    <w:p>
      <w:pPr>
        <w:pStyle w:val="TOC2"/>
        <w:tabs>
          <w:tab w:val="right" w:leader="dot" w:pos="8306"/>
        </w:tabs>
      </w:pPr>
      <w:hyperlink w:anchor="_Toc23379" w:history="1">
        <w:r>
          <w:rPr>
            <w:rFonts w:ascii="仿宋" w:eastAsia="仿宋" w:hAnsi="仿宋" w:cs="仿宋" w:hint="eastAsia"/>
            <w:lang w:eastAsia="zh-CN"/>
          </w:rPr>
          <w:t>(三)、核仪器设备项目环境保护结论</w:t>
        </w:r>
        <w:r>
          <w:tab/>
        </w:r>
        <w:r>
          <w:fldChar w:fldCharType="begin"/>
        </w:r>
        <w:r>
          <w:instrText xml:space="preserve"> PAGEREF _Toc23379 \h </w:instrText>
        </w:r>
        <w:r>
          <w:fldChar w:fldCharType="separate"/>
        </w:r>
        <w:r>
          <w:t>45</w:t>
        </w:r>
        <w:r>
          <w:fldChar w:fldCharType="end"/>
        </w:r>
      </w:hyperlink>
    </w:p>
    <w:p>
      <w:pPr>
        <w:pStyle w:val="TOC1"/>
        <w:tabs>
          <w:tab w:val="right" w:leader="dot" w:pos="8306"/>
        </w:tabs>
      </w:pPr>
      <w:hyperlink w:anchor="_Toc903" w:history="1">
        <w:r>
          <w:rPr>
            <w:rFonts w:ascii="仿宋" w:eastAsia="仿宋" w:hAnsi="仿宋" w:cs="仿宋" w:hint="eastAsia"/>
            <w:lang w:eastAsia="zh-CN"/>
          </w:rPr>
          <w:t>十二、产品定价和销售策略</w:t>
        </w:r>
        <w:r>
          <w:tab/>
        </w:r>
        <w:r>
          <w:fldChar w:fldCharType="begin"/>
        </w:r>
        <w:r>
          <w:instrText xml:space="preserve"> PAGEREF _Toc903 \h </w:instrText>
        </w:r>
        <w:r>
          <w:fldChar w:fldCharType="separate"/>
        </w:r>
        <w:r>
          <w:t>46</w:t>
        </w:r>
        <w:r>
          <w:fldChar w:fldCharType="end"/>
        </w:r>
      </w:hyperlink>
    </w:p>
    <w:p>
      <w:pPr>
        <w:pStyle w:val="TOC2"/>
        <w:tabs>
          <w:tab w:val="right" w:leader="dot" w:pos="8306"/>
        </w:tabs>
      </w:pPr>
      <w:hyperlink w:anchor="_Toc17352" w:history="1">
        <w:r>
          <w:rPr>
            <w:rFonts w:ascii="仿宋" w:eastAsia="仿宋" w:hAnsi="仿宋" w:cs="仿宋" w:hint="eastAsia"/>
            <w:lang w:eastAsia="zh-CN"/>
          </w:rPr>
          <w:t>(一)、产品定价的原则和策略</w:t>
        </w:r>
        <w:r>
          <w:tab/>
        </w:r>
        <w:r>
          <w:fldChar w:fldCharType="begin"/>
        </w:r>
        <w:r>
          <w:instrText xml:space="preserve"> PAGEREF _Toc17352 \h </w:instrText>
        </w:r>
        <w:r>
          <w:fldChar w:fldCharType="separate"/>
        </w:r>
        <w:r>
          <w:t>46</w:t>
        </w:r>
        <w:r>
          <w:fldChar w:fldCharType="end"/>
        </w:r>
      </w:hyperlink>
    </w:p>
    <w:p>
      <w:pPr>
        <w:pStyle w:val="TOC2"/>
        <w:tabs>
          <w:tab w:val="right" w:leader="dot" w:pos="8306"/>
        </w:tabs>
      </w:pPr>
      <w:hyperlink w:anchor="_Toc17243" w:history="1">
        <w:r>
          <w:rPr>
            <w:rFonts w:ascii="仿宋" w:eastAsia="仿宋" w:hAnsi="仿宋" w:cs="仿宋" w:hint="eastAsia"/>
            <w:lang w:eastAsia="zh-CN"/>
          </w:rPr>
          <w:t>(二)、销售渠道的选择和拓展</w:t>
        </w:r>
        <w:r>
          <w:tab/>
        </w:r>
        <w:r>
          <w:fldChar w:fldCharType="begin"/>
        </w:r>
        <w:r>
          <w:instrText xml:space="preserve"> PAGEREF _Toc17243 \h </w:instrText>
        </w:r>
        <w:r>
          <w:fldChar w:fldCharType="separate"/>
        </w:r>
        <w:r>
          <w:t>48</w:t>
        </w:r>
        <w:r>
          <w:fldChar w:fldCharType="end"/>
        </w:r>
      </w:hyperlink>
    </w:p>
    <w:p>
      <w:pPr>
        <w:pStyle w:val="TOC2"/>
        <w:tabs>
          <w:tab w:val="right" w:leader="dot" w:pos="8306"/>
        </w:tabs>
      </w:pPr>
      <w:hyperlink w:anchor="_Toc721" w:history="1">
        <w:r>
          <w:rPr>
            <w:rFonts w:ascii="仿宋" w:eastAsia="仿宋" w:hAnsi="仿宋" w:cs="仿宋" w:hint="eastAsia"/>
            <w:lang w:eastAsia="zh-CN"/>
          </w:rPr>
          <w:t>(三)、销售促进和营销活动的策划和实施</w:t>
        </w:r>
        <w:r>
          <w:tab/>
        </w:r>
        <w:r>
          <w:fldChar w:fldCharType="begin"/>
        </w:r>
        <w:r>
          <w:instrText xml:space="preserve"> PAGEREF _Toc721 \h </w:instrText>
        </w:r>
        <w:r>
          <w:fldChar w:fldCharType="separate"/>
        </w:r>
        <w:r>
          <w:t>50</w:t>
        </w:r>
        <w:r>
          <w:fldChar w:fldCharType="end"/>
        </w:r>
      </w:hyperlink>
    </w:p>
    <w:p>
      <w:pPr>
        <w:pStyle w:val="TOC1"/>
        <w:tabs>
          <w:tab w:val="right" w:leader="dot" w:pos="8306"/>
        </w:tabs>
      </w:pPr>
      <w:hyperlink w:anchor="_Toc19541" w:history="1">
        <w:r>
          <w:rPr>
            <w:rFonts w:ascii="仿宋" w:eastAsia="仿宋" w:hAnsi="仿宋" w:cs="仿宋" w:hint="eastAsia"/>
            <w:lang w:eastAsia="zh-CN"/>
          </w:rPr>
          <w:t>十三、合同管理和法务咨询</w:t>
        </w:r>
        <w:r>
          <w:tab/>
        </w:r>
        <w:r>
          <w:fldChar w:fldCharType="begin"/>
        </w:r>
        <w:r>
          <w:instrText xml:space="preserve"> PAGEREF _Toc19541 \h </w:instrText>
        </w:r>
        <w:r>
          <w:fldChar w:fldCharType="separate"/>
        </w:r>
        <w:r>
          <w:t>51</w:t>
        </w:r>
        <w:r>
          <w:fldChar w:fldCharType="end"/>
        </w:r>
      </w:hyperlink>
    </w:p>
    <w:p>
      <w:pPr>
        <w:pStyle w:val="TOC2"/>
        <w:tabs>
          <w:tab w:val="right" w:leader="dot" w:pos="8306"/>
        </w:tabs>
      </w:pPr>
      <w:hyperlink w:anchor="_Toc20677" w:history="1">
        <w:r>
          <w:rPr>
            <w:rFonts w:ascii="仿宋" w:eastAsia="仿宋" w:hAnsi="仿宋" w:cs="仿宋" w:hint="eastAsia"/>
            <w:lang w:eastAsia="zh-CN"/>
          </w:rPr>
          <w:t>(一)、合同管理体系的建立和管理</w:t>
        </w:r>
        <w:r>
          <w:tab/>
        </w:r>
        <w:r>
          <w:fldChar w:fldCharType="begin"/>
        </w:r>
        <w:r>
          <w:instrText xml:space="preserve"> PAGEREF _Toc20677 \h </w:instrText>
        </w:r>
        <w:r>
          <w:fldChar w:fldCharType="separate"/>
        </w:r>
        <w:r>
          <w:t>51</w:t>
        </w:r>
        <w:r>
          <w:fldChar w:fldCharType="end"/>
        </w:r>
      </w:hyperlink>
    </w:p>
    <w:p>
      <w:pPr>
        <w:pStyle w:val="TOC2"/>
        <w:tabs>
          <w:tab w:val="right" w:leader="dot" w:pos="8306"/>
        </w:tabs>
      </w:pPr>
      <w:hyperlink w:anchor="_Toc30319" w:history="1">
        <w:r>
          <w:rPr>
            <w:rFonts w:ascii="仿宋" w:eastAsia="仿宋" w:hAnsi="仿宋" w:cs="仿宋" w:hint="eastAsia"/>
            <w:lang w:eastAsia="zh-CN"/>
          </w:rPr>
          <w:t>(二)、法务咨询的程序和标准</w:t>
        </w:r>
        <w:r>
          <w:tab/>
        </w:r>
        <w:r>
          <w:fldChar w:fldCharType="begin"/>
        </w:r>
        <w:r>
          <w:instrText xml:space="preserve"> PAGEREF _Toc30319 \h </w:instrText>
        </w:r>
        <w:r>
          <w:fldChar w:fldCharType="separate"/>
        </w:r>
        <w:r>
          <w:t>53</w:t>
        </w:r>
        <w:r>
          <w:fldChar w:fldCharType="end"/>
        </w:r>
      </w:hyperlink>
    </w:p>
    <w:p>
      <w:pPr>
        <w:pStyle w:val="TOC2"/>
        <w:tabs>
          <w:tab w:val="right" w:leader="dot" w:pos="8306"/>
        </w:tabs>
      </w:pPr>
      <w:hyperlink w:anchor="_Toc10932" w:history="1">
        <w:r>
          <w:rPr>
            <w:rFonts w:ascii="仿宋" w:eastAsia="仿宋" w:hAnsi="仿宋" w:cs="仿宋" w:hint="eastAsia"/>
            <w:lang w:eastAsia="zh-CN"/>
          </w:rPr>
          <w:t>(三)、合同风险的控制和应对</w:t>
        </w:r>
        <w:r>
          <w:tab/>
        </w:r>
        <w:r>
          <w:fldChar w:fldCharType="begin"/>
        </w:r>
        <w:r>
          <w:instrText xml:space="preserve"> PAGEREF _Toc10932 \h </w:instrText>
        </w:r>
        <w:r>
          <w:fldChar w:fldCharType="separate"/>
        </w:r>
        <w:r>
          <w:t>55</w:t>
        </w:r>
        <w:r>
          <w:fldChar w:fldCharType="end"/>
        </w:r>
      </w:hyperlink>
    </w:p>
    <w:p>
      <w:pPr>
        <w:pStyle w:val="TOC1"/>
        <w:tabs>
          <w:tab w:val="right" w:leader="dot" w:pos="8306"/>
        </w:tabs>
      </w:pPr>
      <w:hyperlink w:anchor="_Toc9101" w:history="1">
        <w:r>
          <w:rPr>
            <w:rFonts w:ascii="仿宋" w:eastAsia="仿宋" w:hAnsi="仿宋" w:cs="仿宋" w:hint="eastAsia"/>
            <w:lang w:eastAsia="zh-CN"/>
          </w:rPr>
          <w:t>十四、供应链管理和合作伙伴选择</w:t>
        </w:r>
        <w:r>
          <w:tab/>
        </w:r>
        <w:r>
          <w:fldChar w:fldCharType="begin"/>
        </w:r>
        <w:r>
          <w:instrText xml:space="preserve"> PAGEREF _Toc9101 \h </w:instrText>
        </w:r>
        <w:r>
          <w:fldChar w:fldCharType="separate"/>
        </w:r>
        <w:r>
          <w:t>57</w:t>
        </w:r>
        <w:r>
          <w:fldChar w:fldCharType="end"/>
        </w:r>
      </w:hyperlink>
    </w:p>
    <w:p>
      <w:pPr>
        <w:pStyle w:val="TOC2"/>
        <w:tabs>
          <w:tab w:val="right" w:leader="dot" w:pos="8306"/>
        </w:tabs>
      </w:pPr>
      <w:hyperlink w:anchor="_Toc10169" w:history="1">
        <w:r>
          <w:rPr>
            <w:rFonts w:ascii="仿宋" w:eastAsia="仿宋" w:hAnsi="仿宋" w:cs="仿宋" w:hint="eastAsia"/>
            <w:lang w:eastAsia="zh-CN"/>
          </w:rPr>
          <w:t>(一)、供应链管理和合作伙伴关系概述</w:t>
        </w:r>
        <w:r>
          <w:tab/>
        </w:r>
        <w:r>
          <w:fldChar w:fldCharType="begin"/>
        </w:r>
        <w:r>
          <w:instrText xml:space="preserve"> PAGEREF _Toc10169 \h </w:instrText>
        </w:r>
        <w:r>
          <w:fldChar w:fldCharType="separate"/>
        </w:r>
        <w:r>
          <w:t>57</w:t>
        </w:r>
        <w:r>
          <w:fldChar w:fldCharType="end"/>
        </w:r>
      </w:hyperlink>
    </w:p>
    <w:p>
      <w:pPr>
        <w:pStyle w:val="TOC2"/>
        <w:tabs>
          <w:tab w:val="right" w:leader="dot" w:pos="8306"/>
        </w:tabs>
      </w:pPr>
      <w:hyperlink w:anchor="_Toc32765" w:history="1">
        <w:r>
          <w:rPr>
            <w:rFonts w:ascii="仿宋" w:eastAsia="仿宋" w:hAnsi="仿宋" w:cs="仿宋" w:hint="eastAsia"/>
            <w:lang w:eastAsia="zh-CN"/>
          </w:rPr>
          <w:t>(二)、供应商选择和评估标准</w:t>
        </w:r>
        <w:r>
          <w:tab/>
        </w:r>
        <w:r>
          <w:fldChar w:fldCharType="begin"/>
        </w:r>
        <w:r>
          <w:instrText xml:space="preserve"> PAGEREF _Toc32765 \h </w:instrText>
        </w:r>
        <w:r>
          <w:fldChar w:fldCharType="separate"/>
        </w:r>
        <w:r>
          <w:t>58</w:t>
        </w:r>
        <w:r>
          <w:fldChar w:fldCharType="end"/>
        </w:r>
      </w:hyperlink>
    </w:p>
    <w:p>
      <w:pPr>
        <w:pStyle w:val="TOC2"/>
        <w:tabs>
          <w:tab w:val="right" w:leader="dot" w:pos="8306"/>
        </w:tabs>
      </w:pPr>
      <w:hyperlink w:anchor="_Toc30214" w:history="1">
        <w:r>
          <w:rPr>
            <w:rFonts w:ascii="仿宋" w:eastAsia="仿宋" w:hAnsi="仿宋" w:cs="仿宋" w:hint="eastAsia"/>
            <w:lang w:eastAsia="zh-CN"/>
          </w:rPr>
          <w:t>(三)、物流和运输方案</w:t>
        </w:r>
        <w:r>
          <w:tab/>
        </w:r>
        <w:r>
          <w:fldChar w:fldCharType="begin"/>
        </w:r>
        <w:r>
          <w:instrText xml:space="preserve"> PAGEREF _Toc30214 \h </w:instrText>
        </w:r>
        <w:r>
          <w:fldChar w:fldCharType="separate"/>
        </w:r>
        <w:r>
          <w:t>59</w:t>
        </w:r>
        <w:r>
          <w:fldChar w:fldCharType="end"/>
        </w:r>
      </w:hyperlink>
    </w:p>
    <w:p>
      <w:pPr>
        <w:pStyle w:val="TOC1"/>
        <w:tabs>
          <w:tab w:val="right" w:leader="dot" w:pos="8306"/>
        </w:tabs>
      </w:pPr>
      <w:hyperlink w:anchor="_Toc20449" w:history="1">
        <w:r>
          <w:rPr>
            <w:rFonts w:ascii="仿宋" w:eastAsia="仿宋" w:hAnsi="仿宋" w:cs="仿宋" w:hint="eastAsia"/>
            <w:lang w:eastAsia="zh-CN"/>
          </w:rPr>
          <w:t>十五、企业社会责任和公益活动</w:t>
        </w:r>
        <w:r>
          <w:tab/>
        </w:r>
        <w:r>
          <w:fldChar w:fldCharType="begin"/>
        </w:r>
        <w:r>
          <w:instrText xml:space="preserve"> PAGEREF _Toc20449 \h </w:instrText>
        </w:r>
        <w:r>
          <w:fldChar w:fldCharType="separate"/>
        </w:r>
        <w:r>
          <w:t>60</w:t>
        </w:r>
        <w:r>
          <w:fldChar w:fldCharType="end"/>
        </w:r>
      </w:hyperlink>
    </w:p>
    <w:p>
      <w:pPr>
        <w:pStyle w:val="TOC2"/>
        <w:tabs>
          <w:tab w:val="right" w:leader="dot" w:pos="8306"/>
        </w:tabs>
      </w:pPr>
      <w:hyperlink w:anchor="_Toc9501" w:history="1">
        <w:r>
          <w:rPr>
            <w:rFonts w:ascii="仿宋" w:eastAsia="仿宋" w:hAnsi="仿宋" w:cs="仿宋" w:hint="eastAsia"/>
            <w:lang w:eastAsia="zh-CN"/>
          </w:rPr>
          <w:t>(一)、企业社会责任的内涵和履行</w:t>
        </w:r>
        <w:r>
          <w:tab/>
        </w:r>
        <w:r>
          <w:fldChar w:fldCharType="begin"/>
        </w:r>
        <w:r>
          <w:instrText xml:space="preserve"> PAGEREF _Toc9501 \h </w:instrText>
        </w:r>
        <w:r>
          <w:fldChar w:fldCharType="separate"/>
        </w:r>
        <w:r>
          <w:t>60</w:t>
        </w:r>
        <w:r>
          <w:fldChar w:fldCharType="end"/>
        </w:r>
      </w:hyperlink>
    </w:p>
    <w:p>
      <w:pPr>
        <w:pStyle w:val="TOC2"/>
        <w:tabs>
          <w:tab w:val="right" w:leader="dot" w:pos="8306"/>
        </w:tabs>
      </w:pPr>
      <w:hyperlink w:anchor="_Toc30959" w:history="1">
        <w:r>
          <w:rPr>
            <w:rFonts w:ascii="仿宋" w:eastAsia="仿宋" w:hAnsi="仿宋" w:cs="仿宋" w:hint="eastAsia"/>
            <w:lang w:eastAsia="zh-CN"/>
          </w:rPr>
          <w:t>(二)、公益活动的策划和实施</w:t>
        </w:r>
        <w:r>
          <w:tab/>
        </w:r>
        <w:r>
          <w:fldChar w:fldCharType="begin"/>
        </w:r>
        <w:r>
          <w:instrText xml:space="preserve"> PAGEREF _Toc30959 \h </w:instrText>
        </w:r>
        <w:r>
          <w:fldChar w:fldCharType="separate"/>
        </w:r>
        <w:r>
          <w:t>61</w:t>
        </w:r>
        <w:r>
          <w:fldChar w:fldCharType="end"/>
        </w:r>
      </w:hyperlink>
    </w:p>
    <w:p>
      <w:pPr>
        <w:pStyle w:val="TOC2"/>
        <w:tabs>
          <w:tab w:val="right" w:leader="dot" w:pos="8306"/>
        </w:tabs>
      </w:pPr>
      <w:hyperlink w:anchor="_Toc20248" w:history="1">
        <w:r>
          <w:rPr>
            <w:rFonts w:ascii="仿宋" w:eastAsia="仿宋" w:hAnsi="仿宋" w:cs="仿宋" w:hint="eastAsia"/>
            <w:lang w:eastAsia="zh-CN"/>
          </w:rPr>
          <w:t>(三)、企业社会责任和公益活动的宣传和推广</w:t>
        </w:r>
        <w:r>
          <w:tab/>
        </w:r>
        <w:r>
          <w:fldChar w:fldCharType="begin"/>
        </w:r>
        <w:r>
          <w:instrText xml:space="preserve"> PAGEREF _Toc20248 \h </w:instrText>
        </w:r>
        <w:r>
          <w:fldChar w:fldCharType="separate"/>
        </w:r>
        <w:r>
          <w:t>62</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pPr>
        <w:pStyle w:val="Heading1"/>
        <w:ind w:firstLine="560" w:firstLineChars="200"/>
        <w:rPr>
          <w:rFonts w:ascii="仿宋" w:eastAsia="仿宋" w:hAnsi="仿宋" w:cs="仿宋" w:hint="eastAsia"/>
          <w:sz w:val="28"/>
          <w:lang w:eastAsia="zh-CN"/>
        </w:rPr>
      </w:pPr>
      <w:bookmarkStart w:id="2" w:name="_Toc17861"/>
      <w:r>
        <w:rPr>
          <w:rFonts w:ascii="仿宋" w:eastAsia="仿宋" w:hAnsi="仿宋" w:cs="仿宋" w:hint="eastAsia"/>
          <w:sz w:val="28"/>
          <w:lang w:eastAsia="zh-CN"/>
        </w:rPr>
        <w:t>一、产品定价和销售策略</w:t>
      </w:r>
      <w:bookmarkEnd w:id="2"/>
    </w:p>
    <w:p>
      <w:pPr>
        <w:pStyle w:val="Heading2"/>
        <w:rPr>
          <w:rFonts w:ascii="仿宋" w:eastAsia="仿宋" w:hAnsi="仿宋" w:cs="仿宋" w:hint="eastAsia"/>
          <w:lang w:eastAsia="zh-CN"/>
        </w:rPr>
      </w:pPr>
      <w:bookmarkStart w:id="3" w:name="_Toc16029"/>
      <w:r>
        <w:rPr>
          <w:rFonts w:ascii="仿宋" w:eastAsia="仿宋" w:hAnsi="仿宋" w:cs="仿宋" w:hint="eastAsia"/>
          <w:lang w:eastAsia="zh-CN"/>
        </w:rPr>
        <w:t>(一)、产品定价的原则和策略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定价原则：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成本导向：考虑产品的生产成本、运营成本以及相关费用，确保定价能够覆盖成本并获得合理的利润。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市场导向：研究目标市场的需求和竞争情况，确定定价策略以满足市场需求并保持竞争力。</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价值导向：基于产品的独特价值和优势，确定合理的定价水平，使顾客认可产品的价值并愿意支付相应价格。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市场定价：根据市场需求和竞争情况，采用市场定价策略，即根据市场价格水平来定价，以保持竞争力。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差异化定价：根据产品的独特特性和附加价值，采用差异化定价策略，即根据不同产品版本或包装形式设定不同价格。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价值定价：基于产品的独特价值和顾客的感知，采用价值定价策略，即根据产品所提供的价值设定相应的价格。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市场份额定价：如果目标是快速扩大市场份额，可以采用市场份额定价策略，即通过低价定价来吸引更多的顾客。</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目标市场：了解目标市场的消费者行为、购买力和价格敏感度，以确定适合的定价策略。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竞争情况：研究竞争对手的定价策略和价格水平，制定相应的定价战略以保持竞争力。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产品定位：根据产品的定位策略（高端、中端、低端），确定相应的定价策略以与产品定位相匹配。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市场前景：考虑市场发展趋势、预期需求变化和竞争态势，制定长期可持续的定价策略。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定价策略的调整和优化：</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定价弹性分析：评估产品的价格弹性，根据需求变化和市场反馈，灵活调整定价策略以实现最佳定价。</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定价实验：通过定价实验和市场反馈，测试不同定价策略的效果，优化定价策略并提升市场竞争力。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定价与价值匹配：持续关注产品的市场表现和顾客反馈，确保产品的定价与所提供的价值相匹配。</w:t>
      </w:r>
    </w:p>
    <w:p>
      <w:pPr>
        <w:pStyle w:val="Heading2"/>
        <w:ind w:firstLine="560" w:firstLineChars="200"/>
        <w:rPr>
          <w:rFonts w:ascii="仿宋" w:eastAsia="仿宋" w:hAnsi="仿宋" w:cs="仿宋" w:hint="eastAsia"/>
          <w:sz w:val="28"/>
          <w:lang w:eastAsia="zh-CN"/>
        </w:rPr>
      </w:pPr>
      <w:bookmarkStart w:id="4" w:name="_Toc25383"/>
      <w:r>
        <w:rPr>
          <w:rFonts w:ascii="仿宋" w:eastAsia="仿宋" w:hAnsi="仿宋" w:cs="仿宋" w:hint="eastAsia"/>
          <w:sz w:val="28"/>
          <w:lang w:eastAsia="zh-CN"/>
        </w:rPr>
        <w:t>(二)、销售渠道的选择和拓展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目标市场：了解目标市场的特点、消费者行为和购买偏好，选择适合的销售渠道以覆盖目标市场。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产品属性：考虑产品的性质、复杂度和售后服务需求，选择适合产品特点的销售渠道。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成本效益：评估不同销售渠道的成本和效益，选择能够提供良好回报的销售渠道。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竞争环境：研究竞争对手的销售渠道策略和市场份额，选择能够与竞争对手竞争的销售渠道。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销售渠道策略：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直销：通过自有销售团队或在线平台直接向客户销售产品，具有更高的控制权和利润潜力。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经销商：与经销商建立合作关系，将产品批发给经销商，由其负责渠道拓展和销售，适用于大规模市场覆盖。</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零售商：与零售商合作，在其门店销售产品，可以提高产品的可见性和销售渠道的广度。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在线销售：通过电子商务平台、社交媒体等在线渠道销售产品，能够迅速触达全球市场并降低销售成本。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合作伙伴关系：与相关行业的合作伙伴建立合作关系，共同推广和销售产品，实现互利共赢。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渠道拓展策略：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地理拓展：根据目标市场的地理分布，选择合适的销售渠道进行地理拓展，覆盖更广泛的区域。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多渠道策略：结合不同销售渠道的优势，采用多渠道销售策略，提供更多选择和便利性给消费者。</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合作伙伴拓展：与其他企业建立合作伙伴关系，共同拓展销售渠道，利用其现有的客户资源和渠道网络。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线上线下结合：将线上和线下销售渠道结合起来，通过线上引流和线下体验，提供全方位的购物体验。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渠道管理和优化：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渠道合作：与销售渠道的合作伙伴建立良好的合作关系，共同制定销售目标、协调市场推广和售后服务等。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渠道培训：为销售渠道的销售人员提供培训和支持，提高其产品知识和销售能力，增强渠道合作效果。</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渠道绩效评估：建立监测和评估机制，定期评估销售渠道的绩效和市场反馈，及时调整和优化渠道策略。</w:t>
      </w:r>
    </w:p>
    <w:p>
      <w:pPr>
        <w:pStyle w:val="Heading2"/>
        <w:ind w:firstLine="560" w:firstLineChars="200"/>
        <w:rPr>
          <w:rFonts w:ascii="仿宋" w:eastAsia="仿宋" w:hAnsi="仿宋" w:cs="仿宋" w:hint="eastAsia"/>
          <w:sz w:val="28"/>
          <w:lang w:eastAsia="zh-CN"/>
        </w:rPr>
      </w:pPr>
      <w:bookmarkStart w:id="5" w:name="_Toc29573"/>
      <w:r>
        <w:rPr>
          <w:rFonts w:ascii="仿宋" w:eastAsia="仿宋" w:hAnsi="仿宋" w:cs="仿宋" w:hint="eastAsia"/>
          <w:sz w:val="28"/>
          <w:lang w:eastAsia="zh-CN"/>
        </w:rPr>
        <w:t>(三)、销售促进和营销活动的策划和实施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增加销售量：通过促销和营销活动，吸引更多的顾客购买产品，提高销售量。</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增强品牌形象：通过营销活动，提升品牌知名度和形象，增强消费者对产品的信任和忠诚度。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建立客户关系：通过促销和营销活动，建立与顾客的良好关系，提供更好的售后服务和支持，增强客户满意度和忠诚度。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目标市场：确定目标市场和目标消费者，了解其需求和偏好，制定相应的促销和营销策略。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促销方式：选择适合产品特点和目标市场的促销方式，包括打折、满减、赠品等。</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营销活动：制定具有吸引力和创新性的营销活动，包括线上线下活动、社交媒体推广、赛事赞助等。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预算和时间：根据销售目标和市场需求，制定合理的促销预算和时间安排。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推广渠道：选择适合产品和目标市场的推广渠道，包括线上和线下渠道，通过多种方式扩大产品的曝光度。</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营销内容：制定优质的营销内容，包括宣传文案、广告视频、海报等，提高产品的吸引力和竞争力。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活动执行：确保活动执行的顺利进行，包括活动策划、执行、监测和评估，及时调整和优化活动效果。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客户服务：提供优质的客户服务和售后支持，建立良好的客户关系，增强客户满意度和忠诚度。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销售数据分析：通过销售数据分析，评估促销和营销活动的效果和销售贡献，及时调整和优化活动策略。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消费者反馈：关注消费者的反馈和评价，了解其满意度和需求变化，及时调整和优化产品和营销策略。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市场竞争：研究市场竞争情况和竞争对手的营销策略，提高产品的竞争力和市场份额。</w:t>
      </w:r>
    </w:p>
    <w:p>
      <w:pPr>
        <w:pStyle w:val="Heading1"/>
        <w:ind w:firstLine="560" w:firstLineChars="200"/>
        <w:rPr>
          <w:rFonts w:ascii="仿宋" w:eastAsia="仿宋" w:hAnsi="仿宋" w:cs="仿宋" w:hint="eastAsia"/>
          <w:sz w:val="28"/>
          <w:lang w:eastAsia="zh-CN"/>
        </w:rPr>
      </w:pPr>
      <w:bookmarkStart w:id="6" w:name="_Toc1765"/>
      <w:r>
        <w:rPr>
          <w:rFonts w:ascii="仿宋" w:eastAsia="仿宋" w:hAnsi="仿宋" w:cs="仿宋" w:hint="eastAsia"/>
          <w:sz w:val="28"/>
          <w:lang w:eastAsia="zh-CN"/>
        </w:rPr>
        <w:t>二、技术可行性分析</w:t>
      </w:r>
      <w:bookmarkEnd w:id="6"/>
    </w:p>
    <w:p>
      <w:pPr>
        <w:pStyle w:val="Heading2"/>
        <w:rPr>
          <w:rFonts w:ascii="仿宋" w:eastAsia="仿宋" w:hAnsi="仿宋" w:cs="仿宋" w:hint="eastAsia"/>
          <w:lang w:eastAsia="zh-CN"/>
        </w:rPr>
      </w:pPr>
      <w:bookmarkStart w:id="7" w:name="_Toc1035"/>
      <w:r>
        <w:rPr>
          <w:rFonts w:ascii="仿宋" w:eastAsia="仿宋" w:hAnsi="仿宋" w:cs="仿宋" w:hint="eastAsia"/>
          <w:lang w:eastAsia="zh-CN"/>
        </w:rPr>
        <w:t>(一)、技术来源及先进性说明</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核仪器设备项目技术来源：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详细介绍核仪器设备项目所采用的关键技术来源。可以包括已有的成熟技术、学术研究成果、专利技术或合作伙伴的技术支持等。说明技术来源的可靠性和可获得性，以确保核仪器设备项目的技术基础可行。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技术先进性：</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分析核仪器设备项目所采用的技术在行业或领域中的先进性。评估技术的创新程度、独特性和与现有解决方案的差异。强调核仪器设备项目所采用技术的优势和潜在影响。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对所采用的技术进行可行性评估，包括技术的可靠性、可操作性和适应性。评估技术在核仪器设备项目实施中的可行性和可持续性，以确保核仪器设备项目能够成功应用所选技术。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分析所采用技术的发展趋势和前景。关注相关行业或领域的技术创新和趋势，以确保核仪器设备项目所采用的技术具有长期的可持续性和竞争优势。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识别和评估所采用技术可能面临的风险和挑战。分析技术的可靠性、成本效益、知识产权等方面的风险，并提出相应的风险管理策略。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技术合作与创新：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探讨与其他组织或机构的技术合作和创新机会。强调合作伙伴的技术支持和资源共享，以提升核仪器设备项目的技术能力和创新能力。</w:t>
      </w:r>
    </w:p>
    <w:p>
      <w:pPr>
        <w:pStyle w:val="Heading2"/>
        <w:ind w:firstLine="560" w:firstLineChars="200"/>
        <w:rPr>
          <w:rFonts w:ascii="仿宋" w:eastAsia="仿宋" w:hAnsi="仿宋" w:cs="仿宋" w:hint="eastAsia"/>
          <w:sz w:val="28"/>
          <w:lang w:eastAsia="zh-CN"/>
        </w:rPr>
      </w:pPr>
      <w:bookmarkStart w:id="8" w:name="_Toc6333"/>
      <w:r>
        <w:rPr>
          <w:rFonts w:ascii="仿宋" w:eastAsia="仿宋" w:hAnsi="仿宋" w:cs="仿宋" w:hint="eastAsia"/>
          <w:sz w:val="28"/>
          <w:lang w:eastAsia="zh-CN"/>
        </w:rPr>
        <w:t>(二)、核仪器设备项目的技术难点及解决方案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核仪器设备项目技术难点的识别：</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详细列举核仪器设备项目所面临的关键技术难点。这些难点可能包括复杂的数据处理、高性能计算需求、安全性和隐私保护等方面。对每个技术难点进行准确定义和分析，确保对问题的全面理解。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解决方案的提出：</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针对每个技术难点，提出相应的解决方案。解决方案可以包括但不限于以下几个方面：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技术改进：提出改进现有技术或引入新技术的方案，以解决技术难点。例如，采用先进的算法或模型来处理复杂的数据，或使用高性能计算平台来满足计算需求。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合作与合作伙伴：寻找合适的合作伙伴或专家来共同解决技术难点。合作可以提供额外的技术支持和资源，加快问题的解决速度。例如，与研究机构或技术公司合作，共同攻克技术挑战。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培训与人才发展：通过培训和人才发展来提升团队的技术能力，以应对技术难点。培训可以包括技术知识的更新和专业技能的提升，确保团队具备解决问题所需的技术能力。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风险管理：针对技术难点可能带来的风险，制定相应的风险管理策略。例如，建立备份和灾难恢复机制来应对数据丢失风险，或加强安全措施来保护数据和系统的安全性。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解决方案的可行性评估：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对提出的解决方案进行可行性评估，包括技术可行性、成本效益、实施难度等方面的评估。确保解决方案在技术和实施上可行，并能够有效解决技术难点。</w:t>
      </w:r>
    </w:p>
    <w:p>
      <w:pPr>
        <w:pStyle w:val="Heading2"/>
        <w:ind w:firstLine="560" w:firstLineChars="200"/>
        <w:rPr>
          <w:rFonts w:ascii="仿宋" w:eastAsia="仿宋" w:hAnsi="仿宋" w:cs="仿宋" w:hint="eastAsia"/>
          <w:sz w:val="28"/>
          <w:lang w:eastAsia="zh-CN"/>
        </w:rPr>
      </w:pPr>
      <w:bookmarkStart w:id="9" w:name="_Toc24681"/>
      <w:r>
        <w:rPr>
          <w:rFonts w:ascii="仿宋" w:eastAsia="仿宋" w:hAnsi="仿宋" w:cs="仿宋" w:hint="eastAsia"/>
          <w:sz w:val="28"/>
          <w:lang w:eastAsia="zh-CN"/>
        </w:rPr>
        <w:t>(三)、技术人才需求</w:t>
      </w:r>
      <w:bookmarkEnd w:id="9"/>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技术人才需求的确定：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核仪器设备项目所需的技术人才类型和数量。根据核仪器设备项目的技术要求和目标，确定需要的技能和专业背景。例如，核仪器设备项目可能需要具备数据分析、软件开发、人工智能、网络安全等方面的技术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技术人才市场分析：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进行技术人才市场的分析，评估相关技术领域的供需情况。了解技术人才的供给量和质量，以及市场竞争情况。分析人才市场的趋势和发展，预测未来技术人才的供需状况。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技术人才招聘策略：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提出招聘技术人才的策略和方法。包括招聘渠道的选择、招聘流程的设计、面试和评估的方法等。根据核仪器设备项目需求和市场情况，制定吸引和留住优秀技术人才的策略。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技术人才培养和发展的需求。考虑培训计划、学习资源和职业发展机会等方面，为核仪器设备项目中的技术人才提供成长和发展的机会。建议与教育机构、培训机构或行业组织合作，共同培养和发展技术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团队组建和管理：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提供团队组建和管理的建议。包括团队结构的设计、角色分工、沟通协作机制等方面。强调团队的多样性和协作能力，以提升团队的综合技术能力和创新能力。</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人才留存和激励：</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提出人才留存和激励的策略。考虑薪酬福利、职业发展、工作环境和文化等方面，为技术人才提供良好的工作条件和发展机会。建议制定激励机制，激发技术人才的积极性和创造力。</w:t>
      </w:r>
    </w:p>
    <w:p>
      <w:pPr>
        <w:pStyle w:val="Heading1"/>
        <w:ind w:firstLine="560" w:firstLineChars="200"/>
        <w:rPr>
          <w:rFonts w:ascii="仿宋" w:eastAsia="仿宋" w:hAnsi="仿宋" w:cs="仿宋" w:hint="eastAsia"/>
          <w:sz w:val="28"/>
          <w:lang w:eastAsia="zh-CN"/>
        </w:rPr>
      </w:pPr>
      <w:bookmarkStart w:id="10" w:name="_Toc14736"/>
      <w:r>
        <w:rPr>
          <w:rFonts w:ascii="仿宋" w:eastAsia="仿宋" w:hAnsi="仿宋" w:cs="仿宋" w:hint="eastAsia"/>
          <w:sz w:val="28"/>
          <w:lang w:eastAsia="zh-CN"/>
        </w:rPr>
        <w:t>三、市场营销和客户体验管理</w:t>
      </w:r>
      <w:bookmarkEnd w:id="10"/>
    </w:p>
    <w:p>
      <w:pPr>
        <w:pStyle w:val="Heading2"/>
        <w:rPr>
          <w:rFonts w:ascii="仿宋" w:eastAsia="仿宋" w:hAnsi="仿宋" w:cs="仿宋" w:hint="eastAsia"/>
          <w:lang w:eastAsia="zh-CN"/>
        </w:rPr>
      </w:pPr>
      <w:bookmarkStart w:id="11" w:name="_Toc6472"/>
      <w:r>
        <w:rPr>
          <w:rFonts w:ascii="仿宋" w:eastAsia="仿宋" w:hAnsi="仿宋" w:cs="仿宋" w:hint="eastAsia"/>
          <w:lang w:eastAsia="zh-CN"/>
        </w:rPr>
        <w:t>(一)、核仪器设备项目产品的市场定位和目标客户分析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我们需要确定核仪器设备项目产品的市场定位，即确定产品在市场上的位置和竞争优势。这包括确定产品的特点、独特卖点和目标市场。我们可以通过市场调研、竞争分析和消费者洞察来确定产品的市场定位，并将其与竞争对手进行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和增长趋势：我们需要评估目标市场的规模和增长趋势，以确定核仪器设备项目产品的市场潜力和机会。这包括分析市场的总体规模、市场份额和增长率等指标，并预测未来的市场趋势和发展方向。我们可以使用市场数据和行业报告来支持我们的分析和预测。</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分析：我们需要对竞争对手进行分析，了解他们的产品、定价、市场份额和营销策略等。这可以帮助我们确定核仪器设备项目产品的竞争优势和差异化点，并制定相应的市场推广和营销策略。我们可以通过市场调研、竞争对手分析和行业报告等方式来获取竞争情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pPr>
        <w:pStyle w:val="Heading2"/>
        <w:ind w:firstLine="560" w:firstLineChars="200"/>
        <w:rPr>
          <w:rFonts w:ascii="仿宋" w:eastAsia="仿宋" w:hAnsi="仿宋" w:cs="仿宋" w:hint="eastAsia"/>
          <w:sz w:val="28"/>
          <w:lang w:eastAsia="zh-CN"/>
        </w:rPr>
      </w:pPr>
      <w:bookmarkStart w:id="12" w:name="_Toc1414"/>
      <w:r>
        <w:rPr>
          <w:rFonts w:ascii="仿宋" w:eastAsia="仿宋" w:hAnsi="仿宋" w:cs="仿宋" w:hint="eastAsia"/>
          <w:sz w:val="28"/>
          <w:lang w:eastAsia="zh-CN"/>
        </w:rPr>
        <w:t>(二)、市场营销策略和推广渠道选择</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策略：我们需要制定相应的市场营销策略，以确保核仪器设备项目产品在市场上成功推广和销售。这包括确定产品的独特卖点、定价策略、促销策略、品牌形象和营销目标等方面。我们可以参考市场营销的最佳实践和成功案例，并根据实际情况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渠道选择：我们需要选择适合目标客户的推广渠道，以确保核仪器设备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品牌形象建设：我们需要建立和维护核仪器设备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 Analytics、社交媒体分析工具等，来支持我们的数据分析和优化工作。</w:t>
      </w:r>
    </w:p>
    <w:p>
      <w:pPr>
        <w:pStyle w:val="Heading2"/>
        <w:ind w:firstLine="560" w:firstLineChars="200"/>
        <w:rPr>
          <w:rFonts w:ascii="仿宋" w:eastAsia="仿宋" w:hAnsi="仿宋" w:cs="仿宋" w:hint="eastAsia"/>
          <w:sz w:val="28"/>
          <w:lang w:eastAsia="zh-CN"/>
        </w:rPr>
      </w:pPr>
      <w:bookmarkStart w:id="13" w:name="_Toc30671"/>
      <w:r>
        <w:rPr>
          <w:rFonts w:ascii="仿宋" w:eastAsia="仿宋" w:hAnsi="仿宋" w:cs="仿宋" w:hint="eastAsia"/>
          <w:sz w:val="28"/>
          <w:lang w:eastAsia="zh-CN"/>
        </w:rPr>
        <w:t>(三)、客户体验管理和反馈机制建设</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客户体验管理：我们需要重视客户体验，确保核仪器设备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客户关系管理：建立良好的客户关系是核仪器设备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核仪器设备项目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核仪器设备项目产品和服务，以提供更好的客户体验。</w:t>
      </w:r>
    </w:p>
    <w:p>
      <w:pPr>
        <w:pStyle w:val="Heading1"/>
        <w:ind w:firstLine="560" w:firstLineChars="200"/>
        <w:rPr>
          <w:rFonts w:ascii="仿宋" w:eastAsia="仿宋" w:hAnsi="仿宋" w:cs="仿宋" w:hint="eastAsia"/>
          <w:sz w:val="28"/>
          <w:lang w:eastAsia="zh-CN"/>
        </w:rPr>
      </w:pPr>
      <w:bookmarkStart w:id="14" w:name="_Toc12380"/>
      <w:r>
        <w:rPr>
          <w:rFonts w:ascii="仿宋" w:eastAsia="仿宋" w:hAnsi="仿宋" w:cs="仿宋" w:hint="eastAsia"/>
          <w:sz w:val="28"/>
          <w:lang w:eastAsia="zh-CN"/>
        </w:rPr>
        <w:t>四、核仪器设备项目主要建(构)筑物建设工程</w:t>
      </w:r>
      <w:bookmarkEnd w:id="14"/>
    </w:p>
    <w:p>
      <w:pPr>
        <w:pStyle w:val="Heading2"/>
        <w:rPr>
          <w:rFonts w:ascii="仿宋" w:eastAsia="仿宋" w:hAnsi="仿宋" w:cs="仿宋" w:hint="eastAsia"/>
          <w:lang w:eastAsia="zh-CN"/>
        </w:rPr>
      </w:pPr>
      <w:bookmarkStart w:id="15" w:name="_Toc31528"/>
      <w:r>
        <w:rPr>
          <w:rFonts w:ascii="仿宋" w:eastAsia="仿宋" w:hAnsi="仿宋" w:cs="仿宋" w:hint="eastAsia"/>
          <w:lang w:eastAsia="zh-CN"/>
        </w:rPr>
        <w:t>(一)、抗震设防</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考虑到核仪器设备项目的稳定性和安全性，我们深入研究了选址地区的地震情况。经过综合分析，我们得知该地区的基本地震烈度大致为XXX度，这是一个重要的参考指标。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核仪器设备项目在地震等自然灾害面前能够保持稳固，我们紧密遵循了现行的《建筑抗震设计规范》（GBJ11-89）的规定。根据当地地震烈度情况和核仪器设备项目特性，我们决定执行X度的抗震设防标准，这是一个综合考虑了安全和稳定性的决策。我们将充分融入地方实际，以确保核仪器设备项目在地震风险环境下能够安全运营。</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一抗震设防标准的制定是为了应对地震风险，保障核仪器设备项目在各种自然灾害中的可持续性。通过遵循最新的规范和合理的设计，我们将确保核仪器设备项目的稳定性和安全性，为投资方和利益相关者提供信心。</w:t>
      </w:r>
    </w:p>
    <w:p>
      <w:pPr>
        <w:pStyle w:val="Heading2"/>
        <w:ind w:firstLine="560" w:firstLineChars="200"/>
        <w:rPr>
          <w:rFonts w:ascii="仿宋" w:eastAsia="仿宋" w:hAnsi="仿宋" w:cs="仿宋" w:hint="eastAsia"/>
          <w:sz w:val="28"/>
          <w:lang w:eastAsia="zh-CN"/>
        </w:rPr>
      </w:pPr>
      <w:bookmarkStart w:id="16" w:name="_Toc5461"/>
      <w:r>
        <w:rPr>
          <w:rFonts w:ascii="仿宋" w:eastAsia="仿宋" w:hAnsi="仿宋" w:cs="仿宋" w:hint="eastAsia"/>
          <w:sz w:val="28"/>
          <w:lang w:eastAsia="zh-CN"/>
        </w:rPr>
        <w:t>(二)、建筑结构形势及基础方案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主要厂房在满足工艺使用要求，满足防火、通风、采光要求的前提下，力求做到布置紧凑、节省用地。车间立面造型简洁明快，体现现代化企业的建筑特色。屋面防水、保温尽可能采用质量较高、性能可靠的新型建筑材料。核仪器设备项目中主要生产车间及仓库均为钢结构，建筑为砖混结构。考虑(建设地)地震带的分布，工程设计中将加强建筑物抗震结构措施，以增强建筑物的抗震能力。</w:t>
      </w:r>
    </w:p>
    <w:p>
      <w:pPr>
        <w:pStyle w:val="Heading2"/>
        <w:ind w:firstLine="560" w:firstLineChars="200"/>
        <w:rPr>
          <w:rFonts w:ascii="仿宋" w:eastAsia="仿宋" w:hAnsi="仿宋" w:cs="仿宋" w:hint="eastAsia"/>
          <w:sz w:val="28"/>
          <w:lang w:eastAsia="zh-CN"/>
        </w:rPr>
      </w:pPr>
      <w:bookmarkStart w:id="17" w:name="_Toc3919"/>
      <w:r>
        <w:rPr>
          <w:rFonts w:ascii="仿宋" w:eastAsia="仿宋" w:hAnsi="仿宋" w:cs="仿宋" w:hint="eastAsia"/>
          <w:sz w:val="28"/>
          <w:lang w:eastAsia="zh-CN"/>
        </w:rPr>
        <w:t>(三)、主要建(构)筑物建设工程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核仪器设备项目的主要土建工程包括生产工程、辅助生产工程、公用工程、总图工程、服务性工程（办公及生活）和其他工程，共分为六个部分。土建工程的总面积为XXXX平方米，预计投资为XXXX万元。</w:t>
      </w:r>
    </w:p>
    <w:p>
      <w:pPr>
        <w:pStyle w:val="Heading1"/>
        <w:ind w:firstLine="560" w:firstLineChars="200"/>
        <w:rPr>
          <w:rFonts w:ascii="仿宋" w:eastAsia="仿宋" w:hAnsi="仿宋" w:cs="仿宋" w:hint="eastAsia"/>
          <w:sz w:val="28"/>
          <w:lang w:eastAsia="zh-CN"/>
        </w:rPr>
      </w:pPr>
      <w:bookmarkStart w:id="18" w:name="_Toc24404"/>
      <w:r>
        <w:rPr>
          <w:rFonts w:ascii="仿宋" w:eastAsia="仿宋" w:hAnsi="仿宋" w:cs="仿宋" w:hint="eastAsia"/>
          <w:sz w:val="28"/>
          <w:lang w:eastAsia="zh-CN"/>
        </w:rPr>
        <w:t>五、文化内涵和艺术价值</w:t>
      </w:r>
      <w:bookmarkEnd w:id="18"/>
    </w:p>
    <w:p>
      <w:pPr>
        <w:pStyle w:val="Heading2"/>
        <w:rPr>
          <w:rFonts w:ascii="仿宋" w:eastAsia="仿宋" w:hAnsi="仿宋" w:cs="仿宋" w:hint="eastAsia"/>
          <w:lang w:eastAsia="zh-CN"/>
        </w:rPr>
      </w:pPr>
      <w:bookmarkStart w:id="19" w:name="_Toc12059"/>
      <w:r>
        <w:rPr>
          <w:rFonts w:ascii="仿宋" w:eastAsia="仿宋" w:hAnsi="仿宋" w:cs="仿宋" w:hint="eastAsia"/>
          <w:lang w:eastAsia="zh-CN"/>
        </w:rPr>
        <w:t>(一)、核仪器设备项目与文化内涵的结合方式</w:t>
      </w:r>
      <w:bookmarkEnd w:id="19"/>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将核仪器设备项目与文化内涵结合起来，既可以丰富核仪器设备项目的内涵，又可以促进文化传承和发展。我们考虑了核仪器设备项目与文化内涵的关系，包括核仪器设备项目的主题、文化背景和文化价值等方面。我们还考虑了文化内涵与核仪器设备项目的市场竞争力之间的关系，以确保核仪器设备项目在文化内涵的框架内合法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仪器设备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核仪器设备项目的文化内涵和文化价值。同时，我们强调了文化内涵与市场需求之间的平衡，建议在核仪器设备项目的设计和开发过程中，充分考虑市场需求和文化内涵，以确保核仪器设备项目在市场上的竞争力和可持续发展。</w:t>
      </w:r>
    </w:p>
    <w:p>
      <w:pPr>
        <w:pStyle w:val="Heading2"/>
        <w:ind w:firstLine="560" w:firstLineChars="200"/>
        <w:rPr>
          <w:rFonts w:ascii="仿宋" w:eastAsia="仿宋" w:hAnsi="仿宋" w:cs="仿宋" w:hint="eastAsia"/>
          <w:sz w:val="28"/>
          <w:lang w:eastAsia="zh-CN"/>
        </w:rPr>
      </w:pPr>
      <w:bookmarkStart w:id="20" w:name="_Toc21295"/>
      <w:r>
        <w:rPr>
          <w:rFonts w:ascii="仿宋" w:eastAsia="仿宋" w:hAnsi="仿宋" w:cs="仿宋" w:hint="eastAsia"/>
          <w:sz w:val="28"/>
          <w:lang w:eastAsia="zh-CN"/>
        </w:rPr>
        <w:t>(二)、核仪器设备项目产品的艺术价值分析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艺术类项目，核仪器设备项目的产品应该具有一定的艺术价值，以吸引目标受众并提升核仪器设备项目的市场竞争力。我们考虑了核仪器设备项目产品的艺术特征和艺术价值，包括创意性、审美价值和文化内涵等方面。我们还考虑了艺术价值与核仪器设备项目的商业价值之间的关系，以确保核仪器设备项目产品在艺术价值的框架内合法运营。</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仪器设备项目产品的艺术价值分析总结中，我们提出了相应的建议和措施。我们建议加强对核仪器设备项目产品的艺术设计和创意性，以提升产品的艺术价值和审美价值。我们还建议加强与艺术领域的合作和交流，以吸收优秀的艺术资源和创意灵感，提升核仪器设备项目产品的艺术内涵和艺术价值。同时，我们强调了艺术价值与商业价值的平衡，建议在核仪器设备项目产品的设计和开发过程中，充分考虑商业价值和市场需求，以确保核仪器设备项目产品在市场上的竞争力和可持续发展。</w:t>
      </w:r>
    </w:p>
    <w:p>
      <w:pPr>
        <w:pStyle w:val="Heading2"/>
        <w:ind w:firstLine="560" w:firstLineChars="200"/>
        <w:rPr>
          <w:rFonts w:ascii="仿宋" w:eastAsia="仿宋" w:hAnsi="仿宋" w:cs="仿宋" w:hint="eastAsia"/>
          <w:sz w:val="28"/>
          <w:lang w:eastAsia="zh-CN"/>
        </w:rPr>
      </w:pPr>
      <w:bookmarkStart w:id="21" w:name="_Toc29675"/>
      <w:r>
        <w:rPr>
          <w:rFonts w:ascii="仿宋" w:eastAsia="仿宋" w:hAnsi="仿宋" w:cs="仿宋" w:hint="eastAsia"/>
          <w:sz w:val="28"/>
          <w:lang w:eastAsia="zh-CN"/>
        </w:rPr>
        <w:t>(三)、文化传承和艺术创新的策略探讨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实现核仪器设备项目的成功，我们认为需要同时注重文化传承和艺术创新。在文化传承方面，我们建议加强对传统文化的研究和挖掘，发掘传统文化中蕴含的艺术元素，并将其融入到核仪器设备项目的设计和开发中。这样可以保证核仪器设备项目在艺术创新的基础上，不失传统文化的内涵和价值。同时，我们建议加强对传统文化的保护和传承，以确保核仪器设备项目在文化传承方面具有可持续性和长远发展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艺术创新方面，我们建议加强对艺术创意的研究和创新，提升核仪器设备项目的艺术价值和创新性。我们认为，艺术创新是核仪器设备项目成功的关键之一，因此需要不断地进行尝试和探索，以实现核仪器设备项目的艺术创新和发展。同时，我们建议加强与艺术领域的合作和交流，吸收优秀的艺术资源和创意灵感，促进核仪器设备项目的艺术创新和发展。</w:t>
      </w:r>
    </w:p>
    <w:p>
      <w:pPr>
        <w:pStyle w:val="Heading1"/>
        <w:ind w:firstLine="560" w:firstLineChars="200"/>
        <w:rPr>
          <w:rFonts w:ascii="仿宋" w:eastAsia="仿宋" w:hAnsi="仿宋" w:cs="仿宋" w:hint="eastAsia"/>
          <w:sz w:val="28"/>
          <w:lang w:eastAsia="zh-CN"/>
        </w:rPr>
      </w:pPr>
      <w:bookmarkStart w:id="22" w:name="_Toc21822"/>
      <w:r>
        <w:rPr>
          <w:rFonts w:ascii="仿宋" w:eastAsia="仿宋" w:hAnsi="仿宋" w:cs="仿宋" w:hint="eastAsia"/>
          <w:sz w:val="28"/>
          <w:lang w:eastAsia="zh-CN"/>
        </w:rPr>
        <w:t>六、企业文化和员工培训</w:t>
      </w:r>
      <w:bookmarkEnd w:id="22"/>
    </w:p>
    <w:p>
      <w:pPr>
        <w:pStyle w:val="Heading2"/>
        <w:rPr>
          <w:rFonts w:ascii="仿宋" w:eastAsia="仿宋" w:hAnsi="仿宋" w:cs="仿宋" w:hint="eastAsia"/>
          <w:lang w:eastAsia="zh-CN"/>
        </w:rPr>
      </w:pPr>
      <w:bookmarkStart w:id="23" w:name="_Toc26461"/>
      <w:r>
        <w:rPr>
          <w:rFonts w:ascii="仿宋" w:eastAsia="仿宋" w:hAnsi="仿宋" w:cs="仿宋" w:hint="eastAsia"/>
          <w:lang w:eastAsia="zh-CN"/>
        </w:rPr>
        <w:t>(一)、企业文化的建设和传承</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文化建设目标和价值观：</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确定文化建设目标：明确企业文化建设的目标，例如增强员工凝聚力、塑造积极向上的工作氛围、提升员工满意度等。</w:t>
      </w:r>
    </w:p>
    <w:p>
      <w:pPr>
        <w:ind w:firstLine="560" w:firstLineChars="200"/>
        <w:rPr>
          <w:rFonts w:ascii="仿宋" w:eastAsia="仿宋" w:hAnsi="仿宋" w:cs="仿宋" w:hint="eastAsia"/>
          <w:sz w:val="28"/>
        </w:rPr>
      </w:pPr>
      <w:r>
        <w:rPr>
          <w:rFonts w:ascii="仿宋" w:eastAsia="仿宋" w:hAnsi="仿宋" w:cs="仿宋" w:hint="eastAsia"/>
          <w:sz w:val="28"/>
          <w:lang w:eastAsia="zh-CN"/>
        </w:rPr>
        <w:t>确立核心价值观：制定企业的核心价值观和行为准则，以引导员工的行为和决策，构建积极向上的企业文化。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文化传承和弘扬：</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内部传播和教育：通过内部培训、员工手册、团队建设等方式，向员工传达企业文化的核心价值观、历史传承和行为规范。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领导示范和激励：企业领导要以身作则，积极践行企业文化，通过激励机制和奖励制度，鼓励员工积极参与和传承企业文化。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沟通渠道和平台：建立畅通的沟通渠道，包括员工反馈机制、员工代表会议、内部社交平台等，促进员工之间的交流和参与。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员工参与和贡献：鼓励员工参与企业文化建设，例如组织员工活动、设立奖励制度、提供发展机会等，激发员工的归属感和参与度。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文化体现和落地：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员工行为和工作环境：通过制定明确的行为规范和工作标准，引导员工在工作中体现企业文化，同时创造积极向上的工作环境。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对外形象和品牌建设：将企业文化体现在对外宣传、产品和服务中，塑造积极的企业形象和品牌形象，提升企业的竞争力和声誉。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文化评估指标：制定文化评估指标，例如员工满意度调查、文化传承度评估等，定期评估企业文化的效果和改进空间。</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持续改进措施：根据评估结果，采取相应的改进措施，例如调整管理制度、改善员工福利、加强培训等，不断优化企业文化建设和传承的效果。</w:t>
      </w:r>
    </w:p>
    <w:p>
      <w:pPr>
        <w:pStyle w:val="Heading2"/>
        <w:ind w:firstLine="560" w:firstLineChars="200"/>
        <w:rPr>
          <w:rFonts w:ascii="仿宋" w:eastAsia="仿宋" w:hAnsi="仿宋" w:cs="仿宋" w:hint="eastAsia"/>
          <w:sz w:val="28"/>
          <w:lang w:eastAsia="zh-CN"/>
        </w:rPr>
      </w:pPr>
      <w:bookmarkStart w:id="24" w:name="_Toc19629"/>
      <w:r>
        <w:rPr>
          <w:rFonts w:ascii="仿宋" w:eastAsia="仿宋" w:hAnsi="仿宋" w:cs="仿宋" w:hint="eastAsia"/>
          <w:sz w:val="28"/>
          <w:lang w:eastAsia="zh-CN"/>
        </w:rPr>
        <w:t>(二)、员工培训的方案和实施</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确定培训目标：明确培训的目标和期望结果，例如提升员工技能、增强专业知识、改善沟通能力等。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进行需求调研：通过员工调研、岗位分析等方式，了解员工的培训需求和优先级，确定培训内容和重点。</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培训内容和形式：</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内部培训：根据员工的需求和岗位要求，开展内部培训课程，包括技能培训、管理培训、沟通培训等，提升员工的专业素养和综合能力。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外部培训：与专业培训机构或顾问合作，组织外部培训课程，引入行业先进的知识和技术，提供员工全面的发展机会。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制定培训计划：根据培训需求和公司战略目标，制定年度或季度的培训计划，明确培训内容、时间和参与人员。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安排培训资源：确定培训预算、培训场地和设备等资源，确保培训的顺利进行。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培训方法和工具：</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面授培训：组织传统的面对面培训课程，通过讲座、研讨会、案例分析等形式，向员工传授知识和技能。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在线培训：利用网络平台和学习管理系统，提供在线培训课程，让员工可以根据自己的时间和需求进行学习，提高培训的灵活性和效率。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培训工具和资料：提供培训所需的教材、手册、视频教程等培训工具和资料，帮助员工更好地理解和应用所学知识。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培训评估指标：制定培训评估指标，例如员工满意度调查、培训成果考核等，评估培训效果和质量。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反馈和改进措施：根据评估结果，及时反馈培训效果，针对性地调整培训方案和方法，不断改进培训质量和效果。</w:t>
      </w:r>
    </w:p>
    <w:p>
      <w:pPr>
        <w:pStyle w:val="Heading2"/>
        <w:ind w:firstLine="560" w:firstLineChars="200"/>
        <w:rPr>
          <w:rFonts w:ascii="仿宋" w:eastAsia="仿宋" w:hAnsi="仿宋" w:cs="仿宋" w:hint="eastAsia"/>
          <w:sz w:val="28"/>
          <w:lang w:eastAsia="zh-CN"/>
        </w:rPr>
      </w:pPr>
      <w:bookmarkStart w:id="25" w:name="_Toc20457"/>
      <w:r>
        <w:rPr>
          <w:rFonts w:ascii="仿宋" w:eastAsia="仿宋" w:hAnsi="仿宋" w:cs="仿宋" w:hint="eastAsia"/>
          <w:sz w:val="28"/>
          <w:lang w:eastAsia="zh-CN"/>
        </w:rPr>
        <w:t>(三)、企业文化和员工培训的互动和融合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文化引领培训：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文化价值观贯穿培训：将企业文化的核心价值观和行为准则融入员工培训中，引导员工在培训过程中树立正确的工作态度和价值观。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培训课程与文化一致：确保培训课程的内容与企业文化相一致，强调企业的核心价值观和行为规范，帮助员工理解和践行企业文化。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培训促进文化建设：</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培训活动与文化活动结合：将员工培训与企业文化活动相结合，例如在培训过程中组织团队建设活动、文化体验等，加强员工之间的交流与合作，营造融洽的工作氛围。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培训内容传递文化信息：在培训中传递企业文化的信息和故事，让员工了解企业的历史、价值观和成功案例，增强对企业文化的认同感和归属感。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培训中鼓励员工参与：在培训过程中鼓励员工参与讨论、分享经验和观点，促进员工之间的互动和交流，培养积极向上的企业文化。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培训激发员工创新：通过培训激发员工的创新思维和能力，鼓励员工提出改进建议和创新方案，推动企业文化的不断演进和提升。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文化评估与培训反馈：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培训评估中考虑文化因素：在培训评估中考虑企业文化的影响，评估培训对企业文化的贡献和融合程度，进一步优化培训方案和实施效果。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培训反馈与文化建设结合：通过培训反馈机制，收集员工对企业文化的认知和理解，及时调整培训策略和内容，不断提升培训与文化的互动效果。</w:t>
      </w:r>
    </w:p>
    <w:p>
      <w:pPr>
        <w:pStyle w:val="Heading1"/>
        <w:ind w:firstLine="560" w:firstLineChars="200"/>
        <w:rPr>
          <w:rFonts w:ascii="仿宋" w:eastAsia="仿宋" w:hAnsi="仿宋" w:cs="仿宋" w:hint="eastAsia"/>
          <w:sz w:val="28"/>
          <w:lang w:eastAsia="zh-CN"/>
        </w:rPr>
      </w:pPr>
      <w:bookmarkStart w:id="26" w:name="_Toc23072"/>
      <w:r>
        <w:rPr>
          <w:rFonts w:ascii="仿宋" w:eastAsia="仿宋" w:hAnsi="仿宋" w:cs="仿宋" w:hint="eastAsia"/>
          <w:sz w:val="28"/>
          <w:lang w:eastAsia="zh-CN"/>
        </w:rPr>
        <w:t>七、组织机构工作制度和劳动定员</w:t>
      </w:r>
      <w:bookmarkEnd w:id="26"/>
    </w:p>
    <w:p>
      <w:pPr>
        <w:pStyle w:val="Heading2"/>
        <w:rPr>
          <w:rFonts w:ascii="仿宋" w:eastAsia="仿宋" w:hAnsi="仿宋" w:cs="仿宋" w:hint="eastAsia"/>
          <w:lang w:eastAsia="zh-CN"/>
        </w:rPr>
      </w:pPr>
      <w:bookmarkStart w:id="27" w:name="_Toc14188"/>
      <w:r>
        <w:rPr>
          <w:rFonts w:ascii="仿宋" w:eastAsia="仿宋" w:hAnsi="仿宋" w:cs="仿宋" w:hint="eastAsia"/>
          <w:lang w:eastAsia="zh-CN"/>
        </w:rPr>
        <w:t>(一)、核仪器设备项目工作制度</w:t>
      </w:r>
      <w:bookmarkEnd w:id="27"/>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依据核仪器设备行业的特点，我们坚决遵守国家相关劳动法规，充分关注员工的身心健康与工作效能。在此基础上，我们采取六日工作制度，旨在确保员工享有充足的休息时间，从而积极提升工作绩效和生产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刻理解核仪器设备行业的复杂性，因此，我们遵循法律法规，为员工提供良好的工作环境。充裕的休息时间不仅有助于员工的身心恢复，也能激发创造力，提高工作效率。六日工作制的实施并非简单地为了休息，而是为了更好地利用工作和休息的平衡，创造更有活力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相信，通过这一工作制度的引入，不仅能够提高员工的满意度和工作动力，也将为核仪器设备行业的持续发展带来积极的影响。这种关注员工健康与工作效率的方法，有助于塑造积极向上的企业文化，从而在竞争激烈的市场中脱颖而出。</w:t>
      </w:r>
    </w:p>
    <w:p>
      <w:pPr>
        <w:pStyle w:val="Heading2"/>
        <w:ind w:firstLine="560" w:firstLineChars="200"/>
        <w:rPr>
          <w:rFonts w:ascii="仿宋" w:eastAsia="仿宋" w:hAnsi="仿宋" w:cs="仿宋" w:hint="eastAsia"/>
          <w:sz w:val="28"/>
          <w:lang w:eastAsia="zh-CN"/>
        </w:rPr>
      </w:pPr>
      <w:bookmarkStart w:id="28" w:name="_Toc17570"/>
      <w:r>
        <w:rPr>
          <w:rFonts w:ascii="仿宋" w:eastAsia="仿宋" w:hAnsi="仿宋" w:cs="仿宋" w:hint="eastAsia"/>
          <w:sz w:val="28"/>
          <w:lang w:eastAsia="zh-CN"/>
        </w:rPr>
        <w:t>(二)、劳动定员</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一旦核仪器设备项目建成投产，将为XXX人提供就业机会。</w:t>
      </w:r>
    </w:p>
    <w:p>
      <w:pPr>
        <w:pStyle w:val="Heading2"/>
        <w:ind w:firstLine="560" w:firstLineChars="200"/>
        <w:rPr>
          <w:rFonts w:ascii="仿宋" w:eastAsia="仿宋" w:hAnsi="仿宋" w:cs="仿宋" w:hint="eastAsia"/>
          <w:sz w:val="28"/>
          <w:lang w:eastAsia="zh-CN"/>
        </w:rPr>
      </w:pPr>
      <w:bookmarkStart w:id="29" w:name="_Toc8926"/>
      <w:r>
        <w:rPr>
          <w:rFonts w:ascii="仿宋" w:eastAsia="仿宋" w:hAnsi="仿宋" w:cs="仿宋" w:hint="eastAsia"/>
          <w:sz w:val="28"/>
          <w:lang w:eastAsia="zh-CN"/>
        </w:rPr>
        <w:t>(三)、核仪器设备项目建设人员培训</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一、核仪器设备项目人员技术水平与要求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核仪器设备项目要求人员具备高水平的技术能力，定期培训持证上岗，以应对复杂的业务场景和严苛的技术挑战。核仪器设备项目人员应定期接受技术培训，并获得相应的证书，以应对核仪器设备项目的复杂业务场景和严苛的技术挑战。</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2、为了确保核仪器设备项目能够按照既定的时间表和预算成功完成，核仪器设备项目人员必须具备卓越的技术实力和丰富的经验。他们需要深入理解核仪器设备项目需求，并能够有效地将客户需求转化为实际的技术解决方案。核仪器设备项目人员应具备卓越的技术实力和丰富的经验，以便能够深入理解核仪器设备项目需求，并能够有效地将客户需求转化为实际的技术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3、核仪器设备项目人员需要具备创新思维和快速学习能力，以便在面对新的技术挑战时能够迅速适应并解决相关问题。此外，他们还需要具备良好的沟通和团队协作能力，以确保与团队成员和客户之间的有效沟通。核仪器设备项目人员应具备创新思维和快速学习能力，以便能够迅速适应并解决新的技术挑战。此外，他们还需要具备良好的沟通和团队协作能力，以确保与团队成员和客户之间的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4、在核仪器设备项目中，人员的技术水平是至关重要的。只有具备相应技术实力的团队成员才能够确保核仪器设备项目的成功实施，为客户创造最大的价值。只有具备相应技术实力的团队成员才能够确保核仪器设备项目的成功实施，为客户创造最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二、核仪器设备项目培训规划建议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1、为了提高核仪器设备项目团队的技术水平和整体素质，制定一份全面的培训计划。该计划应该涵盖各种技能和知识领域，包括但不限于核仪器设备项目管理、团队合作、沟通技巧、业务领域知识以及具体的技术技能。核仪器设备项目培训计划应涵盖各种技能和知识领域，包括核仪器设备项目管理、团队合作、沟通技巧、业务领域知识以及具体的技术技能等。</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2、培训内容应该根据团队成员的具体职责和需求进行定制，以确保培训内容与实际工作紧密相关。此外，培训形式也应该多样化，包括在线课程、现场讲解、案例分析等，以满足不同学习风格和时间安排的需求。培训内容应针对团队成员的具体职责和需求进行定制，以确保培训内容与实际工作紧密相关。此外，培训形式应多样化，包括在线课程、现场讲解、案例分析等，以满足不同学习风格和时间安排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培训计划应该有一个明确的时间表，以便团队成员可以合理安排自己的时间和工作，并做好准备。培训可以分阶段进行，以确保团队成员在逐步提高自身能力的同时，也能够适应核仪器设备项目的不同阶段。培训计划应有一个明确的时间表，以便团队成员可以合理安排时间和工作，并做好准备。培训可以分阶段进行，以确保团队成员在逐步提高自身能力的同时，也能够适应核仪器设备项目的不同阶段。</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通过制定和实施有效的培训计划，我们可以提高团队成员的技术水平和综合素质，从而提高核仪器设备项目的整体质量和客户满意度。这对于核仪器设备项目的成功实施具有至关重要的作用。通过制定和实施有效的培训计划，可以提高团队成员的技术水平和综合素质，从而提高核仪器设备项目的整体质量和客户满意度。这对于核仪器设备项目的成功实施具有至关重要的作用。</w:t>
      </w:r>
    </w:p>
    <w:p>
      <w:pPr>
        <w:pStyle w:val="Heading1"/>
        <w:ind w:firstLine="560" w:firstLineChars="200"/>
        <w:rPr>
          <w:rFonts w:ascii="仿宋" w:eastAsia="仿宋" w:hAnsi="仿宋" w:cs="仿宋" w:hint="eastAsia"/>
          <w:sz w:val="28"/>
          <w:lang w:eastAsia="zh-CN"/>
        </w:rPr>
      </w:pPr>
      <w:bookmarkStart w:id="30" w:name="_Toc22274"/>
      <w:r>
        <w:rPr>
          <w:rFonts w:ascii="仿宋" w:eastAsia="仿宋" w:hAnsi="仿宋" w:cs="仿宋" w:hint="eastAsia"/>
          <w:sz w:val="28"/>
          <w:lang w:eastAsia="zh-CN"/>
        </w:rPr>
        <w:t>八、社会投资和慈善计划</w:t>
      </w:r>
      <w:bookmarkEnd w:id="30"/>
    </w:p>
    <w:p>
      <w:pPr>
        <w:pStyle w:val="Heading2"/>
        <w:rPr>
          <w:rFonts w:ascii="仿宋" w:eastAsia="仿宋" w:hAnsi="仿宋" w:cs="仿宋" w:hint="eastAsia"/>
          <w:lang w:eastAsia="zh-CN"/>
        </w:rPr>
      </w:pPr>
      <w:bookmarkStart w:id="31" w:name="_Toc27839"/>
      <w:r>
        <w:rPr>
          <w:rFonts w:ascii="仿宋" w:eastAsia="仿宋" w:hAnsi="仿宋" w:cs="仿宋" w:hint="eastAsia"/>
          <w:lang w:eastAsia="zh-CN"/>
        </w:rPr>
        <w:t>(一)、社会责任投资和捐赠计划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企业社会责任的重要性：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社会责任是企业应尽的道德义务和社会角色。通过承担社会责任，企业能够增强其社会声誉、树立良好的企业形象，并与利益相关者建立良好的关系。社会责任投资和捐赠计划是企业履行社会责任的重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社会影响力和可持续发展：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社会责任投资和捐赠计划可以帮助企业在社会中产生积极的影响力。通过投资和捐赠，企业可以推动社会的可持续发展，改善社会福利，解决社会问题。这不仅有助于社会的进步，也有助于企业的可持续发展。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可行性评估和目标设定：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社会责任投资和捐赠计划时，需要进行可行性评估和目标设定。可行性评估包括对投资和捐赠核仪器设备项目的可行性进行评估，包括核仪器设备项目的社会影响、资源需求、风险评估等方面。目标设定包括明确投资和捐赠的目标、范围和时间框架，确保计划的可操作性和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利益相关者的参与和合作：</w:t>
      </w:r>
    </w:p>
    <w:p>
      <w:pPr>
        <w:ind w:firstLine="560" w:firstLineChars="200"/>
        <w:rPr>
          <w:rFonts w:ascii="仿宋" w:eastAsia="仿宋" w:hAnsi="仿宋" w:cs="仿宋" w:hint="eastAsia"/>
          <w:sz w:val="28"/>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社会责任投资和捐赠计划需要与利益相关者进行合作和协调。利益相关者包括政府部门、非营利组织、社区居民等。与利益相关者的合作可以增加计划的可行性和影响力，确保计划符合社会需求，解决实际问题。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成效评估和透明度：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投资和捐赠计划需要进行成效评估和透明度的展示。通过评估计划的成效，可以及时调整和改进计划，提高投资和捐赠的效果。透明度的展示可以增加公众对企业社会责任的认可度和信任度，提升企业形象和品牌价值。</w:t>
      </w:r>
    </w:p>
    <w:p>
      <w:pPr>
        <w:pStyle w:val="Heading2"/>
        <w:ind w:firstLine="560" w:firstLineChars="200"/>
        <w:rPr>
          <w:rFonts w:ascii="仿宋" w:eastAsia="仿宋" w:hAnsi="仿宋" w:cs="仿宋" w:hint="eastAsia"/>
          <w:sz w:val="28"/>
          <w:lang w:eastAsia="zh-CN"/>
        </w:rPr>
      </w:pPr>
      <w:bookmarkStart w:id="32" w:name="_Toc30974"/>
      <w:r>
        <w:rPr>
          <w:rFonts w:ascii="仿宋" w:eastAsia="仿宋" w:hAnsi="仿宋" w:cs="仿宋" w:hint="eastAsia"/>
          <w:sz w:val="28"/>
          <w:lang w:eastAsia="zh-CN"/>
        </w:rPr>
        <w:t>(二)、社会慈善核仪器设备项目的可行性</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核仪器设备项目背景和目标：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介绍社会慈善核仪器设备项目的背景和目标。说明核仪器设备项目的宗旨、愿景和使命，明确核仪器设备项目所关注的社会问题和改善的目标。这有助于让利益相关者了解核仪器设备项目的核心价值和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社会需求和问题分析：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社会慈善核仪器设备项目所关注的社会需求和问题进行分析。通过调研和数据收集，评估该领域的社会问题的紧迫性和影响力。这有助于确保核仪器设备项目的目标与社会的真实需求相契合，并为核仪器设备项目的定位和策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可行性评估和策略规划：</w:t>
      </w:r>
    </w:p>
    <w:p>
      <w:pPr>
        <w:ind w:firstLine="560" w:firstLineChars="200"/>
        <w:rPr>
          <w:rFonts w:ascii="仿宋" w:eastAsia="仿宋" w:hAnsi="仿宋" w:cs="仿宋" w:hint="eastAsia"/>
          <w:sz w:val="28"/>
        </w:rPr>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社会慈善核仪器设备项目的可行性进行评估，并制定相应的策略规划。可行性评估包括核仪器设备项目的资源需求、风险评估、合作伙伴关系等方面。策略规划涉及核仪器设备项目的实施计划、目标设定、资源配置等。通过综合考虑核仪器设备项目的可行性和策略规划，确保核仪器设备项目能够顺利实施并取得预期的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合作伙伴和社会参与：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慈善核仪器设备项目需要与合作伙伴和社会各界进行合作和参与。合作伙伴可以包括政府机构、非营利组织、企业等。社会参与可以包括志愿者、社区居民等。通过与合作伙伴和社会各界的合作和参与，核仪器设备项目可以获得更多的资源支持和社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成效评估和可持续发展：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慈善核仪器设备项目需要进行成效评估和可持续发展的规划。成效评估可以通过数据收集和评估指标来衡量核仪器设备项目的社会影响和效果。可持续发展的规划包括核仪器设备项目的长期发展战略、资源筹集和管理机制等。通过成效评估和可持续发展的规划，确保核仪器设备项目能够持续产生社会效益并实现可持续性。</w:t>
      </w:r>
    </w:p>
    <w:p>
      <w:pPr>
        <w:pStyle w:val="Heading2"/>
        <w:ind w:firstLine="560" w:firstLineChars="200"/>
        <w:rPr>
          <w:rFonts w:ascii="仿宋" w:eastAsia="仿宋" w:hAnsi="仿宋" w:cs="仿宋" w:hint="eastAsia"/>
          <w:sz w:val="28"/>
          <w:lang w:eastAsia="zh-CN"/>
        </w:rPr>
      </w:pPr>
      <w:bookmarkStart w:id="33" w:name="_Toc12"/>
      <w:r>
        <w:rPr>
          <w:rFonts w:ascii="仿宋" w:eastAsia="仿宋" w:hAnsi="仿宋" w:cs="仿宋" w:hint="eastAsia"/>
          <w:sz w:val="28"/>
          <w:lang w:eastAsia="zh-CN"/>
        </w:rPr>
        <w:t>(三)、社会影响投资的测量和报告</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社会影响指标的选择：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首先，需要选择适合的社会影响指标来测量和评估企业的社会影响。这些指标可以包括环境影响、社会责任、员工福利、社区参与等方面。通过明确社会影响指标，可以为测量和报告提供明确的参考框架。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https://d.book118.com/058056061003006023</w:t>
        </w:r>
      </w:hyperlink>
    </w:p>
    <w:p>
      <w:pPr>
        <w:ind w:firstLine="560" w:firstLineChars="200"/>
        <w:rPr>
          <w:rFonts w:ascii="仿宋" w:eastAsia="仿宋" w:hAnsi="仿宋" w:cs="仿宋" w:hint="eastAsia"/>
          <w:sz w:val="28"/>
        </w:rPr>
      </w:pPr>
    </w:p>
    <w:sectPr>
      <w:headerReference w:type="default" r:id="rId62"/>
      <w:footerReference w:type="default" r:id="rId63"/>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核仪器设备可行性报告/专业报告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44685"/>
    <w:rsid w:val="0AD446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yperlink" Target="https://d.book118.com/058056061003006023" TargetMode="External" /><Relationship Id="rId62" Type="http://schemas.openxmlformats.org/officeDocument/2006/relationships/header" Target="header29.xml" /><Relationship Id="rId63" Type="http://schemas.openxmlformats.org/officeDocument/2006/relationships/footer" Target="footer29.xm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2023-12-15T13:11:00Z</dcterms:created>
  <dcterms:modified xsi:type="dcterms:W3CDTF">2023-12-15T13:11:51Z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