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2018-2023年天府新区通用航空职业学院高职单招（数学／语文／英语）历年常考试题库含答案解析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孟子和孔子同属（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D.名家学派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下列对典故的解释错误的是（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A.襟袖红泪：相传魏文帝时，薛灵云被选入宫，泣别父母，以玉壶盛泪，不久泪凝如血。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B.树犹如此：相传桓温北伐路过金城，看到多年前自己种的柳树已有十围粗了，感叹地说：“木犹如此，人何以堪！”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C.周公吐哺：相传周公唯恐失天下之士，常常吃饭时停下来接待贤才。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D.乘舟梦日：相传吕尚在被文王征聘前，曾梦见自己乘船从日月旁经过。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下列作品出自我国最早的诗歌总集的是（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D.《短歌行》（其一）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北宋第一个大量写作慢词的是（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《谈时间》的语言风格是（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A.典雅平和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B.清新秀丽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C.幽默机智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D.谨严犀利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曹禺是中国现代文学史上著名的（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A.剧作家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D.评论家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李白被称为（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A.诗圣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B.诗豪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“文章的通病总不外两种，一是不知选择，二是不知安排”，此句话出自（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B.钱锺书的《论快乐》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人称“曲状元”的元代散曲作家是（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C.郑光祖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下列句子中，画线部分翻译错误的是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15186" cy="215287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5186" cy="215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“饮冰室主人”指的是（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A.康有为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C.谭嗣同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https://d.book118.com/058056100132006040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058056100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