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880" w:firstLineChars="200"/>
        <w:rPr>
          <w:rFonts w:ascii="方正小标宋简体" w:eastAsia="方正小标宋简体" w:hint="eastAsia"/>
          <w:sz w:val="44"/>
          <w:szCs w:val="44"/>
        </w:rPr>
      </w:pPr>
    </w:p>
    <w:p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  <w:lang w:eastAsia="zh-CN"/>
        </w:rPr>
        <w:t>**煤矿</w:t>
      </w:r>
    </w:p>
    <w:p/>
    <w:p>
      <w:pPr>
        <w:jc w:val="center"/>
        <w:rPr>
          <w:sz w:val="72"/>
          <w:szCs w:val="72"/>
        </w:rPr>
      </w:pPr>
      <w:r>
        <w:rPr>
          <w:rFonts w:ascii="方正小标宋简体" w:eastAsia="方正小标宋简体" w:hAnsi="宋体" w:hint="eastAsia"/>
          <w:b/>
          <w:bCs/>
          <w:color w:val="000000"/>
          <w:sz w:val="72"/>
          <w:szCs w:val="72"/>
        </w:rPr>
        <w:t>重点岗位事故应急处置卡</w:t>
      </w:r>
    </w:p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ascii="方正小标宋简体" w:eastAsia="方正小标宋简体"/>
          <w:sz w:val="44"/>
          <w:szCs w:val="44"/>
        </w:rPr>
        <w:sectPr>
          <w:pgSz w:w="11906" w:h="16838"/>
          <w:pgMar w:top="850" w:right="1587" w:bottom="850" w:left="1587" w:header="851" w:footer="992" w:gutter="0"/>
          <w:cols w:num="1" w:space="0"/>
          <w:docGrid w:type="lines" w:linePitch="312" w:charSpace="0"/>
        </w:sectPr>
      </w:pPr>
      <w:r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 w:hint="eastAsia"/>
          <w:sz w:val="44"/>
          <w:szCs w:val="44"/>
          <w:lang w:val="en-US" w:eastAsia="zh-CN"/>
        </w:rPr>
        <w:t>2</w:t>
      </w:r>
      <w:r>
        <w:rPr>
          <w:rFonts w:ascii="方正小标宋简体" w:eastAsia="方正小标宋简体" w:hint="eastAsia"/>
          <w:sz w:val="44"/>
          <w:szCs w:val="44"/>
        </w:rPr>
        <w:t>年</w:t>
      </w:r>
      <w:r>
        <w:rPr>
          <w:rFonts w:ascii="方正小标宋简体" w:eastAsia="方正小标宋简体" w:hint="eastAsia"/>
          <w:sz w:val="44"/>
          <w:szCs w:val="44"/>
          <w:lang w:val="en-US" w:eastAsia="zh-CN"/>
        </w:rPr>
        <w:t>7</w:t>
      </w:r>
      <w:r>
        <w:rPr>
          <w:rFonts w:ascii="方正小标宋简体" w:eastAsia="方正小标宋简体" w:hint="eastAsia"/>
          <w:sz w:val="44"/>
          <w:szCs w:val="44"/>
        </w:rPr>
        <w:t>月</w:t>
      </w:r>
    </w:p>
    <w:p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目    录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（带班矿领导）岗位应急处置卡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（带班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、跟班管理人员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班组长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4.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探放水工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5.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测风测尘工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6.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爆破员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7.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爆破材料管理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8.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防爆电气设备维修检查工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9.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采掘机械维修工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10.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装岩机、耙装机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11.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瓦斯检查工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12.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主通风机司机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13.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变配电工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default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14.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主提升机司机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15.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掘进机司机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16.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井下电钳工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17.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采煤机司机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18.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安全检查工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19.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井下安全仪器监测监控工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20.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地面安全仪器监测监控值班工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21.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监控维修工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22.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窄轨电机车司机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23.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绞车司机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24.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人行车跟车工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25.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信号把钩工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26.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输送机司机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27.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电气设备检修工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28.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锚杆锚索支护工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29.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钻眼工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30.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喷浆工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31.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乳化泵司机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32.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转载机司机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33.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单轨吊司机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34.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放煤工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35.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液压支架工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widowControl w:val="0"/>
        <w:spacing w:after="0"/>
        <w:jc w:val="left"/>
        <w:rPr>
          <w:rFonts w:ascii="黑体" w:eastAsia="黑体" w:hAnsi="黑体" w:cs="Times New Roman" w:hint="eastAsia"/>
          <w:color w:val="auto"/>
          <w:sz w:val="24"/>
          <w:szCs w:val="24"/>
        </w:r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36.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超前支护工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p>
      <w:pPr>
        <w:rPr>
          <w:rFonts w:ascii="黑体" w:eastAsia="黑体" w:hAnsi="黑体"/>
          <w:sz w:val="24"/>
          <w:szCs w:val="24"/>
        </w:rPr>
        <w:sectPr>
          <w:type w:val="nextPage"/>
          <w:pgSz w:w="11906" w:h="16838"/>
          <w:pgMar w:top="850" w:right="1587" w:bottom="850" w:left="1587" w:header="851" w:footer="992" w:gutter="0"/>
          <w:pgNumType w:start="2"/>
          <w:cols w:num="1" w:space="0"/>
          <w:titlePg w:val="0"/>
          <w:docGrid w:type="lines" w:linePitch="312" w:charSpace="0"/>
        </w:sectPr>
      </w:pPr>
      <w:r>
        <w:rPr>
          <w:rFonts w:ascii="黑体" w:eastAsia="黑体" w:hAnsi="黑体" w:cs="Times New Roman" w:hint="eastAsia"/>
          <w:color w:val="auto"/>
          <w:sz w:val="24"/>
          <w:szCs w:val="24"/>
          <w:lang w:val="en-US" w:eastAsia="zh-CN"/>
        </w:rPr>
        <w:t>37.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**煤矿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（</w:t>
      </w:r>
      <w:r>
        <w:rPr>
          <w:rFonts w:ascii="黑体" w:eastAsia="黑体" w:hAnsi="黑体" w:cs="Times New Roman" w:hint="eastAsia"/>
          <w:color w:val="auto"/>
          <w:sz w:val="24"/>
          <w:szCs w:val="24"/>
          <w:lang w:eastAsia="zh-CN"/>
        </w:rPr>
        <w:t>调度员</w:t>
      </w:r>
      <w:r>
        <w:rPr>
          <w:rFonts w:ascii="黑体" w:eastAsia="黑体" w:hAnsi="黑体" w:cs="Times New Roman" w:hint="eastAsia"/>
          <w:color w:val="auto"/>
          <w:sz w:val="24"/>
          <w:szCs w:val="24"/>
        </w:rPr>
        <w:t>）岗位应急处置卡</w:t>
      </w:r>
    </w:p>
    <w:tbl>
      <w:tblPr>
        <w:tblStyle w:val="TableGrid0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  <w:bookmarkStart w:id="0" w:name="_GoBack"/>
            <w:bookmarkEnd w:id="0"/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（带班矿领导）岗位应急处置卡</w:t>
            </w:r>
          </w:p>
          <w:tbl>
            <w:tblPr>
              <w:tblStyle w:val="TableGrid0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top"/>
                </w:tcPr>
                <w:p>
                  <w:pPr>
                    <w:widowControl w:val="0"/>
                    <w:spacing w:after="0" w:line="300" w:lineRule="exact"/>
                    <w:jc w:val="both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可能遇到各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类突发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事故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对重点部位、关键环节加强检查，及时发现并组织消除事故隐患，必要时现场盯靠处置。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制止和纠正违章指挥、强令冒险作业、违反操作规程的行为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3.督促和落实重大危险源的安全管理措施。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4.督促和落实安全生产整改措施。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（带班矿领导）岗位应急处置卡</w:t>
            </w:r>
          </w:p>
          <w:tbl>
            <w:tblPr>
              <w:tblStyle w:val="TableGrid0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遇突发事故，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确保安全的前提下第一时间处置。超出现场处置能力时，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有权行使紧急情况十项应急处置权，下达涉险区域停产撤人指令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及时向调度室汇报井下事故情况及采取的措施。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指挥部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下达的命令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rPr>
          <w:rFonts w:ascii="黑体" w:eastAsia="黑体" w:hAnsi="黑体"/>
          <w:b/>
          <w:bCs/>
          <w:sz w:val="24"/>
          <w:szCs w:val="30"/>
        </w:rPr>
      </w:pPr>
      <w:r>
        <w:rPr>
          <w:rFonts w:ascii="黑体" w:eastAsia="黑体" w:hAnsi="黑体"/>
          <w:b/>
          <w:bCs/>
          <w:sz w:val="24"/>
          <w:szCs w:val="30"/>
        </w:rPr>
        <w:br/>
      </w:r>
    </w:p>
    <w:tbl>
      <w:tblPr>
        <w:tblStyle w:val="TableGrid0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4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4"/>
              </w:rPr>
              <w:t>（带班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4"/>
                <w:lang w:eastAsia="zh-CN"/>
              </w:rPr>
              <w:t>、跟班管理人员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4"/>
              </w:rPr>
              <w:t>）岗位应急处置卡</w:t>
            </w:r>
          </w:p>
          <w:tbl>
            <w:tblPr>
              <w:tblStyle w:val="TableGrid0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top"/>
                </w:tcPr>
                <w:p>
                  <w:pPr>
                    <w:widowControl w:val="0"/>
                    <w:spacing w:after="0" w:line="300" w:lineRule="exact"/>
                    <w:jc w:val="both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可能遇到各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类突发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事故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对重点部位、关键环节加强检查，及时发现并组织消除事故隐患，必要时现场盯靠处置。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制止和纠正违章指挥、强令冒险作业、违反操作规程的行为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3.督促和落实重大危险源的安全管理措施。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4.督促和落实安全生产整改措施。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4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4"/>
              </w:rPr>
              <w:t>（带班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4"/>
                <w:lang w:eastAsia="zh-CN"/>
              </w:rPr>
              <w:t>、跟班管理人员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4"/>
              </w:rPr>
              <w:t>）岗位应急处置卡</w:t>
            </w:r>
          </w:p>
          <w:tbl>
            <w:tblPr>
              <w:tblStyle w:val="TableGrid0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遇突发事故，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确保安全的前提下第一时间处置。超出现场处置能力时，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有权行使紧急情况十项应急处置权，下达涉险区域停产撤人指令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及时向调度室汇报井下事故情况及采取的措施。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指挥部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下达的命令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rPr>
          <w:rFonts w:ascii="黑体" w:eastAsia="黑体" w:hAnsi="黑体"/>
          <w:b/>
          <w:bCs/>
          <w:sz w:val="24"/>
          <w:szCs w:val="30"/>
        </w:rPr>
        <w:sectPr>
          <w:type w:val="nextPage"/>
          <w:pgSz w:w="11906" w:h="16838"/>
          <w:pgMar w:top="850" w:right="1587" w:bottom="850" w:left="1587" w:header="851" w:footer="992" w:gutter="0"/>
          <w:pgNumType w:start="3"/>
          <w:cols w:num="1" w:space="0"/>
          <w:titlePg w:val="0"/>
          <w:docGrid w:type="lines" w:linePitch="312" w:charSpace="0"/>
        </w:sectPr>
      </w:pPr>
    </w:p>
    <w:tbl>
      <w:tblPr>
        <w:tblStyle w:val="TableGrid1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班组长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1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top"/>
                </w:tcPr>
                <w:p>
                  <w:pPr>
                    <w:widowControl w:val="0"/>
                    <w:spacing w:after="0" w:line="300" w:lineRule="exact"/>
                    <w:jc w:val="both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可能遇到各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类突发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事故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严格落实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岗位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责任制，执行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国家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安全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生产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法律法规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规程措施。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做好风险管控，发现事故隐患立即处理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合理分工，责任到人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4.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严格质量，动态达标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班组长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1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遇突发事故，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确保安全的前提下第一时间处置。超出现场处置能力时，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有权行使紧急情况十项应急处置权，下达涉险区域停产撤人指令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及时向调度室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和区队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汇报井下事故情况及采取的措施。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指挥部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下达的命令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rPr>
          <w:rFonts w:ascii="黑体" w:eastAsia="黑体" w:hAnsi="黑体" w:hint="eastAsia"/>
          <w:b/>
          <w:bCs/>
          <w:sz w:val="24"/>
          <w:szCs w:val="30"/>
        </w:rPr>
      </w:pPr>
    </w:p>
    <w:tbl>
      <w:tblPr>
        <w:tblStyle w:val="TableGrid1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  <w:r>
              <w:rPr>
                <w:rFonts w:ascii="黑体" w:eastAsia="黑体" w:hAnsi="黑体"/>
                <w:b/>
                <w:bCs/>
                <w:sz w:val="24"/>
                <w:szCs w:val="30"/>
              </w:rPr>
              <w:br w:type="page"/>
            </w: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探放水工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1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51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透水、触电、机械伤害、物体打击、高处坠落、冒顶片帮、中毒和窒息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01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持证上岗，按规定穿戴劳保用品。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对有害气体、设备、顶板等检查到位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严格按规程措施作业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施工时发现水量变大、钻探松软或异常响声时，立即停止钻探，汇报处理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探放水工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1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险情较小，确保安全前提下，采取有效措施现场处置，并及时汇报调度室。</w:t>
                  </w:r>
                </w:p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险情超出现场应急处置能力，无法控制时，立即采取自救互救措施，按避灾路线避险。</w:t>
                  </w:r>
                </w:p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撤至安全地点后，迅速向调度室和区队汇报险情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命令。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rPr>
          <w:rFonts w:ascii="黑体" w:eastAsia="黑体" w:hAnsi="黑体" w:hint="eastAsia"/>
          <w:b/>
          <w:bCs/>
          <w:sz w:val="24"/>
          <w:szCs w:val="30"/>
        </w:rPr>
      </w:pPr>
    </w:p>
    <w:p>
      <w:pPr>
        <w:rPr>
          <w:rFonts w:ascii="黑体" w:eastAsia="黑体" w:hAnsi="黑体" w:hint="eastAsia"/>
          <w:b/>
          <w:bCs/>
          <w:sz w:val="24"/>
          <w:szCs w:val="30"/>
        </w:rPr>
      </w:pPr>
    </w:p>
    <w:p>
      <w:pPr>
        <w:rPr>
          <w:rFonts w:ascii="黑体" w:eastAsia="黑体" w:hAnsi="黑体" w:hint="eastAsia"/>
          <w:b/>
          <w:bCs/>
          <w:sz w:val="24"/>
          <w:szCs w:val="30"/>
        </w:rPr>
        <w:sectPr>
          <w:type w:val="nextPage"/>
          <w:pgSz w:w="11906" w:h="16838"/>
          <w:pgMar w:top="850" w:right="1587" w:bottom="850" w:left="1587" w:header="851" w:footer="992" w:gutter="0"/>
          <w:pgNumType w:start="4"/>
          <w:cols w:num="1" w:space="0"/>
          <w:titlePg w:val="0"/>
          <w:docGrid w:type="lines" w:linePitch="312" w:charSpace="0"/>
        </w:sectPr>
      </w:pPr>
    </w:p>
    <w:p>
      <w:pPr>
        <w:sectPr>
          <w:type w:val="nextPage"/>
          <w:pgSz w:w="11906" w:h="16838"/>
          <w:pgMar w:top="850" w:right="1587" w:bottom="850" w:left="1587" w:header="851" w:footer="992" w:gutter="0"/>
          <w:pgNumType w:start="5"/>
          <w:cols w:num="1" w:space="0"/>
          <w:titlePg w:val="0"/>
          <w:docGrid w:type="lines" w:linePitch="312" w:charSpace="0"/>
        </w:sectPr>
      </w:pPr>
    </w:p>
    <w:tbl>
      <w:tblPr>
        <w:tblStyle w:val="TableGrid2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测风测尘工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2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51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300" w:lineRule="exact"/>
                    <w:jc w:val="both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物体打击、冒顶片帮、中毒和窒息等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1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必须持证上岗。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按规定穿戴劳保用品。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作业期间注意观察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行走过程中注意安全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5.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按要求做好防尘措施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6.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严格遵守操作规程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测风测尘工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2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发现通风设施损坏，必须立即处理，无法处理时及时汇报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测风时发现无风、微风，立即通知区域内作业人员撤离，并及时处置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险情超出现场应急处置能力无法控制时，立即自救互救按避灾路线避险。</w:t>
                  </w:r>
                </w:p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撤至安全地点后，迅速向调度室和区队汇报险情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爆破员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2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51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放炮、火药爆炸、冒顶片帮、中毒和窒息等。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44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必须持证上岗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装药、连线、爆破等严格安装岗位操作规程作业，加强现场检查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严格执行一炮三检和三人连锁规定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4.严格执行火工品领退制度，按规定运送保管，施工地点火工品分箱加锁存放安全地点。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爆破员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2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2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险情可控时，保证安全的前提下，组织人员采取有效措施处置；险情超出现场应急处置能力无法控制时，立即自救互救按避灾路线避险。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2</w:t>
                  </w: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撤至安全地点后，设置警戒，并迅速向调度室和区队汇报险情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sectPr>
          <w:type w:val="nextPage"/>
          <w:pgSz w:w="11906" w:h="16838"/>
          <w:pgMar w:top="850" w:right="1587" w:bottom="850" w:left="1587" w:header="851" w:footer="992" w:gutter="0"/>
          <w:pgNumType w:start="6"/>
          <w:cols w:num="1" w:space="0"/>
          <w:titlePg w:val="0"/>
          <w:docGrid w:type="lines" w:linePitch="312" w:charSpace="0"/>
        </w:sectPr>
      </w:pPr>
    </w:p>
    <w:tbl>
      <w:tblPr>
        <w:tblStyle w:val="TableGrid3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爆破材料管理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3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火药爆炸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必须持证上岗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按照安全操作规程装卸爆炸物品，现场设置警戒，禁止无关人员进入。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3.严格出入库检查登记制度。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4.存储数量不超规定，专库专存。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5.严格值班值守，严禁无关人员进入库房，严禁存放违禁物品。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default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6.配置合格的灭火器材。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  <w:lang w:eastAsia="zh-CN"/>
              </w:rPr>
              <w:t>爆破材料管理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30"/>
              </w:rPr>
              <w:t>）岗位应急处置卡</w:t>
            </w:r>
          </w:p>
          <w:tbl>
            <w:tblPr>
              <w:tblStyle w:val="TableGrid3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火灾初期可控时，使用灭火器材灭火，同时转移附近爆破物品；火灾不可控时，立即撤离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井下爆破材料库发生火灾或爆炸，不可控时，立即撤离，迅速关闭防爆门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撤至安全地点后，迅速向调度室和安全科汇报险情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5.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18"/>
                <w:szCs w:val="18"/>
              </w:rPr>
            </w:pPr>
            <w:r>
              <w:rPr>
                <w:rFonts w:ascii="黑体" w:eastAsia="黑体" w:hAnsi="黑体" w:hint="eastAsia"/>
                <w:b/>
                <w:bCs/>
                <w:sz w:val="18"/>
                <w:szCs w:val="21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18"/>
                <w:szCs w:val="21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18"/>
                <w:szCs w:val="21"/>
                <w:lang w:eastAsia="zh-CN"/>
              </w:rPr>
              <w:t>防爆电气设备维修检查工</w:t>
            </w:r>
            <w:r>
              <w:rPr>
                <w:rFonts w:ascii="黑体" w:eastAsia="黑体" w:hAnsi="黑体" w:hint="eastAsia"/>
                <w:b/>
                <w:bCs/>
                <w:sz w:val="18"/>
                <w:szCs w:val="21"/>
              </w:rPr>
              <w:t>）岗位应急处置卡</w:t>
            </w:r>
          </w:p>
          <w:tbl>
            <w:tblPr>
              <w:tblStyle w:val="TableGrid3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触电、其他伤害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1.持证上岗，严格停送电制度。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2.按规范、标准操作，明确检修内容，备齐检修工具、材料、零部件。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3.在爆炸危险场所检修，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检查设备周围瓦斯浓度符合规定，使用防爆工具，并确保完好。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4.投入使用前，全面检查调试，爆炸恢复防爆性能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18"/>
                <w:szCs w:val="21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18"/>
                <w:szCs w:val="21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18"/>
                <w:szCs w:val="21"/>
                <w:lang w:eastAsia="zh-CN"/>
              </w:rPr>
              <w:t>防爆电气设备维修检查工</w:t>
            </w:r>
            <w:r>
              <w:rPr>
                <w:rFonts w:ascii="黑体" w:eastAsia="黑体" w:hAnsi="黑体" w:hint="eastAsia"/>
                <w:b/>
                <w:bCs/>
                <w:sz w:val="18"/>
                <w:szCs w:val="21"/>
              </w:rPr>
              <w:t>）岗位应急处置卡</w:t>
            </w:r>
          </w:p>
          <w:tbl>
            <w:tblPr>
              <w:tblStyle w:val="TableGrid3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发生触电后立即采取措施脱离电源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根据触电者伤势迅速采取急救措施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3.在采取急救措施的同时，尽快向调度室和区队汇报。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sectPr>
          <w:type w:val="nextPage"/>
          <w:pgSz w:w="11906" w:h="16838"/>
          <w:pgMar w:top="850" w:right="1587" w:bottom="850" w:left="1587" w:header="851" w:footer="992" w:gutter="0"/>
          <w:pgNumType w:start="7"/>
          <w:cols w:num="1" w:space="0"/>
          <w:titlePg w:val="0"/>
          <w:docGrid w:type="lines" w:linePitch="312" w:charSpace="0"/>
        </w:sectPr>
      </w:pPr>
    </w:p>
    <w:tbl>
      <w:tblPr>
        <w:tblStyle w:val="TableGrid4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采掘机械维修工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4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51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机械伤害、物体打击、触电、起重伤害、高处坠落、其他伤害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持证上岗，规范操作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检查顶帮等周围环境，确保安全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3.维修前，先停电闭锁。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维修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期间设备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起吊、搬运、拆卸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等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，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人员合理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站位，监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护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到位。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</w:pP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val="en-US" w:eastAsia="zh-CN"/>
                    </w:rPr>
                    <w:t>5.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开机前，人员撤至安全地点，确认无人工作时，方可送电试运转。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default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val="en-US" w:eastAsia="zh-CN"/>
                    </w:rPr>
                    <w:t>6.佩戴好防护用品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采掘机械维修工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4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触电或机械伤害，立即断电停机，使伤者尽快脱离危险区域；物体打击、起重伤害等立即停止工作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通过简易包扎、人工呼吸等方法，迅速进行自救互救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3.尽快向调度室和区队汇报。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装岩机、耙装机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4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51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机械伤害、触电、冒顶片帮、物体打击、其他伤害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持证上岗，规范操作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检查耙矸机各部件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、保护及固定情况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，确保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完好可靠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val="en-US" w:eastAsia="zh-CN"/>
                    </w:rPr>
                    <w:t>3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检查顶帮等周围环境，确保安全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设备运行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时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设置警戒，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机身两侧及前方严禁有人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5.停机后停电闭锁。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装岩机、耙装机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4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触电或机械伤害，立即断电停机，使伤者尽快脱离危险区域；物体打击、冒顶片帮伤害等立即停止工作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通过简易包扎、人工呼吸等方法，迅速进行自救互救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3.尽快向调度室和区队汇报。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sectPr>
          <w:type w:val="nextPage"/>
          <w:pgSz w:w="11906" w:h="16838"/>
          <w:pgMar w:top="850" w:right="1587" w:bottom="850" w:left="1587" w:header="851" w:footer="992" w:gutter="0"/>
          <w:pgNumType w:start="8"/>
          <w:cols w:num="1" w:space="0"/>
          <w:titlePg w:val="0"/>
          <w:docGrid w:type="lines" w:linePitch="312" w:charSpace="0"/>
        </w:sectPr>
      </w:pPr>
    </w:p>
    <w:tbl>
      <w:tblPr>
        <w:tblStyle w:val="TableGrid5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瓦斯检查工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5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51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中毒窒息、冒顶片帮、瓦斯爆炸、其他伤害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持证上岗，规范操作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便携仪器、光学瓦斯检查仪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  <w:lang w:eastAsia="zh-CN"/>
                    </w:rPr>
                    <w:t>等仪器、工具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完好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  <w:lang w:val="en-US" w:eastAsia="zh-CN"/>
                    </w:rPr>
                    <w:t>3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严禁漏检、假检、记录不完善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进入工作地点对周边环境检查到位。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FF0000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5.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熟知瓦斯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  <w:lang w:eastAsia="zh-CN"/>
                    </w:rPr>
                    <w:t>等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事故预兆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  <w:lang w:eastAsia="zh-CN"/>
                    </w:rPr>
                    <w:t>知识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瓦斯检查工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5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FF0000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熟知瓦斯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等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</w:rPr>
                    <w:t>事故预兆，发生危险及时撤离</w:t>
                  </w:r>
                  <w:r>
                    <w:rPr>
                      <w:rFonts w:ascii="黑体" w:eastAsia="黑体" w:hAnsi="黑体" w:cs="黑体" w:hint="eastAsia"/>
                      <w:sz w:val="20"/>
                      <w:szCs w:val="20"/>
                      <w:lang w:eastAsia="zh-CN"/>
                    </w:rPr>
                    <w:t>；遇险积极自救呼救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瓦斯浓度超限，有权行使紧急情况十项应急处置权，下达涉险区域停产撤人指令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3.撤至安全地点后，迅速向调度室和区队汇报。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4.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sectPr>
          <w:type w:val="nextPage"/>
          <w:pgSz w:w="11906" w:h="16838"/>
          <w:pgMar w:top="850" w:right="1587" w:bottom="850" w:left="1587" w:header="851" w:footer="992" w:gutter="0"/>
          <w:pgNumType w:start="9"/>
          <w:cols w:num="1" w:space="0"/>
          <w:titlePg w:val="0"/>
          <w:docGrid w:type="lines" w:linePitch="312" w:charSpace="0"/>
        </w:sectPr>
      </w:pPr>
    </w:p>
    <w:tbl>
      <w:tblPr>
        <w:tblStyle w:val="TableGrid6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主通风机司机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6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电气火灾、其他伤害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持证上岗，规范操作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加强主通风机及附属设施巡检，发现隐患和问题及时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  <w:lang w:eastAsia="zh-CN"/>
                    </w:rPr>
                    <w:t>汇报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整改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  <w:lang w:val="en-US" w:eastAsia="zh-CN"/>
                    </w:rPr>
                    <w:t>3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.主通风机房应储备足量的抢险救灾物资，严禁挪用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熟知主通风机切换流程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主通风机司机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6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突然停机等异常情况，立即汇报区队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主通风机停机后不能正常启动，立即汇报调度室和区队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3.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主通风机发生故障停机、备机必须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10分钟内启动。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4.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rPr>
          <w:rFonts w:ascii="黑体" w:eastAsia="黑体" w:hAnsi="黑体"/>
          <w:b/>
          <w:bCs/>
          <w:sz w:val="24"/>
          <w:szCs w:val="30"/>
        </w:rPr>
      </w:pPr>
    </w:p>
    <w:tbl>
      <w:tblPr>
        <w:tblStyle w:val="TableGrid6"/>
        <w:tblW w:w="49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3"/>
      </w:tblGrid>
      <w:tr>
        <w:tblPrEx>
          <w:tblW w:w="4983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变配电工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6"/>
              <w:tblW w:w="482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3765"/>
            </w:tblGrid>
            <w:tr>
              <w:tblPrEx>
                <w:tblW w:w="4821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hRule="exact" w:val="51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岗位风险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触电、其他伤害</w:t>
                  </w:r>
                </w:p>
              </w:tc>
            </w:tr>
            <w:tr>
              <w:tblPrEx>
                <w:tblW w:w="4821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管控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5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eastAsia="zh-CN"/>
                    </w:rPr>
                    <w:t>持证上岗，规范操作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color w:val="auto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穿戴合格的绝缘用具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  <w:lang w:val="en-US" w:eastAsia="zh-CN"/>
                    </w:rPr>
                    <w:t>3</w:t>
                  </w:r>
                  <w:r>
                    <w:rPr>
                      <w:rFonts w:ascii="黑体" w:eastAsia="黑体" w:hAnsi="黑体" w:cs="黑体" w:hint="eastAsia"/>
                      <w:color w:val="auto"/>
                      <w:sz w:val="20"/>
                      <w:szCs w:val="20"/>
                    </w:rPr>
                    <w:t>.定期检查电气设备，发现问题及时处理</w:t>
                  </w: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default"/>
                      <w:color w:val="auto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color w:val="auto"/>
                      <w:sz w:val="20"/>
                      <w:szCs w:val="21"/>
                      <w:lang w:val="en-US" w:eastAsia="zh-CN"/>
                    </w:rPr>
                    <w:t>4.保持防误操作连锁完好；开关柜门正常关闭切闭锁；警示牌正确悬挂。</w:t>
                  </w:r>
                </w:p>
              </w:tc>
            </w:tr>
          </w:tbl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</w:p>
        </w:tc>
      </w:tr>
      <w:tr>
        <w:tblPrEx>
          <w:tblW w:w="498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/>
          <w:jc w:val="center"/>
        </w:trPr>
        <w:tc>
          <w:tcPr>
            <w:tcW w:w="4983" w:type="dxa"/>
          </w:tcPr>
          <w:p>
            <w:pPr>
              <w:widowControl w:val="0"/>
              <w:jc w:val="both"/>
              <w:rPr>
                <w:rFonts w:ascii="楷体" w:eastAsia="楷体" w:hAnsi="楷体"/>
                <w:b/>
                <w:sz w:val="16"/>
              </w:rPr>
            </w:pPr>
          </w:p>
          <w:p>
            <w:pPr>
              <w:widowControl w:val="0"/>
              <w:jc w:val="center"/>
              <w:rPr>
                <w:rFonts w:ascii="黑体" w:eastAsia="黑体" w:hAnsi="黑体" w:cs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**煤矿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（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  <w:lang w:eastAsia="zh-CN"/>
              </w:rPr>
              <w:t>变配电工</w:t>
            </w:r>
            <w:r>
              <w:rPr>
                <w:rFonts w:ascii="黑体" w:eastAsia="黑体" w:hAnsi="黑体" w:hint="eastAsia"/>
                <w:b/>
                <w:bCs/>
                <w:sz w:val="22"/>
                <w:szCs w:val="28"/>
              </w:rPr>
              <w:t>）岗位应急处置卡</w:t>
            </w:r>
          </w:p>
          <w:tbl>
            <w:tblPr>
              <w:tblStyle w:val="TableGrid6"/>
              <w:tblW w:w="48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6"/>
              <w:gridCol w:w="624"/>
              <w:gridCol w:w="624"/>
              <w:gridCol w:w="624"/>
              <w:gridCol w:w="1892"/>
            </w:tblGrid>
            <w:tr>
              <w:tblPrEx>
                <w:tblW w:w="4820" w:type="dxa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75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应急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措施</w:t>
                  </w:r>
                </w:p>
              </w:tc>
              <w:tc>
                <w:tcPr>
                  <w:tcW w:w="3764" w:type="dxa"/>
                  <w:gridSpan w:val="4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1.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发生触电后立即采取措施让触电者脱离电源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/>
                      <w:sz w:val="20"/>
                      <w:szCs w:val="21"/>
                    </w:rPr>
                    <w:t>2.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根据触电者伤势迅速采取急救措施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3.在采取急救措施的同时，尽快向调度室和区队汇报。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4.发生突发停电等异常事故，按程序处置，并及时汇报区队。</w:t>
                  </w:r>
                </w:p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5.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严格执行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下达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的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命令</w:t>
                  </w: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。</w:t>
                  </w:r>
                </w:p>
              </w:tc>
            </w:tr>
            <w:tr>
              <w:tblPrEx>
                <w:tblW w:w="4820" w:type="dxa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1056" w:type="dxa"/>
                  <w:vAlign w:val="center"/>
                </w:tcPr>
                <w:p>
                  <w:pPr>
                    <w:widowControl w:val="0"/>
                    <w:spacing w:after="0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  <w:t>应急电话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调度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624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left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Times New Roman" w:hint="eastAsia"/>
                      <w:sz w:val="20"/>
                      <w:szCs w:val="21"/>
                      <w:lang w:eastAsia="zh-CN"/>
                    </w:rPr>
                    <w:t>行政</w:t>
                  </w:r>
                </w:p>
              </w:tc>
              <w:tc>
                <w:tcPr>
                  <w:tcW w:w="1892" w:type="dxa"/>
                  <w:vAlign w:val="center"/>
                </w:tcPr>
                <w:p>
                  <w:pPr>
                    <w:widowControl w:val="0"/>
                    <w:spacing w:after="0" w:line="240" w:lineRule="exact"/>
                    <w:jc w:val="center"/>
                    <w:rPr>
                      <w:rFonts w:ascii="黑体" w:eastAsia="黑体" w:hAnsi="黑体" w:cs="Times New Roman" w:hint="eastAsia"/>
                      <w:sz w:val="20"/>
                      <w:szCs w:val="21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sz w:val="20"/>
                      <w:szCs w:val="21"/>
                      <w:lang w:eastAsia="zh-CN"/>
                    </w:rPr>
                    <w:t>****</w:t>
                  </w:r>
                </w:p>
              </w:tc>
            </w:tr>
          </w:tbl>
          <w:p>
            <w:pPr>
              <w:widowControl w:val="0"/>
              <w:jc w:val="both"/>
            </w:pPr>
          </w:p>
        </w:tc>
      </w:tr>
    </w:tbl>
    <w:p>
      <w:pPr>
        <w:rPr>
          <w:rFonts w:ascii="黑体" w:eastAsia="黑体" w:hAnsi="黑体"/>
          <w:b/>
          <w:bCs/>
          <w:sz w:val="24"/>
          <w:szCs w:val="30"/>
        </w:rPr>
      </w:pPr>
      <w:r>
        <w:rPr>
          <w:rFonts w:ascii="黑体" w:eastAsia="黑体" w:hAnsi="黑体"/>
          <w:b/>
          <w:bCs/>
          <w:sz w:val="24"/>
          <w:szCs w:val="30"/>
        </w:rPr>
        <w:br/>
      </w:r>
      <w:r>
        <w:rPr>
          <w:rFonts w:ascii="黑体" w:eastAsia="黑体" w:hAnsi="黑体"/>
          <w:b/>
          <w:bCs/>
          <w:sz w:val="24"/>
          <w:szCs w:val="30"/>
        </w:rPr>
        <w:br/>
      </w:r>
    </w:p>
    <w:p>
      <w:pPr>
        <w:adjustRightInd/>
        <w:snapToGrid/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https://d.book118.com/058073045050006037</w:t>
        </w:r>
      </w:hyperlink>
    </w:p>
    <w:p>
      <w:pPr>
        <w:rPr>
          <w:rFonts w:ascii="黑体" w:eastAsia="黑体" w:hAnsi="黑体"/>
          <w:b/>
          <w:bCs/>
          <w:sz w:val="24"/>
          <w:szCs w:val="30"/>
        </w:rPr>
      </w:pPr>
    </w:p>
    <w:sectPr>
      <w:type w:val="nextPage"/>
      <w:pgSz w:w="11906" w:h="16838"/>
      <w:pgMar w:top="850" w:right="1587" w:bottom="850" w:left="1587" w:header="851" w:footer="992" w:gutter="0"/>
      <w:pgNumType w:start="10"/>
      <w:cols w:num="1" w:space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1115BC"/>
    <w:rsid w:val="001946E6"/>
    <w:rsid w:val="002667AA"/>
    <w:rsid w:val="00323B43"/>
    <w:rsid w:val="003C09C9"/>
    <w:rsid w:val="003D37D8"/>
    <w:rsid w:val="00410A2A"/>
    <w:rsid w:val="00426133"/>
    <w:rsid w:val="004358AB"/>
    <w:rsid w:val="005947CB"/>
    <w:rsid w:val="00595964"/>
    <w:rsid w:val="006B150A"/>
    <w:rsid w:val="006B569B"/>
    <w:rsid w:val="00735A58"/>
    <w:rsid w:val="00772EFC"/>
    <w:rsid w:val="00783718"/>
    <w:rsid w:val="007E04BB"/>
    <w:rsid w:val="008B7726"/>
    <w:rsid w:val="00915DD2"/>
    <w:rsid w:val="009B5AB8"/>
    <w:rsid w:val="00AA3207"/>
    <w:rsid w:val="00B456C3"/>
    <w:rsid w:val="00B512EE"/>
    <w:rsid w:val="00C2565C"/>
    <w:rsid w:val="00C45C47"/>
    <w:rsid w:val="00CC5E1F"/>
    <w:rsid w:val="00CF31A0"/>
    <w:rsid w:val="00D31D50"/>
    <w:rsid w:val="00DD78CF"/>
    <w:rsid w:val="00DE4F40"/>
    <w:rsid w:val="00E95B33"/>
    <w:rsid w:val="00F2777C"/>
    <w:rsid w:val="01F90E27"/>
    <w:rsid w:val="025E6641"/>
    <w:rsid w:val="02743640"/>
    <w:rsid w:val="03601D12"/>
    <w:rsid w:val="03C52BEB"/>
    <w:rsid w:val="03D34CA1"/>
    <w:rsid w:val="042E216F"/>
    <w:rsid w:val="04436715"/>
    <w:rsid w:val="04E651FB"/>
    <w:rsid w:val="050238D6"/>
    <w:rsid w:val="057808DF"/>
    <w:rsid w:val="07377307"/>
    <w:rsid w:val="07CA2E00"/>
    <w:rsid w:val="0A6F6577"/>
    <w:rsid w:val="0DDE1371"/>
    <w:rsid w:val="0F822BE0"/>
    <w:rsid w:val="0F955851"/>
    <w:rsid w:val="0F967CB3"/>
    <w:rsid w:val="10845B93"/>
    <w:rsid w:val="114502D3"/>
    <w:rsid w:val="11B036FF"/>
    <w:rsid w:val="13DA60AA"/>
    <w:rsid w:val="151B3FA9"/>
    <w:rsid w:val="160F337F"/>
    <w:rsid w:val="161707C0"/>
    <w:rsid w:val="17E7752C"/>
    <w:rsid w:val="19746CD1"/>
    <w:rsid w:val="1A2F5822"/>
    <w:rsid w:val="1A36784A"/>
    <w:rsid w:val="1CED1C93"/>
    <w:rsid w:val="1D77325B"/>
    <w:rsid w:val="1D9D614C"/>
    <w:rsid w:val="1E1213B1"/>
    <w:rsid w:val="1E517495"/>
    <w:rsid w:val="1EE70B1D"/>
    <w:rsid w:val="2084545E"/>
    <w:rsid w:val="22BA2DBF"/>
    <w:rsid w:val="239506CA"/>
    <w:rsid w:val="24E67188"/>
    <w:rsid w:val="26223C7C"/>
    <w:rsid w:val="26CF7EAF"/>
    <w:rsid w:val="280B47BE"/>
    <w:rsid w:val="29103E8E"/>
    <w:rsid w:val="297A4C89"/>
    <w:rsid w:val="2B15211E"/>
    <w:rsid w:val="2ED620EE"/>
    <w:rsid w:val="2EF67A8F"/>
    <w:rsid w:val="2FAB4D84"/>
    <w:rsid w:val="31361254"/>
    <w:rsid w:val="324167B4"/>
    <w:rsid w:val="32631E85"/>
    <w:rsid w:val="32F26CA9"/>
    <w:rsid w:val="35AC5107"/>
    <w:rsid w:val="373253C4"/>
    <w:rsid w:val="37A21681"/>
    <w:rsid w:val="393367FF"/>
    <w:rsid w:val="39A551D5"/>
    <w:rsid w:val="39DE433D"/>
    <w:rsid w:val="3B256E2D"/>
    <w:rsid w:val="3B3E6803"/>
    <w:rsid w:val="3B6F4C0F"/>
    <w:rsid w:val="3CB905B0"/>
    <w:rsid w:val="3CE82576"/>
    <w:rsid w:val="3D1C1018"/>
    <w:rsid w:val="3D727023"/>
    <w:rsid w:val="3D825DA5"/>
    <w:rsid w:val="3E4478AB"/>
    <w:rsid w:val="3E661242"/>
    <w:rsid w:val="3F3A5000"/>
    <w:rsid w:val="3F68076D"/>
    <w:rsid w:val="3F6E64A8"/>
    <w:rsid w:val="40D07BE2"/>
    <w:rsid w:val="42655249"/>
    <w:rsid w:val="4439659E"/>
    <w:rsid w:val="4B6E40A3"/>
    <w:rsid w:val="4BA7392D"/>
    <w:rsid w:val="4FEC1762"/>
    <w:rsid w:val="510C3AFE"/>
    <w:rsid w:val="52144686"/>
    <w:rsid w:val="52397355"/>
    <w:rsid w:val="524D3E5C"/>
    <w:rsid w:val="529514B5"/>
    <w:rsid w:val="52DD1EC4"/>
    <w:rsid w:val="536372D1"/>
    <w:rsid w:val="53C02EDA"/>
    <w:rsid w:val="542979B6"/>
    <w:rsid w:val="548E2662"/>
    <w:rsid w:val="57A0074D"/>
    <w:rsid w:val="57EF1D80"/>
    <w:rsid w:val="580553FD"/>
    <w:rsid w:val="591B7CD5"/>
    <w:rsid w:val="59A6610F"/>
    <w:rsid w:val="59BC238B"/>
    <w:rsid w:val="5A35454F"/>
    <w:rsid w:val="5B5D1D3D"/>
    <w:rsid w:val="5CBC07F6"/>
    <w:rsid w:val="5CCD46B0"/>
    <w:rsid w:val="5D9E03E7"/>
    <w:rsid w:val="5DD04990"/>
    <w:rsid w:val="5DD06CBC"/>
    <w:rsid w:val="600E1F90"/>
    <w:rsid w:val="60B71D43"/>
    <w:rsid w:val="62544EB9"/>
    <w:rsid w:val="62E31B76"/>
    <w:rsid w:val="641F43FF"/>
    <w:rsid w:val="64502A43"/>
    <w:rsid w:val="64C442C1"/>
    <w:rsid w:val="64C954A1"/>
    <w:rsid w:val="659B79AF"/>
    <w:rsid w:val="65C51D61"/>
    <w:rsid w:val="66ED48D4"/>
    <w:rsid w:val="69064C5E"/>
    <w:rsid w:val="6928482D"/>
    <w:rsid w:val="69F45B7B"/>
    <w:rsid w:val="6B0F3907"/>
    <w:rsid w:val="6DB63AE1"/>
    <w:rsid w:val="6E402AE0"/>
    <w:rsid w:val="6EA54747"/>
    <w:rsid w:val="720D7323"/>
    <w:rsid w:val="72CA7CDF"/>
    <w:rsid w:val="74690B3F"/>
    <w:rsid w:val="74CF1D5A"/>
    <w:rsid w:val="74E965EA"/>
    <w:rsid w:val="761321DD"/>
    <w:rsid w:val="76261D92"/>
    <w:rsid w:val="765A73A2"/>
    <w:rsid w:val="76D60049"/>
    <w:rsid w:val="7B907C6E"/>
    <w:rsid w:val="7EC64351"/>
  </w:rsids>
  <w:docVars>
    <w:docVar w:name="commondata" w:val="eyJoZGlkIjoiZWZkZWFhZTMwMWJkNDExNDgwMTRlMzVlMjg1MDI4OT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adjustRightInd w:val="0"/>
      <w:snapToGrid w:val="0"/>
      <w:spacing w:after="200" w:line="240" w:lineRule="auto"/>
    </w:pPr>
    <w:rPr>
      <w:rFonts w:ascii="Tahoma" w:eastAsia="微软雅黑" w:hAnsi="Tahoma" w:cstheme="minorBidi"/>
      <w:sz w:val="22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"/>
    <w:uiPriority w:val="99"/>
    <w:semiHidden/>
    <w:unhideWhenUsed/>
    <w:qFormat/>
    <w:pPr>
      <w:ind w:left="100" w:leftChars="2500"/>
    </w:pPr>
  </w:style>
  <w:style w:type="table" w:styleId="TableGrid">
    <w:name w:val="Table Grid"/>
    <w:basedOn w:val="TableNormal"/>
    <w:qFormat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Normal"/>
    <w:qFormat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Char">
    <w:name w:val="日期 Char"/>
    <w:basedOn w:val="DefaultParagraphFont"/>
    <w:link w:val="Date"/>
    <w:uiPriority w:val="99"/>
    <w:semiHidden/>
    <w:qFormat/>
    <w:rPr>
      <w:rFonts w:ascii="Tahoma" w:hAnsi="Tahoma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807304505000603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11322</Words>
  <Characters>12150</Characters>
  <Application>Microsoft Office Word</Application>
  <DocSecurity>0</DocSecurity>
  <Lines>135</Lines>
  <Paragraphs>38</Paragraphs>
  <ScaleCrop>false</ScaleCrop>
  <Company/>
  <LinksUpToDate>false</LinksUpToDate>
  <CharactersWithSpaces>12154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阁子</cp:lastModifiedBy>
  <cp:revision>21</cp:revision>
  <cp:lastPrinted>2022-05-30T13:54:00Z</cp:lastPrinted>
  <dcterms:created xsi:type="dcterms:W3CDTF">2008-09-11T17:20:00Z</dcterms:created>
  <dcterms:modified xsi:type="dcterms:W3CDTF">2022-09-12T05:37:52Z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66E90B6B286D43A0B47910F0EC0E0E82</vt:lpwstr>
  </property>
  <property fmtid="{D5CDD505-2E9C-101B-9397-08002B2CF9AE}" pid="3" name="KSOProductBuildVer">
    <vt:lpwstr>2052-11.1.0.12358</vt:lpwstr>
  </property>
</Properties>
</file>