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1" w:lineRule="auto"/>
        <w:rPr>
          <w:rFonts w:ascii="Arial"/>
          <w:sz w:val="21"/>
        </w:rPr>
      </w:pPr>
    </w:p>
    <w:p>
      <w:pPr>
        <w:spacing w:before="101" w:line="224" w:lineRule="auto"/>
        <w:ind w:left="197"/>
        <w:outlineLvl w:val="0"/>
        <w:rPr>
          <w:rFonts w:ascii="SimHei" w:eastAsia="SimHei" w:hAnsi="SimHei" w:cs="SimHei"/>
          <w:sz w:val="31"/>
          <w:szCs w:val="31"/>
        </w:rPr>
      </w:pPr>
      <w:r>
        <w:rPr>
          <w:rFonts w:ascii="SimHei" w:eastAsia="SimHei" w:hAnsi="SimHei" w:cs="SimHei"/>
          <w:spacing w:val="9"/>
          <w:sz w:val="31"/>
          <w:szCs w:val="31"/>
        </w:rPr>
        <w:t>土壤重金属</w:t>
      </w:r>
      <w:r>
        <w:rPr>
          <w:rFonts w:ascii="SimHei" w:eastAsia="SimHei" w:hAnsi="SimHei" w:cs="SimHei"/>
          <w:spacing w:val="9"/>
          <w:sz w:val="31"/>
          <w:szCs w:val="31"/>
        </w:rPr>
        <w:t xml:space="preserve"> </w:t>
      </w:r>
      <w:r>
        <w:rPr>
          <w:rFonts w:ascii="SimHei" w:eastAsia="SimHei" w:hAnsi="SimHei" w:cs="SimHei"/>
          <w:spacing w:val="9"/>
          <w:sz w:val="31"/>
          <w:szCs w:val="31"/>
        </w:rPr>
        <w:t>便携式</w:t>
      </w:r>
      <w:r>
        <w:rPr>
          <w:rFonts w:ascii="SimHei" w:eastAsia="SimHei" w:hAnsi="SimHei" w:cs="SimHei"/>
          <w:spacing w:val="-71"/>
          <w:sz w:val="31"/>
          <w:szCs w:val="31"/>
        </w:rPr>
        <w:t xml:space="preserve"> </w:t>
      </w:r>
      <w:r>
        <w:rPr>
          <w:rFonts w:ascii="Times New Roman" w:eastAsia="Times New Roman" w:hAnsi="Times New Roman" w:cs="Times New Roman"/>
          <w:sz w:val="31"/>
          <w:szCs w:val="31"/>
        </w:rPr>
        <w:t>XRF</w:t>
      </w:r>
      <w:r>
        <w:rPr>
          <w:rFonts w:ascii="Times New Roman" w:eastAsia="Times New Roman" w:hAnsi="Times New Roman" w:cs="Times New Roman"/>
          <w:spacing w:val="9"/>
          <w:sz w:val="31"/>
          <w:szCs w:val="31"/>
        </w:rPr>
        <w:t xml:space="preserve"> </w:t>
      </w:r>
      <w:r>
        <w:rPr>
          <w:rFonts w:ascii="SimHei" w:eastAsia="SimHei" w:hAnsi="SimHei" w:cs="SimHei"/>
          <w:spacing w:val="9"/>
          <w:sz w:val="31"/>
          <w:szCs w:val="31"/>
        </w:rPr>
        <w:t>检测仪技术要求和现场</w:t>
      </w:r>
      <w:r>
        <w:rPr>
          <w:rFonts w:ascii="SimHei" w:eastAsia="SimHei" w:hAnsi="SimHei" w:cs="SimHei"/>
          <w:spacing w:val="8"/>
          <w:sz w:val="31"/>
          <w:szCs w:val="31"/>
        </w:rPr>
        <w:t>应用方法</w:t>
      </w:r>
    </w:p>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before="68" w:line="221" w:lineRule="auto"/>
        <w:ind w:left="36"/>
        <w:rPr>
          <w:rFonts w:ascii="SimHei" w:eastAsia="SimHei" w:hAnsi="SimHei" w:cs="SimHei"/>
          <w:sz w:val="21"/>
          <w:szCs w:val="21"/>
        </w:rPr>
      </w:pPr>
      <w:r>
        <w:rPr>
          <w:rFonts w:ascii="Times New Roman" w:eastAsia="Times New Roman" w:hAnsi="Times New Roman" w:cs="Times New Roman"/>
          <w:spacing w:val="-10"/>
          <w:sz w:val="21"/>
          <w:szCs w:val="21"/>
        </w:rPr>
        <w:t>1</w:t>
      </w:r>
      <w:r>
        <w:rPr>
          <w:rFonts w:ascii="Times New Roman" w:eastAsia="Times New Roman" w:hAnsi="Times New Roman" w:cs="Times New Roman"/>
          <w:spacing w:val="3"/>
          <w:sz w:val="21"/>
          <w:szCs w:val="21"/>
        </w:rPr>
        <w:t xml:space="preserve">    </w:t>
      </w:r>
      <w:r>
        <w:rPr>
          <w:rFonts w:ascii="SimHei" w:eastAsia="SimHei" w:hAnsi="SimHei" w:cs="SimHei"/>
          <w:spacing w:val="-10"/>
          <w:sz w:val="21"/>
          <w:szCs w:val="21"/>
        </w:rPr>
        <w:t>范围</w:t>
      </w:r>
    </w:p>
    <w:p>
      <w:pPr>
        <w:spacing w:line="378" w:lineRule="auto"/>
        <w:rPr>
          <w:rFonts w:ascii="Arial"/>
          <w:sz w:val="21"/>
        </w:rPr>
      </w:pPr>
    </w:p>
    <w:p>
      <w:pPr>
        <w:pStyle w:val="BodyText"/>
        <w:spacing w:before="68" w:line="468" w:lineRule="exact"/>
        <w:ind w:right="3"/>
        <w:jc w:val="right"/>
      </w:pPr>
      <w:r>
        <w:rPr>
          <w:position w:val="19"/>
        </w:rPr>
        <w:t>本标准规定了土壤重金属便携式</w:t>
      </w:r>
      <w:r>
        <w:rPr>
          <w:spacing w:val="-28"/>
          <w:position w:val="19"/>
        </w:rPr>
        <w:t xml:space="preserve"> </w:t>
      </w:r>
      <w:r>
        <w:rPr>
          <w:rFonts w:ascii="Times New Roman" w:eastAsia="Times New Roman" w:hAnsi="Times New Roman" w:cs="Times New Roman"/>
          <w:position w:val="19"/>
        </w:rPr>
        <w:t xml:space="preserve">XRF </w:t>
      </w:r>
      <w:r>
        <w:rPr>
          <w:position w:val="19"/>
        </w:rPr>
        <w:t>检测仪的组成结构、技术要求、性能指标、检测</w:t>
      </w:r>
    </w:p>
    <w:p>
      <w:pPr>
        <w:pStyle w:val="BodyText"/>
        <w:spacing w:line="221" w:lineRule="auto"/>
        <w:ind w:left="21"/>
      </w:pPr>
      <w:r>
        <w:rPr>
          <w:spacing w:val="-1"/>
        </w:rPr>
        <w:t>和现场应用方法。</w:t>
      </w:r>
    </w:p>
    <w:p>
      <w:pPr>
        <w:pStyle w:val="BodyText"/>
        <w:spacing w:before="217" w:line="468" w:lineRule="exact"/>
        <w:ind w:right="3"/>
        <w:jc w:val="right"/>
      </w:pPr>
      <w:r>
        <w:rPr>
          <w:spacing w:val="-4"/>
          <w:position w:val="19"/>
        </w:rPr>
        <w:t>本标准适用土壤中镍、铜、锌、铅、砷、</w:t>
      </w:r>
      <w:r>
        <w:rPr>
          <w:spacing w:val="52"/>
          <w:position w:val="19"/>
        </w:rPr>
        <w:t xml:space="preserve"> </w:t>
      </w:r>
      <w:r>
        <w:rPr>
          <w:spacing w:val="-4"/>
          <w:position w:val="19"/>
        </w:rPr>
        <w:t>汞、铬、镉等重金属便携式</w:t>
      </w:r>
      <w:r>
        <w:rPr>
          <w:spacing w:val="-29"/>
          <w:position w:val="19"/>
        </w:rPr>
        <w:t xml:space="preserve"> </w:t>
      </w:r>
      <w:r>
        <w:rPr>
          <w:rFonts w:ascii="Times New Roman" w:eastAsia="Times New Roman" w:hAnsi="Times New Roman" w:cs="Times New Roman"/>
          <w:spacing w:val="-4"/>
          <w:position w:val="19"/>
        </w:rPr>
        <w:t xml:space="preserve">XRF </w:t>
      </w:r>
      <w:r>
        <w:rPr>
          <w:spacing w:val="-4"/>
          <w:position w:val="19"/>
        </w:rPr>
        <w:t>检测仪的设</w:t>
      </w:r>
    </w:p>
    <w:p>
      <w:pPr>
        <w:pStyle w:val="BodyText"/>
        <w:spacing w:line="220" w:lineRule="auto"/>
        <w:ind w:left="20"/>
      </w:pPr>
      <w:r>
        <w:rPr>
          <w:spacing w:val="-1"/>
        </w:rPr>
        <w:t>计、生产和现场检测应用。</w:t>
      </w:r>
    </w:p>
    <w:p>
      <w:pPr>
        <w:spacing w:line="381" w:lineRule="auto"/>
        <w:rPr>
          <w:rFonts w:ascii="Arial"/>
          <w:sz w:val="21"/>
        </w:rPr>
      </w:pPr>
    </w:p>
    <w:p>
      <w:pPr>
        <w:spacing w:before="69" w:line="220" w:lineRule="auto"/>
        <w:ind w:left="16"/>
        <w:rPr>
          <w:rFonts w:ascii="SimHei" w:eastAsia="SimHei" w:hAnsi="SimHei" w:cs="SimHei"/>
          <w:sz w:val="21"/>
          <w:szCs w:val="21"/>
        </w:rPr>
      </w:pPr>
      <w:r>
        <w:rPr>
          <w:rFonts w:ascii="Times New Roman" w:eastAsia="Times New Roman" w:hAnsi="Times New Roman" w:cs="Times New Roman"/>
          <w:spacing w:val="-1"/>
          <w:sz w:val="21"/>
          <w:szCs w:val="21"/>
        </w:rPr>
        <w:t xml:space="preserve">2    </w:t>
      </w:r>
      <w:r>
        <w:rPr>
          <w:rFonts w:ascii="SimHei" w:eastAsia="SimHei" w:hAnsi="SimHei" w:cs="SimHei"/>
          <w:spacing w:val="-1"/>
          <w:sz w:val="21"/>
          <w:szCs w:val="21"/>
        </w:rPr>
        <w:t>规范性引用文件</w:t>
      </w:r>
    </w:p>
    <w:p>
      <w:pPr>
        <w:spacing w:line="381" w:lineRule="auto"/>
        <w:rPr>
          <w:rFonts w:ascii="Arial"/>
          <w:sz w:val="21"/>
        </w:rPr>
      </w:pPr>
    </w:p>
    <w:p>
      <w:pPr>
        <w:pStyle w:val="BodyText"/>
        <w:spacing w:before="68" w:line="411" w:lineRule="auto"/>
        <w:ind w:left="37" w:right="8" w:firstLine="409"/>
        <w:jc w:val="both"/>
      </w:pPr>
      <w:r>
        <w:rPr>
          <w:spacing w:val="3"/>
        </w:rPr>
        <w:t>下列文件中的内容通过文中的规范性引用而构成本文件必不可少的条款。其中</w:t>
      </w:r>
      <w:r>
        <w:rPr>
          <w:spacing w:val="2"/>
        </w:rPr>
        <w:t>注日期</w:t>
      </w:r>
      <w:r>
        <w:t xml:space="preserve"> </w:t>
      </w:r>
      <w:r>
        <w:t>的引用文件，仅该日期对应的版本适用于本文件； 不注日期的引用文件</w:t>
      </w:r>
      <w:r>
        <w:rPr>
          <w:spacing w:val="-1"/>
        </w:rPr>
        <w:t>，其最新版本（包</w:t>
      </w:r>
    </w:p>
    <w:p>
      <w:pPr>
        <w:pStyle w:val="BodyText"/>
        <w:spacing w:before="1" w:line="219" w:lineRule="auto"/>
        <w:ind w:left="20"/>
      </w:pPr>
      <w:r>
        <w:rPr>
          <w:spacing w:val="-1"/>
        </w:rPr>
        <w:t>括所有的修改单）适用于本文件。</w:t>
      </w:r>
    </w:p>
    <w:p>
      <w:pPr>
        <w:spacing w:line="219" w:lineRule="exact"/>
      </w:pPr>
    </w:p>
    <w:tbl>
      <w:tblPr>
        <w:tblStyle w:val="TableNormal"/>
        <w:tblW w:w="6345" w:type="dxa"/>
        <w:tblInd w:w="435" w:type="dxa"/>
        <w:tblBorders>
          <w:top w:val="nil"/>
          <w:left w:val="nil"/>
          <w:bottom w:val="nil"/>
          <w:right w:val="nil"/>
          <w:insideH w:val="nil"/>
          <w:insideV w:val="nil"/>
        </w:tblBorders>
        <w:tblLayout w:type="fixed"/>
      </w:tblPr>
      <w:tblGrid>
        <w:gridCol w:w="1703"/>
        <w:gridCol w:w="4642"/>
      </w:tblGrid>
      <w:tr>
        <w:tblPrEx>
          <w:tblW w:w="6345" w:type="dxa"/>
          <w:tblInd w:w="435" w:type="dxa"/>
          <w:tblBorders>
            <w:top w:val="nil"/>
            <w:left w:val="nil"/>
            <w:bottom w:val="nil"/>
            <w:right w:val="nil"/>
            <w:insideH w:val="nil"/>
            <w:insideV w:val="nil"/>
          </w:tblBorders>
          <w:tblLayout w:type="fixed"/>
        </w:tblPrEx>
        <w:trPr>
          <w:trHeight w:val="339"/>
        </w:trPr>
        <w:tc>
          <w:tcPr>
            <w:tcW w:w="1703" w:type="dxa"/>
            <w:vAlign w:val="top"/>
          </w:tcPr>
          <w:p>
            <w:pPr>
              <w:spacing w:before="38" w:line="187" w:lineRule="auto"/>
              <w:ind w:left="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GB15618-2018</w:t>
            </w:r>
          </w:p>
        </w:tc>
        <w:tc>
          <w:tcPr>
            <w:tcW w:w="4642" w:type="dxa"/>
            <w:vAlign w:val="top"/>
          </w:tcPr>
          <w:p>
            <w:pPr>
              <w:spacing w:line="220" w:lineRule="auto"/>
              <w:ind w:left="398"/>
              <w:rPr>
                <w:rFonts w:ascii="SimSun" w:eastAsia="SimSun" w:hAnsi="SimSun" w:cs="SimSun"/>
                <w:sz w:val="21"/>
                <w:szCs w:val="21"/>
              </w:rPr>
            </w:pPr>
            <w:r>
              <w:rPr>
                <w:rFonts w:ascii="SimSun" w:eastAsia="SimSun" w:hAnsi="SimSun" w:cs="SimSun"/>
                <w:spacing w:val="-1"/>
                <w:sz w:val="21"/>
                <w:szCs w:val="21"/>
              </w:rPr>
              <w:t>土壤环境质量</w:t>
            </w:r>
            <w:r>
              <w:rPr>
                <w:rFonts w:ascii="SimSun" w:eastAsia="SimSun" w:hAnsi="SimSun" w:cs="SimSun"/>
                <w:spacing w:val="-42"/>
                <w:sz w:val="21"/>
                <w:szCs w:val="21"/>
              </w:rPr>
              <w:t xml:space="preserve"> </w:t>
            </w:r>
            <w:r>
              <w:rPr>
                <w:rFonts w:ascii="SimSun" w:eastAsia="SimSun" w:hAnsi="SimSun" w:cs="SimSun"/>
                <w:spacing w:val="-1"/>
                <w:sz w:val="21"/>
                <w:szCs w:val="21"/>
              </w:rPr>
              <w:t>农用地土壤污染风险管控标准</w:t>
            </w:r>
          </w:p>
        </w:tc>
      </w:tr>
      <w:tr>
        <w:tblPrEx>
          <w:tblW w:w="6345" w:type="dxa"/>
          <w:tblInd w:w="435" w:type="dxa"/>
          <w:tblLayout w:type="fixed"/>
        </w:tblPrEx>
        <w:trPr>
          <w:trHeight w:val="468"/>
        </w:trPr>
        <w:tc>
          <w:tcPr>
            <w:tcW w:w="1703" w:type="dxa"/>
            <w:vAlign w:val="top"/>
          </w:tcPr>
          <w:p>
            <w:pPr>
              <w:spacing w:before="167" w:line="187" w:lineRule="auto"/>
              <w:ind w:left="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GB36600-2018</w:t>
            </w:r>
          </w:p>
        </w:tc>
        <w:tc>
          <w:tcPr>
            <w:tcW w:w="4642" w:type="dxa"/>
            <w:vAlign w:val="top"/>
          </w:tcPr>
          <w:p>
            <w:pPr>
              <w:spacing w:before="128" w:line="221" w:lineRule="auto"/>
              <w:jc w:val="right"/>
              <w:rPr>
                <w:rFonts w:ascii="SimSun" w:eastAsia="SimSun" w:hAnsi="SimSun" w:cs="SimSun"/>
                <w:sz w:val="21"/>
                <w:szCs w:val="21"/>
              </w:rPr>
            </w:pPr>
            <w:r>
              <w:rPr>
                <w:rFonts w:ascii="SimSun" w:eastAsia="SimSun" w:hAnsi="SimSun" w:cs="SimSun"/>
                <w:spacing w:val="-1"/>
                <w:sz w:val="21"/>
                <w:szCs w:val="21"/>
              </w:rPr>
              <w:t>土壤环境质量</w:t>
            </w:r>
            <w:r>
              <w:rPr>
                <w:rFonts w:ascii="SimSun" w:eastAsia="SimSun" w:hAnsi="SimSun" w:cs="SimSun"/>
                <w:spacing w:val="-43"/>
                <w:sz w:val="21"/>
                <w:szCs w:val="21"/>
              </w:rPr>
              <w:t xml:space="preserve"> </w:t>
            </w:r>
            <w:r>
              <w:rPr>
                <w:rFonts w:ascii="SimSun" w:eastAsia="SimSun" w:hAnsi="SimSun" w:cs="SimSun"/>
                <w:spacing w:val="-1"/>
                <w:sz w:val="21"/>
                <w:szCs w:val="21"/>
              </w:rPr>
              <w:t>建设用地土壤污染风险管控标准</w:t>
            </w:r>
          </w:p>
        </w:tc>
      </w:tr>
      <w:tr>
        <w:tblPrEx>
          <w:tblW w:w="6345" w:type="dxa"/>
          <w:tblInd w:w="435" w:type="dxa"/>
          <w:tblLayout w:type="fixed"/>
        </w:tblPrEx>
        <w:trPr>
          <w:trHeight w:val="468"/>
        </w:trPr>
        <w:tc>
          <w:tcPr>
            <w:tcW w:w="1703" w:type="dxa"/>
            <w:vAlign w:val="top"/>
          </w:tcPr>
          <w:p>
            <w:pPr>
              <w:spacing w:before="163" w:line="191"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HJ/T</w:t>
            </w:r>
            <w:r>
              <w:rPr>
                <w:rFonts w:ascii="Times New Roman" w:eastAsia="Times New Roman" w:hAnsi="Times New Roman" w:cs="Times New Roman"/>
                <w:spacing w:val="30"/>
                <w:w w:val="101"/>
                <w:sz w:val="21"/>
                <w:szCs w:val="21"/>
              </w:rPr>
              <w:t xml:space="preserve"> </w:t>
            </w:r>
            <w:r>
              <w:rPr>
                <w:rFonts w:ascii="Times New Roman" w:eastAsia="Times New Roman" w:hAnsi="Times New Roman" w:cs="Times New Roman"/>
                <w:spacing w:val="-3"/>
                <w:sz w:val="21"/>
                <w:szCs w:val="21"/>
              </w:rPr>
              <w:t>166-2014</w:t>
            </w:r>
          </w:p>
        </w:tc>
        <w:tc>
          <w:tcPr>
            <w:tcW w:w="4642" w:type="dxa"/>
            <w:vAlign w:val="top"/>
          </w:tcPr>
          <w:p>
            <w:pPr>
              <w:spacing w:before="128" w:line="221" w:lineRule="auto"/>
              <w:ind w:left="417"/>
              <w:rPr>
                <w:rFonts w:ascii="SimSun" w:eastAsia="SimSun" w:hAnsi="SimSun" w:cs="SimSun"/>
                <w:sz w:val="21"/>
                <w:szCs w:val="21"/>
              </w:rPr>
            </w:pPr>
            <w:r>
              <w:rPr>
                <w:rFonts w:ascii="SimSun" w:eastAsia="SimSun" w:hAnsi="SimSun" w:cs="SimSun"/>
                <w:spacing w:val="-1"/>
                <w:sz w:val="21"/>
                <w:szCs w:val="21"/>
              </w:rPr>
              <w:t>土壤环境监测技术规范</w:t>
            </w:r>
          </w:p>
        </w:tc>
      </w:tr>
      <w:tr>
        <w:tblPrEx>
          <w:tblW w:w="6345" w:type="dxa"/>
          <w:tblInd w:w="435" w:type="dxa"/>
          <w:tblLayout w:type="fixed"/>
        </w:tblPrEx>
        <w:trPr>
          <w:trHeight w:val="340"/>
        </w:trPr>
        <w:tc>
          <w:tcPr>
            <w:tcW w:w="1703" w:type="dxa"/>
            <w:vAlign w:val="top"/>
          </w:tcPr>
          <w:p>
            <w:pPr>
              <w:spacing w:before="163" w:line="165" w:lineRule="auto"/>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HJ/T</w:t>
            </w:r>
            <w:r>
              <w:rPr>
                <w:rFonts w:ascii="Times New Roman" w:eastAsia="Times New Roman" w:hAnsi="Times New Roman" w:cs="Times New Roman"/>
                <w:spacing w:val="30"/>
                <w:w w:val="101"/>
                <w:sz w:val="21"/>
                <w:szCs w:val="21"/>
              </w:rPr>
              <w:t xml:space="preserve"> </w:t>
            </w:r>
            <w:r>
              <w:rPr>
                <w:rFonts w:ascii="Times New Roman" w:eastAsia="Times New Roman" w:hAnsi="Times New Roman" w:cs="Times New Roman"/>
                <w:spacing w:val="-3"/>
                <w:sz w:val="21"/>
                <w:szCs w:val="21"/>
              </w:rPr>
              <w:t>168-2010</w:t>
            </w:r>
          </w:p>
        </w:tc>
        <w:tc>
          <w:tcPr>
            <w:tcW w:w="4642" w:type="dxa"/>
            <w:vAlign w:val="top"/>
          </w:tcPr>
          <w:p>
            <w:pPr>
              <w:spacing w:before="128" w:line="177" w:lineRule="auto"/>
              <w:ind w:left="416"/>
              <w:rPr>
                <w:rFonts w:ascii="SimSun" w:eastAsia="SimSun" w:hAnsi="SimSun" w:cs="SimSun"/>
                <w:sz w:val="21"/>
                <w:szCs w:val="21"/>
              </w:rPr>
            </w:pPr>
            <w:r>
              <w:rPr>
                <w:rFonts w:ascii="SimSun" w:eastAsia="SimSun" w:hAnsi="SimSun" w:cs="SimSun"/>
                <w:spacing w:val="-1"/>
                <w:sz w:val="21"/>
                <w:szCs w:val="21"/>
              </w:rPr>
              <w:t>环境监测</w:t>
            </w:r>
            <w:r>
              <w:rPr>
                <w:rFonts w:ascii="SimSun" w:eastAsia="SimSun" w:hAnsi="SimSun" w:cs="SimSun"/>
                <w:spacing w:val="-43"/>
                <w:sz w:val="21"/>
                <w:szCs w:val="21"/>
              </w:rPr>
              <w:t xml:space="preserve"> </w:t>
            </w:r>
            <w:r>
              <w:rPr>
                <w:rFonts w:ascii="SimSun" w:eastAsia="SimSun" w:hAnsi="SimSun" w:cs="SimSun"/>
                <w:spacing w:val="-1"/>
                <w:sz w:val="21"/>
                <w:szCs w:val="21"/>
              </w:rPr>
              <w:t>分析方法标准制修订技术导则</w:t>
            </w:r>
          </w:p>
        </w:tc>
      </w:tr>
    </w:tbl>
    <w:p>
      <w:pPr>
        <w:spacing w:line="420" w:lineRule="auto"/>
        <w:rPr>
          <w:rFonts w:ascii="Arial"/>
          <w:sz w:val="21"/>
        </w:rPr>
      </w:pPr>
    </w:p>
    <w:p>
      <w:pPr>
        <w:spacing w:before="69" w:line="221" w:lineRule="auto"/>
        <w:ind w:left="20"/>
        <w:rPr>
          <w:rFonts w:ascii="SimHei" w:eastAsia="SimHei" w:hAnsi="SimHei" w:cs="SimHei"/>
          <w:sz w:val="21"/>
          <w:szCs w:val="21"/>
        </w:rPr>
      </w:pPr>
      <w:r>
        <w:rPr>
          <w:rFonts w:ascii="Times New Roman" w:eastAsia="Times New Roman" w:hAnsi="Times New Roman" w:cs="Times New Roman"/>
          <w:spacing w:val="-1"/>
          <w:sz w:val="21"/>
          <w:szCs w:val="21"/>
        </w:rPr>
        <w:t xml:space="preserve">3    </w:t>
      </w:r>
      <w:r>
        <w:rPr>
          <w:rFonts w:ascii="SimHei" w:eastAsia="SimHei" w:hAnsi="SimHei" w:cs="SimHei"/>
          <w:spacing w:val="-1"/>
          <w:sz w:val="21"/>
          <w:szCs w:val="21"/>
        </w:rPr>
        <w:t>术语和定义</w:t>
      </w:r>
    </w:p>
    <w:p>
      <w:pPr>
        <w:spacing w:line="379" w:lineRule="auto"/>
        <w:rPr>
          <w:rFonts w:ascii="Arial"/>
          <w:sz w:val="21"/>
        </w:rPr>
      </w:pPr>
    </w:p>
    <w:p>
      <w:pPr>
        <w:pStyle w:val="BodyText"/>
        <w:spacing w:before="68" w:line="220" w:lineRule="auto"/>
        <w:ind w:left="446"/>
      </w:pPr>
      <w:r>
        <w:rPr>
          <w:spacing w:val="-3"/>
        </w:rPr>
        <w:t>下列术语和定义适用于本文件。</w:t>
      </w:r>
    </w:p>
    <w:p>
      <w:pPr>
        <w:spacing w:before="298" w:line="234"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 xml:space="preserve">3.1 </w:t>
      </w:r>
      <w:r>
        <w:rPr>
          <w:rFonts w:ascii="SimHei" w:eastAsia="SimHei" w:hAnsi="SimHei" w:cs="SimHei"/>
          <w:spacing w:val="-1"/>
          <w:sz w:val="21"/>
          <w:szCs w:val="21"/>
        </w:rPr>
        <w:t>仪器检出限</w:t>
      </w:r>
      <w:r>
        <w:rPr>
          <w:rFonts w:ascii="SimHei" w:eastAsia="SimHei" w:hAnsi="SimHei" w:cs="SimHei"/>
          <w:spacing w:val="-37"/>
          <w:sz w:val="21"/>
          <w:szCs w:val="21"/>
        </w:rPr>
        <w:t xml:space="preserve"> </w:t>
      </w:r>
      <w:r>
        <w:rPr>
          <w:rFonts w:ascii="Times New Roman" w:eastAsia="Times New Roman" w:hAnsi="Times New Roman" w:cs="Times New Roman"/>
          <w:spacing w:val="-1"/>
          <w:sz w:val="21"/>
          <w:szCs w:val="21"/>
        </w:rPr>
        <w:t>instrument detection limit</w:t>
      </w:r>
    </w:p>
    <w:p>
      <w:pPr>
        <w:pStyle w:val="BodyText"/>
        <w:spacing w:before="278" w:line="221" w:lineRule="auto"/>
        <w:ind w:left="441"/>
        <w:sectPr>
          <w:footerReference w:type="default" r:id="rId4"/>
          <w:pgSz w:w="11907" w:h="16839"/>
          <w:pgMar w:top="1431" w:right="1785" w:bottom="1151" w:left="1785" w:header="0" w:footer="988" w:gutter="0"/>
          <w:cols w:space="708"/>
        </w:sectPr>
      </w:pPr>
      <w:r>
        <w:rPr>
          <w:spacing w:val="-1"/>
        </w:rPr>
        <w:t>仪器在给定的置信度内可从样品中定性检出待测物质的最小浓度。</w:t>
      </w:r>
    </w:p>
    <w:p>
      <w:pPr>
        <w:spacing w:before="297" w:line="21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3.2 </w:t>
      </w:r>
      <w:r>
        <w:rPr>
          <w:rFonts w:ascii="SimHei" w:eastAsia="SimHei" w:hAnsi="SimHei" w:cs="SimHei"/>
          <w:sz w:val="21"/>
          <w:szCs w:val="21"/>
        </w:rPr>
        <w:t>定量测量重复性</w:t>
      </w:r>
      <w:r>
        <w:rPr>
          <w:rFonts w:ascii="SimHei" w:eastAsia="SimHei" w:hAnsi="SimHei" w:cs="SimHei"/>
          <w:spacing w:val="-48"/>
          <w:sz w:val="21"/>
          <w:szCs w:val="21"/>
        </w:rPr>
        <w:t xml:space="preserve"> </w:t>
      </w:r>
      <w:r>
        <w:rPr>
          <w:rFonts w:ascii="Times New Roman" w:eastAsia="Times New Roman" w:hAnsi="Times New Roman" w:cs="Times New Roman"/>
          <w:sz w:val="21"/>
          <w:szCs w:val="21"/>
        </w:rPr>
        <w:t xml:space="preserve">quantitative measurement </w:t>
      </w:r>
      <w:r>
        <w:rPr>
          <w:rFonts w:ascii="Times New Roman" w:eastAsia="Times New Roman" w:hAnsi="Times New Roman" w:cs="Times New Roman"/>
          <w:spacing w:val="-1"/>
          <w:sz w:val="21"/>
          <w:szCs w:val="21"/>
        </w:rPr>
        <w:t>repeatability</w:t>
      </w:r>
    </w:p>
    <w:p>
      <w:pPr>
        <w:pStyle w:val="BodyText"/>
        <w:spacing w:before="302" w:line="468" w:lineRule="exact"/>
        <w:ind w:right="16"/>
        <w:jc w:val="right"/>
      </w:pPr>
      <w:r>
        <w:rPr>
          <w:position w:val="19"/>
        </w:rPr>
        <w:t>在一组重复性测量条件下， 基于待测组分仪器示值的测量精密度，用仪器连续多次测</w:t>
      </w:r>
    </w:p>
    <w:p>
      <w:pPr>
        <w:pStyle w:val="BodyText"/>
        <w:spacing w:line="220" w:lineRule="auto"/>
        <w:ind w:left="20"/>
      </w:pPr>
      <w:r>
        <w:rPr>
          <w:spacing w:val="-1"/>
        </w:rPr>
        <w:t>量同一标准物质时基于某一或多个待测组分仪器示值的相对标准偏差表示。</w:t>
      </w:r>
    </w:p>
    <w:p>
      <w:pPr>
        <w:spacing w:before="297" w:line="21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3.3 </w:t>
      </w:r>
      <w:r>
        <w:rPr>
          <w:rFonts w:ascii="SimHei" w:eastAsia="SimHei" w:hAnsi="SimHei" w:cs="SimHei"/>
          <w:sz w:val="21"/>
          <w:szCs w:val="21"/>
        </w:rPr>
        <w:t>便携式</w:t>
      </w:r>
      <w:r>
        <w:rPr>
          <w:rFonts w:ascii="SimHei" w:eastAsia="SimHei" w:hAnsi="SimHei" w:cs="SimHei"/>
          <w:spacing w:val="-54"/>
          <w:sz w:val="21"/>
          <w:szCs w:val="21"/>
        </w:rPr>
        <w:t xml:space="preserve"> </w:t>
      </w:r>
      <w:r>
        <w:rPr>
          <w:rFonts w:ascii="Times New Roman" w:eastAsia="Times New Roman" w:hAnsi="Times New Roman" w:cs="Times New Roman"/>
          <w:sz w:val="21"/>
          <w:szCs w:val="21"/>
        </w:rPr>
        <w:t xml:space="preserve">XRF </w:t>
      </w:r>
      <w:r>
        <w:rPr>
          <w:rFonts w:ascii="SimHei" w:eastAsia="SimHei" w:hAnsi="SimHei" w:cs="SimHei"/>
          <w:sz w:val="21"/>
          <w:szCs w:val="21"/>
        </w:rPr>
        <w:t>检测仪</w:t>
      </w:r>
      <w:r>
        <w:rPr>
          <w:rFonts w:ascii="SimHei" w:eastAsia="SimHei" w:hAnsi="SimHei" w:cs="SimHei"/>
          <w:spacing w:val="-52"/>
          <w:sz w:val="21"/>
          <w:szCs w:val="21"/>
        </w:rPr>
        <w:t xml:space="preserve"> </w:t>
      </w:r>
      <w:r>
        <w:rPr>
          <w:rFonts w:ascii="Times New Roman" w:eastAsia="Times New Roman" w:hAnsi="Times New Roman" w:cs="Times New Roman"/>
          <w:sz w:val="21"/>
          <w:szCs w:val="21"/>
        </w:rPr>
        <w:t>portabl</w:t>
      </w:r>
      <w:r>
        <w:rPr>
          <w:rFonts w:ascii="Times New Roman" w:eastAsia="Times New Roman" w:hAnsi="Times New Roman" w:cs="Times New Roman"/>
          <w:spacing w:val="-1"/>
          <w:sz w:val="21"/>
          <w:szCs w:val="21"/>
        </w:rPr>
        <w:t>e X-ray spectrometer</w:t>
      </w:r>
    </w:p>
    <w:p>
      <w:pPr>
        <w:pStyle w:val="BodyText"/>
        <w:spacing w:before="302" w:line="221" w:lineRule="auto"/>
        <w:ind w:left="441"/>
      </w:pPr>
      <w:r>
        <w:rPr>
          <w:spacing w:val="-1"/>
        </w:rPr>
        <w:t>便携式或手持式的能量色散</w:t>
      </w:r>
      <w:r>
        <w:rPr>
          <w:spacing w:val="-49"/>
        </w:rPr>
        <w:t xml:space="preserve"> </w:t>
      </w:r>
      <w:r>
        <w:rPr>
          <w:rFonts w:ascii="Times New Roman" w:eastAsia="Times New Roman" w:hAnsi="Times New Roman" w:cs="Times New Roman"/>
          <w:spacing w:val="-1"/>
        </w:rPr>
        <w:t xml:space="preserve">X </w:t>
      </w:r>
      <w:r>
        <w:rPr>
          <w:spacing w:val="-1"/>
        </w:rPr>
        <w:t>射线荧光光谱检测仪，可用于现场土壤重金属检测。</w:t>
      </w:r>
    </w:p>
    <w:p>
      <w:pPr>
        <w:spacing w:line="221" w:lineRule="auto"/>
        <w:sectPr>
          <w:footerReference w:type="default" r:id="rId5"/>
          <w:type w:val="nextPage"/>
          <w:pgSz w:w="11907" w:h="16839"/>
          <w:pgMar w:top="1431" w:right="1785" w:bottom="1151" w:left="1785" w:header="0" w:footer="988" w:gutter="0"/>
          <w:pgNumType w:start="2"/>
          <w:cols w:space="708"/>
          <w:titlePg w:val="0"/>
        </w:sectPr>
      </w:pPr>
    </w:p>
    <w:p>
      <w:pPr>
        <w:spacing w:before="216" w:line="21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3.4   </w:t>
      </w:r>
      <w:r>
        <w:rPr>
          <w:rFonts w:ascii="SimHei" w:eastAsia="SimHei" w:hAnsi="SimHei" w:cs="SimHei"/>
          <w:sz w:val="21"/>
          <w:szCs w:val="21"/>
        </w:rPr>
        <w:t>基本参数法</w:t>
      </w:r>
      <w:r>
        <w:rPr>
          <w:rFonts w:ascii="SimHei" w:eastAsia="SimHei" w:hAnsi="SimHei" w:cs="SimHei"/>
          <w:spacing w:val="-46"/>
          <w:sz w:val="21"/>
          <w:szCs w:val="21"/>
        </w:rPr>
        <w:t xml:space="preserve"> </w:t>
      </w:r>
      <w:r>
        <w:rPr>
          <w:rFonts w:ascii="Times New Roman" w:eastAsia="Times New Roman" w:hAnsi="Times New Roman" w:cs="Times New Roman"/>
          <w:sz w:val="21"/>
          <w:szCs w:val="21"/>
        </w:rPr>
        <w:t>fundamental par</w:t>
      </w:r>
      <w:r>
        <w:rPr>
          <w:rFonts w:ascii="Times New Roman" w:eastAsia="Times New Roman" w:hAnsi="Times New Roman" w:cs="Times New Roman"/>
          <w:spacing w:val="-1"/>
          <w:sz w:val="21"/>
          <w:szCs w:val="21"/>
        </w:rPr>
        <w:t>ameter approach</w:t>
      </w:r>
    </w:p>
    <w:p>
      <w:pPr>
        <w:pStyle w:val="BodyText"/>
        <w:spacing w:before="302" w:line="411" w:lineRule="auto"/>
        <w:ind w:left="22" w:right="5" w:firstLine="416"/>
        <w:jc w:val="both"/>
      </w:pPr>
      <w:r>
        <w:t xml:space="preserve">将入射 </w:t>
      </w:r>
      <w:r>
        <w:rPr>
          <w:rFonts w:ascii="Times New Roman" w:eastAsia="Times New Roman" w:hAnsi="Times New Roman" w:cs="Times New Roman"/>
        </w:rPr>
        <w:t>X</w:t>
      </w:r>
      <w:r>
        <w:rPr>
          <w:rFonts w:ascii="Times New Roman" w:eastAsia="Times New Roman" w:hAnsi="Times New Roman" w:cs="Times New Roman"/>
          <w:spacing w:val="34"/>
        </w:rPr>
        <w:t xml:space="preserve"> </w:t>
      </w:r>
      <w:r>
        <w:t>射线光谱能量分布、元素荧光射线产生、探</w:t>
      </w:r>
      <w:r>
        <w:rPr>
          <w:spacing w:val="-1"/>
        </w:rPr>
        <w:t>测过程中的物理现象建立基本参</w:t>
      </w:r>
      <w:r>
        <w:t xml:space="preserve"> </w:t>
      </w:r>
      <w:r>
        <w:rPr>
          <w:spacing w:val="3"/>
        </w:rPr>
        <w:t>数库和数学模型，通过对质量吸收系数、谱线分数、荧光产额、背景扣除、探测器</w:t>
      </w:r>
      <w:r>
        <w:rPr>
          <w:spacing w:val="2"/>
        </w:rPr>
        <w:t>效应等</w:t>
      </w:r>
    </w:p>
    <w:p>
      <w:pPr>
        <w:pStyle w:val="BodyText"/>
        <w:spacing w:line="220" w:lineRule="auto"/>
        <w:ind w:left="20"/>
      </w:pPr>
      <w:r>
        <w:rPr>
          <w:spacing w:val="-5"/>
        </w:rPr>
        <w:t>计算， 得到土壤样品中各元素理论强度与含量值的方法。</w:t>
      </w:r>
    </w:p>
    <w:p>
      <w:pPr>
        <w:spacing w:before="296" w:line="214"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3.5  </w:t>
      </w:r>
      <w:r>
        <w:rPr>
          <w:rFonts w:ascii="SimHei" w:eastAsia="SimHei" w:hAnsi="SimHei" w:cs="SimHei"/>
          <w:sz w:val="21"/>
          <w:szCs w:val="21"/>
        </w:rPr>
        <w:t>经验系数法</w:t>
      </w:r>
      <w:r>
        <w:rPr>
          <w:rFonts w:ascii="SimHei" w:eastAsia="SimHei" w:hAnsi="SimHei" w:cs="SimHei"/>
          <w:spacing w:val="-47"/>
          <w:sz w:val="21"/>
          <w:szCs w:val="21"/>
        </w:rPr>
        <w:t xml:space="preserve"> </w:t>
      </w:r>
      <w:r>
        <w:rPr>
          <w:rFonts w:ascii="Times New Roman" w:eastAsia="Times New Roman" w:hAnsi="Times New Roman" w:cs="Times New Roman"/>
          <w:sz w:val="21"/>
          <w:szCs w:val="21"/>
        </w:rPr>
        <w:t>empirical coe</w:t>
      </w:r>
      <w:r>
        <w:rPr>
          <w:rFonts w:ascii="Times New Roman" w:eastAsia="Times New Roman" w:hAnsi="Times New Roman" w:cs="Times New Roman"/>
          <w:spacing w:val="-1"/>
          <w:sz w:val="21"/>
          <w:szCs w:val="21"/>
        </w:rPr>
        <w:t>fficient method</w:t>
      </w:r>
    </w:p>
    <w:p>
      <w:pPr>
        <w:pStyle w:val="BodyText"/>
        <w:spacing w:before="301" w:line="469" w:lineRule="exact"/>
        <w:ind w:right="16"/>
        <w:jc w:val="right"/>
      </w:pPr>
      <w:r>
        <w:rPr>
          <w:spacing w:val="2"/>
          <w:position w:val="19"/>
        </w:rPr>
        <w:t>由一系列标准样品所测得强度和含量值，通过回归校正计算而确定样品基体对待测元</w:t>
      </w:r>
    </w:p>
    <w:p>
      <w:pPr>
        <w:pStyle w:val="BodyText"/>
        <w:spacing w:line="220" w:lineRule="auto"/>
        <w:ind w:left="22"/>
      </w:pPr>
      <w:r>
        <w:rPr>
          <w:spacing w:val="-3"/>
        </w:rPr>
        <w:t>素影响系数的方法。</w:t>
      </w:r>
    </w:p>
    <w:p>
      <w:pPr>
        <w:spacing w:line="381" w:lineRule="auto"/>
        <w:rPr>
          <w:rFonts w:ascii="Arial"/>
          <w:sz w:val="21"/>
        </w:rPr>
      </w:pPr>
    </w:p>
    <w:p>
      <w:pPr>
        <w:spacing w:before="69" w:line="220" w:lineRule="auto"/>
        <w:ind w:left="15"/>
        <w:rPr>
          <w:rFonts w:ascii="SimHei" w:eastAsia="SimHei" w:hAnsi="SimHei" w:cs="SimHei"/>
          <w:sz w:val="21"/>
          <w:szCs w:val="21"/>
        </w:rPr>
      </w:pPr>
      <w:r>
        <w:rPr>
          <w:rFonts w:ascii="Times New Roman" w:eastAsia="Times New Roman" w:hAnsi="Times New Roman" w:cs="Times New Roman"/>
          <w:spacing w:val="-1"/>
          <w:sz w:val="21"/>
          <w:szCs w:val="21"/>
        </w:rPr>
        <w:t xml:space="preserve">4    </w:t>
      </w:r>
      <w:r>
        <w:rPr>
          <w:rFonts w:ascii="SimHei" w:eastAsia="SimHei" w:hAnsi="SimHei" w:cs="SimHei"/>
          <w:spacing w:val="-1"/>
          <w:sz w:val="21"/>
          <w:szCs w:val="21"/>
        </w:rPr>
        <w:t>仪器原理与组成</w:t>
      </w:r>
    </w:p>
    <w:p>
      <w:pPr>
        <w:spacing w:line="458" w:lineRule="auto"/>
        <w:rPr>
          <w:rFonts w:ascii="Arial"/>
          <w:sz w:val="21"/>
        </w:rPr>
      </w:pPr>
    </w:p>
    <w:p>
      <w:pPr>
        <w:pStyle w:val="BodyText"/>
        <w:spacing w:before="68" w:line="221" w:lineRule="auto"/>
        <w:ind w:left="15"/>
      </w:pPr>
      <w:r>
        <w:rPr>
          <w:rFonts w:ascii="Times New Roman" w:eastAsia="Times New Roman" w:hAnsi="Times New Roman" w:cs="Times New Roman"/>
          <w:spacing w:val="-1"/>
        </w:rPr>
        <w:t xml:space="preserve">4.1 </w:t>
      </w:r>
      <w:r>
        <w:rPr>
          <w:spacing w:val="-1"/>
        </w:rPr>
        <w:t>仪器原理</w:t>
      </w:r>
    </w:p>
    <w:p>
      <w:pPr>
        <w:pStyle w:val="BodyText"/>
        <w:spacing w:before="292" w:line="412" w:lineRule="auto"/>
        <w:ind w:left="20" w:right="4" w:firstLine="413"/>
        <w:jc w:val="both"/>
      </w:pPr>
      <w:r>
        <w:rPr>
          <w:rFonts w:ascii="Times New Roman" w:eastAsia="Times New Roman" w:hAnsi="Times New Roman" w:cs="Times New Roman"/>
          <w:spacing w:val="-3"/>
        </w:rPr>
        <w:t>X</w:t>
      </w:r>
      <w:r>
        <w:rPr>
          <w:rFonts w:ascii="Times New Roman" w:eastAsia="Times New Roman" w:hAnsi="Times New Roman" w:cs="Times New Roman"/>
          <w:spacing w:val="33"/>
          <w:w w:val="101"/>
        </w:rPr>
        <w:t xml:space="preserve"> </w:t>
      </w:r>
      <w:r>
        <w:rPr>
          <w:spacing w:val="-3"/>
        </w:rPr>
        <w:t xml:space="preserve">射线管启动后产生入射 </w:t>
      </w:r>
      <w:r>
        <w:rPr>
          <w:rFonts w:ascii="Times New Roman" w:eastAsia="Times New Roman" w:hAnsi="Times New Roman" w:cs="Times New Roman"/>
          <w:spacing w:val="-3"/>
        </w:rPr>
        <w:t>X</w:t>
      </w:r>
      <w:r>
        <w:rPr>
          <w:rFonts w:ascii="Times New Roman" w:eastAsia="Times New Roman" w:hAnsi="Times New Roman" w:cs="Times New Roman"/>
          <w:spacing w:val="28"/>
          <w:w w:val="101"/>
        </w:rPr>
        <w:t xml:space="preserve"> </w:t>
      </w:r>
      <w:r>
        <w:rPr>
          <w:spacing w:val="-3"/>
        </w:rPr>
        <w:t>射线用来激发被测样品中的目标元素，</w:t>
      </w:r>
      <w:r>
        <w:rPr>
          <w:spacing w:val="-22"/>
        </w:rPr>
        <w:t xml:space="preserve"> </w:t>
      </w:r>
      <w:r>
        <w:rPr>
          <w:spacing w:val="-3"/>
        </w:rPr>
        <w:t>使其受激发从而释</w:t>
      </w:r>
      <w:r>
        <w:t xml:space="preserve"> </w:t>
      </w:r>
      <w:r>
        <w:t>放出荧光</w:t>
      </w:r>
      <w:r>
        <w:rPr>
          <w:spacing w:val="-54"/>
        </w:rPr>
        <w:t xml:space="preserve"> </w:t>
      </w:r>
      <w:r>
        <w:rPr>
          <w:rFonts w:ascii="Times New Roman" w:eastAsia="Times New Roman" w:hAnsi="Times New Roman" w:cs="Times New Roman"/>
        </w:rPr>
        <w:t xml:space="preserve">X </w:t>
      </w:r>
      <w:r>
        <w:t>射线。不同的元素受到激放后所</w:t>
      </w:r>
      <w:r>
        <w:rPr>
          <w:spacing w:val="-1"/>
        </w:rPr>
        <w:t>释放出的荧光</w:t>
      </w:r>
      <w:r>
        <w:rPr>
          <w:spacing w:val="-33"/>
        </w:rPr>
        <w:t xml:space="preserve"> </w:t>
      </w:r>
      <w:r>
        <w:rPr>
          <w:rFonts w:ascii="Times New Roman" w:eastAsia="Times New Roman" w:hAnsi="Times New Roman" w:cs="Times New Roman"/>
          <w:spacing w:val="-1"/>
        </w:rPr>
        <w:t>X</w:t>
      </w:r>
      <w:r>
        <w:rPr>
          <w:rFonts w:ascii="Times New Roman" w:eastAsia="Times New Roman" w:hAnsi="Times New Roman" w:cs="Times New Roman"/>
          <w:spacing w:val="26"/>
          <w:w w:val="101"/>
        </w:rPr>
        <w:t xml:space="preserve"> </w:t>
      </w:r>
      <w:r>
        <w:rPr>
          <w:spacing w:val="-1"/>
        </w:rPr>
        <w:t>射线具有该元素特定的波长和</w:t>
      </w:r>
      <w:r>
        <w:t xml:space="preserve"> </w:t>
      </w:r>
      <w:r>
        <w:rPr>
          <w:spacing w:val="-3"/>
        </w:rPr>
        <w:t>能量特性， 即特征</w:t>
      </w:r>
      <w:r>
        <w:rPr>
          <w:spacing w:val="-44"/>
        </w:rPr>
        <w:t xml:space="preserve"> </w:t>
      </w:r>
      <w:r>
        <w:rPr>
          <w:rFonts w:ascii="Times New Roman" w:eastAsia="Times New Roman" w:hAnsi="Times New Roman" w:cs="Times New Roman"/>
          <w:spacing w:val="-3"/>
        </w:rPr>
        <w:t>X</w:t>
      </w:r>
      <w:r>
        <w:rPr>
          <w:rFonts w:ascii="Times New Roman" w:eastAsia="Times New Roman" w:hAnsi="Times New Roman" w:cs="Times New Roman"/>
          <w:spacing w:val="17"/>
          <w:w w:val="101"/>
        </w:rPr>
        <w:t xml:space="preserve"> </w:t>
      </w:r>
      <w:r>
        <w:rPr>
          <w:spacing w:val="-3"/>
        </w:rPr>
        <w:t>射线荧光光谱。荧光光谱探测系统主要收集、测量这些特征</w:t>
      </w:r>
      <w:r>
        <w:rPr>
          <w:spacing w:val="-53"/>
        </w:rPr>
        <w:t xml:space="preserve"> </w:t>
      </w:r>
      <w:r>
        <w:rPr>
          <w:rFonts w:ascii="Times New Roman" w:eastAsia="Times New Roman" w:hAnsi="Times New Roman" w:cs="Times New Roman"/>
          <w:spacing w:val="-3"/>
        </w:rPr>
        <w:t>X</w:t>
      </w:r>
      <w:r>
        <w:rPr>
          <w:rFonts w:ascii="Times New Roman" w:eastAsia="Times New Roman" w:hAnsi="Times New Roman" w:cs="Times New Roman"/>
          <w:spacing w:val="17"/>
        </w:rPr>
        <w:t xml:space="preserve"> </w:t>
      </w:r>
      <w:r>
        <w:rPr>
          <w:spacing w:val="-4"/>
        </w:rPr>
        <w:t>射线荧</w:t>
      </w:r>
      <w:r>
        <w:t xml:space="preserve"> </w:t>
      </w:r>
      <w:r>
        <w:rPr>
          <w:spacing w:val="3"/>
        </w:rPr>
        <w:t>光的谱峰位置和能量强度。最终通过与仪器配套的数据处理软件将探测系统所收集</w:t>
      </w:r>
      <w:r>
        <w:rPr>
          <w:spacing w:val="2"/>
        </w:rPr>
        <w:t>到的荧</w:t>
      </w:r>
    </w:p>
    <w:p>
      <w:pPr>
        <w:pStyle w:val="BodyText"/>
        <w:spacing w:before="1" w:line="220" w:lineRule="auto"/>
        <w:ind w:left="22"/>
      </w:pPr>
      <w:r>
        <w:rPr>
          <w:spacing w:val="-1"/>
        </w:rPr>
        <w:t>光信息转换成样品中待测元素的种类及含量信息。</w:t>
      </w:r>
    </w:p>
    <w:p>
      <w:pPr>
        <w:pStyle w:val="BodyText"/>
        <w:spacing w:before="218" w:line="411" w:lineRule="auto"/>
        <w:ind w:left="22" w:right="4" w:firstLine="411"/>
        <w:jc w:val="both"/>
      </w:pPr>
      <w:r>
        <w:rPr>
          <w:rFonts w:ascii="Times New Roman" w:eastAsia="Times New Roman" w:hAnsi="Times New Roman" w:cs="Times New Roman"/>
          <w:spacing w:val="-3"/>
        </w:rPr>
        <w:t>X</w:t>
      </w:r>
      <w:r>
        <w:rPr>
          <w:rFonts w:ascii="Times New Roman" w:eastAsia="Times New Roman" w:hAnsi="Times New Roman" w:cs="Times New Roman"/>
          <w:spacing w:val="32"/>
          <w:w w:val="101"/>
        </w:rPr>
        <w:t xml:space="preserve"> </w:t>
      </w:r>
      <w:r>
        <w:rPr>
          <w:spacing w:val="-3"/>
        </w:rPr>
        <w:t>射线荧光光谱法是一种相对分析方法，</w:t>
      </w:r>
      <w:r>
        <w:rPr>
          <w:spacing w:val="-21"/>
        </w:rPr>
        <w:t xml:space="preserve"> </w:t>
      </w:r>
      <w:r>
        <w:rPr>
          <w:spacing w:val="-3"/>
        </w:rPr>
        <w:t xml:space="preserve">光谱仪只提供 </w:t>
      </w:r>
      <w:r>
        <w:rPr>
          <w:rFonts w:ascii="Times New Roman" w:eastAsia="Times New Roman" w:hAnsi="Times New Roman" w:cs="Times New Roman"/>
          <w:spacing w:val="-3"/>
        </w:rPr>
        <w:t>X</w:t>
      </w:r>
      <w:r>
        <w:rPr>
          <w:rFonts w:ascii="Times New Roman" w:eastAsia="Times New Roman" w:hAnsi="Times New Roman" w:cs="Times New Roman"/>
          <w:spacing w:val="29"/>
        </w:rPr>
        <w:t xml:space="preserve"> </w:t>
      </w:r>
      <w:r>
        <w:rPr>
          <w:spacing w:val="-3"/>
        </w:rPr>
        <w:t>射线荧光的强度，要找到荧</w:t>
      </w:r>
      <w:r>
        <w:t xml:space="preserve"> </w:t>
      </w:r>
      <w:r>
        <w:rPr>
          <w:spacing w:val="3"/>
        </w:rPr>
        <w:t>光强度与样品浓度的关系，需要一套标准样品，根据元素的浓度和已测的该元素</w:t>
      </w:r>
      <w:r>
        <w:rPr>
          <w:spacing w:val="2"/>
        </w:rPr>
        <w:t>的特征谱</w:t>
      </w:r>
      <w:r>
        <w:t xml:space="preserve"> </w:t>
      </w:r>
      <w:r>
        <w:rPr>
          <w:spacing w:val="-2"/>
        </w:rPr>
        <w:t>线的强度按一定关系进行拟合绘制工作曲线，</w:t>
      </w:r>
      <w:r>
        <w:rPr>
          <w:spacing w:val="86"/>
        </w:rPr>
        <w:t xml:space="preserve"> </w:t>
      </w:r>
      <w:r>
        <w:rPr>
          <w:spacing w:val="-2"/>
        </w:rPr>
        <w:t>以该工作曲线为基础测试同类型样品元素的</w:t>
      </w:r>
    </w:p>
    <w:p>
      <w:pPr>
        <w:pStyle w:val="BodyText"/>
        <w:spacing w:before="1" w:line="220" w:lineRule="auto"/>
        <w:ind w:left="22"/>
      </w:pPr>
      <w:r>
        <w:rPr>
          <w:spacing w:val="-2"/>
        </w:rPr>
        <w:t>组成和含量。</w:t>
      </w:r>
    </w:p>
    <w:p>
      <w:pPr>
        <w:pStyle w:val="BodyText"/>
        <w:spacing w:before="217" w:line="469" w:lineRule="exact"/>
        <w:ind w:right="5"/>
        <w:jc w:val="right"/>
      </w:pPr>
      <w:r>
        <w:rPr>
          <w:spacing w:val="-1"/>
          <w:position w:val="19"/>
        </w:rPr>
        <w:t xml:space="preserve">便携式 </w:t>
      </w:r>
      <w:r>
        <w:rPr>
          <w:rFonts w:ascii="Times New Roman" w:eastAsia="Times New Roman" w:hAnsi="Times New Roman" w:cs="Times New Roman"/>
          <w:spacing w:val="-1"/>
          <w:position w:val="19"/>
        </w:rPr>
        <w:t>XRF</w:t>
      </w:r>
      <w:r>
        <w:rPr>
          <w:rFonts w:ascii="Times New Roman" w:eastAsia="Times New Roman" w:hAnsi="Times New Roman" w:cs="Times New Roman"/>
          <w:spacing w:val="43"/>
          <w:w w:val="101"/>
          <w:position w:val="19"/>
        </w:rPr>
        <w:t xml:space="preserve"> </w:t>
      </w:r>
      <w:r>
        <w:rPr>
          <w:spacing w:val="-1"/>
          <w:position w:val="19"/>
        </w:rPr>
        <w:t xml:space="preserve">仪器分为基于光学晶体的单色激发便携式 </w:t>
      </w:r>
      <w:r>
        <w:rPr>
          <w:rFonts w:ascii="Times New Roman" w:eastAsia="Times New Roman" w:hAnsi="Times New Roman" w:cs="Times New Roman"/>
          <w:spacing w:val="-1"/>
          <w:position w:val="19"/>
        </w:rPr>
        <w:t>XRF</w:t>
      </w:r>
      <w:r>
        <w:rPr>
          <w:rFonts w:ascii="Times New Roman" w:eastAsia="Times New Roman" w:hAnsi="Times New Roman" w:cs="Times New Roman"/>
          <w:spacing w:val="31"/>
          <w:w w:val="101"/>
          <w:position w:val="19"/>
        </w:rPr>
        <w:t xml:space="preserve"> </w:t>
      </w:r>
      <w:r>
        <w:rPr>
          <w:spacing w:val="-1"/>
          <w:position w:val="19"/>
        </w:rPr>
        <w:t>仪器和基于金属滤光片的</w:t>
      </w:r>
    </w:p>
    <w:p>
      <w:pPr>
        <w:pStyle w:val="BodyText"/>
        <w:spacing w:line="220" w:lineRule="auto"/>
        <w:ind w:left="30"/>
      </w:pPr>
      <w:r>
        <w:rPr>
          <w:spacing w:val="-5"/>
        </w:rPr>
        <w:t>多色便携式或手持式</w:t>
      </w:r>
      <w:r>
        <w:rPr>
          <w:spacing w:val="-48"/>
        </w:rPr>
        <w:t xml:space="preserve"> </w:t>
      </w:r>
      <w:r>
        <w:rPr>
          <w:rFonts w:ascii="Times New Roman" w:eastAsia="Times New Roman" w:hAnsi="Times New Roman" w:cs="Times New Roman"/>
          <w:spacing w:val="-5"/>
        </w:rPr>
        <w:t xml:space="preserve">XRF </w:t>
      </w:r>
      <w:r>
        <w:rPr>
          <w:spacing w:val="-5"/>
        </w:rPr>
        <w:t>仪器， 前者拥有更高的检测灵敏度。</w:t>
      </w:r>
    </w:p>
    <w:p>
      <w:pPr>
        <w:pStyle w:val="BodyText"/>
        <w:spacing w:before="217" w:line="221" w:lineRule="auto"/>
        <w:ind w:left="15"/>
      </w:pPr>
      <w:r>
        <w:rPr>
          <w:rFonts w:ascii="Times New Roman" w:eastAsia="Times New Roman" w:hAnsi="Times New Roman" w:cs="Times New Roman"/>
          <w:spacing w:val="-1"/>
        </w:rPr>
        <w:t xml:space="preserve">4.2 </w:t>
      </w:r>
      <w:r>
        <w:rPr>
          <w:spacing w:val="-1"/>
        </w:rPr>
        <w:t>仪器组成</w:t>
      </w:r>
    </w:p>
    <w:p>
      <w:pPr>
        <w:pStyle w:val="BodyText"/>
        <w:spacing w:before="217" w:line="468" w:lineRule="exact"/>
        <w:jc w:val="right"/>
      </w:pPr>
      <w:r>
        <w:rPr>
          <w:spacing w:val="-3"/>
          <w:position w:val="19"/>
        </w:rPr>
        <w:t xml:space="preserve">可用于现场土壤重金属检测的 </w:t>
      </w:r>
      <w:r>
        <w:rPr>
          <w:rFonts w:ascii="Times New Roman" w:eastAsia="Times New Roman" w:hAnsi="Times New Roman" w:cs="Times New Roman"/>
          <w:spacing w:val="-3"/>
          <w:position w:val="19"/>
        </w:rPr>
        <w:t>X</w:t>
      </w:r>
      <w:r>
        <w:rPr>
          <w:rFonts w:ascii="Times New Roman" w:eastAsia="Times New Roman" w:hAnsi="Times New Roman" w:cs="Times New Roman"/>
          <w:spacing w:val="36"/>
          <w:position w:val="19"/>
        </w:rPr>
        <w:t xml:space="preserve"> </w:t>
      </w:r>
      <w:r>
        <w:rPr>
          <w:spacing w:val="-3"/>
          <w:position w:val="19"/>
        </w:rPr>
        <w:t>射线荧光光谱检测仪可分为便携式和手</w:t>
      </w:r>
      <w:r>
        <w:rPr>
          <w:spacing w:val="-4"/>
          <w:position w:val="19"/>
        </w:rPr>
        <w:t>持式两种， 建</w:t>
      </w:r>
    </w:p>
    <w:p>
      <w:pPr>
        <w:pStyle w:val="BodyText"/>
        <w:spacing w:before="1" w:line="220" w:lineRule="auto"/>
        <w:ind w:left="22"/>
      </w:pPr>
      <w:r>
        <w:rPr>
          <w:spacing w:val="-1"/>
        </w:rPr>
        <w:t>议包括以下硬件系统：</w:t>
      </w:r>
    </w:p>
    <w:p>
      <w:pPr>
        <w:pStyle w:val="BodyText"/>
        <w:spacing w:before="217" w:line="468" w:lineRule="exact"/>
        <w:ind w:left="15"/>
      </w:pPr>
      <w:r>
        <w:rPr>
          <w:rFonts w:ascii="Times New Roman" w:eastAsia="Times New Roman" w:hAnsi="Times New Roman" w:cs="Times New Roman"/>
          <w:spacing w:val="4"/>
          <w:position w:val="19"/>
        </w:rPr>
        <w:t>4.2.1</w:t>
      </w:r>
      <w:r>
        <w:rPr>
          <w:rFonts w:ascii="Times New Roman" w:eastAsia="Times New Roman" w:hAnsi="Times New Roman" w:cs="Times New Roman"/>
          <w:spacing w:val="35"/>
          <w:w w:val="101"/>
          <w:position w:val="19"/>
        </w:rPr>
        <w:t xml:space="preserve"> </w:t>
      </w:r>
      <w:r>
        <w:rPr>
          <w:rFonts w:ascii="Times New Roman" w:eastAsia="Times New Roman" w:hAnsi="Times New Roman" w:cs="Times New Roman"/>
          <w:spacing w:val="4"/>
          <w:position w:val="19"/>
        </w:rPr>
        <w:t>X</w:t>
      </w:r>
      <w:r>
        <w:rPr>
          <w:spacing w:val="4"/>
          <w:position w:val="19"/>
        </w:rPr>
        <w:t>射线管，用于产生激发</w:t>
      </w:r>
      <w:r>
        <w:rPr>
          <w:rFonts w:ascii="Times New Roman" w:eastAsia="Times New Roman" w:hAnsi="Times New Roman" w:cs="Times New Roman"/>
          <w:spacing w:val="4"/>
          <w:position w:val="19"/>
        </w:rPr>
        <w:t>X</w:t>
      </w:r>
      <w:r>
        <w:rPr>
          <w:spacing w:val="4"/>
          <w:position w:val="19"/>
        </w:rPr>
        <w:t>射线，便携式</w:t>
      </w:r>
      <w:r>
        <w:rPr>
          <w:rFonts w:ascii="Times New Roman" w:eastAsia="Times New Roman" w:hAnsi="Times New Roman" w:cs="Times New Roman"/>
          <w:position w:val="19"/>
        </w:rPr>
        <w:t>XRF</w:t>
      </w:r>
      <w:r>
        <w:rPr>
          <w:spacing w:val="4"/>
          <w:position w:val="19"/>
        </w:rPr>
        <w:t>检测仪功率通常小于等于</w:t>
      </w:r>
      <w:r>
        <w:rPr>
          <w:rFonts w:ascii="Times New Roman" w:eastAsia="Times New Roman" w:hAnsi="Times New Roman" w:cs="Times New Roman"/>
          <w:spacing w:val="4"/>
          <w:position w:val="19"/>
        </w:rPr>
        <w:t>50</w:t>
      </w:r>
      <w:r>
        <w:rPr>
          <w:spacing w:val="4"/>
          <w:position w:val="19"/>
        </w:rPr>
        <w:t>瓦，手</w:t>
      </w:r>
      <w:r>
        <w:rPr>
          <w:spacing w:val="3"/>
          <w:position w:val="19"/>
        </w:rPr>
        <w:t>持式</w:t>
      </w:r>
    </w:p>
    <w:p>
      <w:pPr>
        <w:pStyle w:val="BodyText"/>
        <w:spacing w:before="1" w:line="219" w:lineRule="auto"/>
        <w:ind w:left="13"/>
        <w:sectPr>
          <w:footerReference w:type="default" r:id="rId6"/>
          <w:pgSz w:w="11907" w:h="16839"/>
          <w:pgMar w:top="1431" w:right="1785" w:bottom="1152" w:left="1785" w:header="0" w:footer="988" w:gutter="0"/>
          <w:pgNumType w:start="3"/>
          <w:cols w:space="708"/>
        </w:sectPr>
      </w:pPr>
      <w:r>
        <w:rPr>
          <w:rFonts w:ascii="Times New Roman" w:eastAsia="Times New Roman" w:hAnsi="Times New Roman" w:cs="Times New Roman"/>
          <w:spacing w:val="-5"/>
        </w:rPr>
        <w:t>XRF</w:t>
      </w:r>
      <w:r>
        <w:rPr>
          <w:spacing w:val="-5"/>
        </w:rPr>
        <w:t>检测仪功率通常小于</w:t>
      </w:r>
      <w:r>
        <w:rPr>
          <w:rFonts w:ascii="Times New Roman" w:eastAsia="Times New Roman" w:hAnsi="Times New Roman" w:cs="Times New Roman"/>
          <w:spacing w:val="-5"/>
        </w:rPr>
        <w:t>10</w:t>
      </w:r>
      <w:r>
        <w:rPr>
          <w:spacing w:val="-5"/>
        </w:rPr>
        <w:t>瓦，</w:t>
      </w:r>
      <w:r>
        <w:rPr>
          <w:spacing w:val="-21"/>
        </w:rPr>
        <w:t xml:space="preserve"> </w:t>
      </w:r>
      <w:r>
        <w:rPr>
          <w:spacing w:val="-5"/>
        </w:rPr>
        <w:t>端窗和侧窗均可， 阳极靶材可选用</w:t>
      </w:r>
      <w:r>
        <w:rPr>
          <w:spacing w:val="-6"/>
        </w:rPr>
        <w:t>钨、铑和银等。</w:t>
      </w:r>
    </w:p>
    <w:p>
      <w:pPr>
        <w:pStyle w:val="BodyText"/>
        <w:spacing w:before="217" w:line="221" w:lineRule="auto"/>
        <w:ind w:left="15"/>
      </w:pPr>
      <w:r>
        <w:rPr>
          <w:rFonts w:ascii="Times New Roman" w:eastAsia="Times New Roman" w:hAnsi="Times New Roman" w:cs="Times New Roman"/>
          <w:spacing w:val="-3"/>
        </w:rPr>
        <w:t xml:space="preserve">4.2.2 </w:t>
      </w:r>
      <w:r>
        <w:rPr>
          <w:spacing w:val="-3"/>
        </w:rPr>
        <w:t>探测器，</w:t>
      </w:r>
      <w:r>
        <w:rPr>
          <w:spacing w:val="-7"/>
        </w:rPr>
        <w:t xml:space="preserve"> </w:t>
      </w:r>
      <w:r>
        <w:rPr>
          <w:spacing w:val="-3"/>
        </w:rPr>
        <w:t>硅漂移（</w:t>
      </w:r>
      <w:r>
        <w:rPr>
          <w:rFonts w:ascii="Times New Roman" w:eastAsia="Times New Roman" w:hAnsi="Times New Roman" w:cs="Times New Roman"/>
          <w:spacing w:val="-3"/>
        </w:rPr>
        <w:t>SDD</w:t>
      </w:r>
      <w:r>
        <w:rPr>
          <w:spacing w:val="-3"/>
        </w:rPr>
        <w:t>）半导体探测器或</w:t>
      </w:r>
      <w:r>
        <w:rPr>
          <w:rFonts w:ascii="Times New Roman" w:eastAsia="Times New Roman" w:hAnsi="Times New Roman" w:cs="Times New Roman"/>
          <w:spacing w:val="-3"/>
        </w:rPr>
        <w:t>Si-PIN</w:t>
      </w:r>
      <w:r>
        <w:rPr>
          <w:spacing w:val="-3"/>
        </w:rPr>
        <w:t>半导体探测器。</w:t>
      </w:r>
    </w:p>
    <w:p>
      <w:pPr>
        <w:pStyle w:val="BodyText"/>
        <w:spacing w:before="218" w:line="468" w:lineRule="exact"/>
        <w:ind w:left="15"/>
      </w:pPr>
      <w:r>
        <w:rPr>
          <w:rFonts w:ascii="Times New Roman" w:eastAsia="Times New Roman" w:hAnsi="Times New Roman" w:cs="Times New Roman"/>
          <w:spacing w:val="3"/>
          <w:position w:val="19"/>
        </w:rPr>
        <w:t>4.2.3</w:t>
      </w:r>
      <w:r>
        <w:rPr>
          <w:rFonts w:ascii="Times New Roman" w:eastAsia="Times New Roman" w:hAnsi="Times New Roman" w:cs="Times New Roman"/>
          <w:spacing w:val="47"/>
          <w:w w:val="101"/>
          <w:position w:val="19"/>
        </w:rPr>
        <w:t xml:space="preserve"> </w:t>
      </w:r>
      <w:r>
        <w:rPr>
          <w:spacing w:val="3"/>
          <w:position w:val="19"/>
        </w:rPr>
        <w:t>高压电源，给</w:t>
      </w:r>
      <w:r>
        <w:rPr>
          <w:rFonts w:ascii="Times New Roman" w:eastAsia="Times New Roman" w:hAnsi="Times New Roman" w:cs="Times New Roman"/>
          <w:spacing w:val="3"/>
          <w:position w:val="19"/>
        </w:rPr>
        <w:t>X</w:t>
      </w:r>
      <w:r>
        <w:rPr>
          <w:spacing w:val="3"/>
          <w:position w:val="19"/>
        </w:rPr>
        <w:t>射线管提供电源供给，最大电压范围通常在</w:t>
      </w:r>
      <w:r>
        <w:rPr>
          <w:rFonts w:ascii="Times New Roman" w:eastAsia="Times New Roman" w:hAnsi="Times New Roman" w:cs="Times New Roman"/>
          <w:spacing w:val="3"/>
          <w:position w:val="19"/>
        </w:rPr>
        <w:t>50-</w:t>
      </w:r>
      <w:r>
        <w:rPr>
          <w:rFonts w:ascii="Times New Roman" w:eastAsia="Times New Roman" w:hAnsi="Times New Roman" w:cs="Times New Roman"/>
          <w:spacing w:val="2"/>
          <w:position w:val="19"/>
        </w:rPr>
        <w:t>65</w:t>
      </w:r>
      <w:r>
        <w:rPr>
          <w:rFonts w:ascii="Times New Roman" w:eastAsia="Times New Roman" w:hAnsi="Times New Roman" w:cs="Times New Roman"/>
          <w:position w:val="19"/>
        </w:rPr>
        <w:t>KV</w:t>
      </w:r>
      <w:r>
        <w:rPr>
          <w:spacing w:val="2"/>
          <w:position w:val="19"/>
        </w:rPr>
        <w:t>，手持式的通常</w:t>
      </w:r>
    </w:p>
    <w:p>
      <w:pPr>
        <w:pStyle w:val="BodyText"/>
        <w:spacing w:line="220" w:lineRule="auto"/>
        <w:ind w:left="24"/>
      </w:pPr>
      <w:r>
        <w:rPr>
          <w:spacing w:val="-1"/>
        </w:rPr>
        <w:t>与</w:t>
      </w:r>
      <w:r>
        <w:rPr>
          <w:rFonts w:ascii="Times New Roman" w:eastAsia="Times New Roman" w:hAnsi="Times New Roman" w:cs="Times New Roman"/>
          <w:spacing w:val="-1"/>
        </w:rPr>
        <w:t>X</w:t>
      </w:r>
      <w:r>
        <w:rPr>
          <w:spacing w:val="-1"/>
        </w:rPr>
        <w:t>射线管集成在一体。</w:t>
      </w:r>
    </w:p>
    <w:p>
      <w:pPr>
        <w:spacing w:line="220" w:lineRule="auto"/>
        <w:sectPr>
          <w:footerReference w:type="default" r:id="rId7"/>
          <w:type w:val="nextPage"/>
          <w:pgSz w:w="11907" w:h="16839"/>
          <w:pgMar w:top="1431" w:right="1785" w:bottom="1152" w:left="1785" w:header="0" w:footer="988" w:gutter="0"/>
          <w:pgNumType w:start="4"/>
          <w:cols w:space="708"/>
          <w:titlePg w:val="0"/>
        </w:sectPr>
      </w:pPr>
    </w:p>
    <w:p>
      <w:pPr>
        <w:pStyle w:val="BodyText"/>
        <w:spacing w:before="136" w:line="221" w:lineRule="auto"/>
        <w:ind w:left="15"/>
      </w:pPr>
      <w:r>
        <w:rPr>
          <w:rFonts w:ascii="Times New Roman" w:eastAsia="Times New Roman" w:hAnsi="Times New Roman" w:cs="Times New Roman"/>
          <w:spacing w:val="-1"/>
        </w:rPr>
        <w:t xml:space="preserve">4.2.4 </w:t>
      </w:r>
      <w:r>
        <w:rPr>
          <w:spacing w:val="-1"/>
        </w:rPr>
        <w:t>光学系统，可选用单色化光学晶体或金属滤光片。</w:t>
      </w:r>
    </w:p>
    <w:p>
      <w:pPr>
        <w:pStyle w:val="BodyText"/>
        <w:spacing w:before="216" w:line="221" w:lineRule="auto"/>
        <w:ind w:left="15"/>
      </w:pPr>
      <w:r>
        <w:rPr>
          <w:rFonts w:ascii="Times New Roman" w:eastAsia="Times New Roman" w:hAnsi="Times New Roman" w:cs="Times New Roman"/>
          <w:spacing w:val="-3"/>
        </w:rPr>
        <w:t xml:space="preserve">4.2.5 </w:t>
      </w:r>
      <w:r>
        <w:rPr>
          <w:spacing w:val="-3"/>
        </w:rPr>
        <w:t>数字脉冲处理器，</w:t>
      </w:r>
      <w:r>
        <w:rPr>
          <w:spacing w:val="-23"/>
        </w:rPr>
        <w:t xml:space="preserve"> </w:t>
      </w:r>
      <w:r>
        <w:rPr>
          <w:spacing w:val="-3"/>
        </w:rPr>
        <w:t>且</w:t>
      </w:r>
      <w:r>
        <w:rPr>
          <w:rFonts w:ascii="Times New Roman" w:eastAsia="Times New Roman" w:hAnsi="Times New Roman" w:cs="Times New Roman"/>
          <w:spacing w:val="-3"/>
        </w:rPr>
        <w:t>MCA</w:t>
      </w:r>
      <w:r>
        <w:rPr>
          <w:spacing w:val="-3"/>
        </w:rPr>
        <w:t>拥有不少于</w:t>
      </w:r>
      <w:r>
        <w:rPr>
          <w:rFonts w:ascii="Times New Roman" w:eastAsia="Times New Roman" w:hAnsi="Times New Roman" w:cs="Times New Roman"/>
          <w:spacing w:val="-3"/>
        </w:rPr>
        <w:t>2</w:t>
      </w:r>
      <w:r>
        <w:rPr>
          <w:rFonts w:ascii="Times New Roman" w:eastAsia="Times New Roman" w:hAnsi="Times New Roman" w:cs="Times New Roman"/>
          <w:spacing w:val="-4"/>
        </w:rPr>
        <w:t>048</w:t>
      </w:r>
      <w:r>
        <w:rPr>
          <w:spacing w:val="-4"/>
        </w:rPr>
        <w:t>个通道。</w:t>
      </w:r>
    </w:p>
    <w:p>
      <w:pPr>
        <w:pStyle w:val="BodyText"/>
        <w:spacing w:before="216" w:line="221" w:lineRule="auto"/>
        <w:ind w:left="15"/>
      </w:pPr>
      <w:r>
        <w:rPr>
          <w:rFonts w:ascii="Times New Roman" w:eastAsia="Times New Roman" w:hAnsi="Times New Roman" w:cs="Times New Roman"/>
          <w:spacing w:val="-3"/>
        </w:rPr>
        <w:t xml:space="preserve">4.2.6 </w:t>
      </w:r>
      <w:r>
        <w:rPr>
          <w:spacing w:val="-3"/>
        </w:rPr>
        <w:t>算法与软件，</w:t>
      </w:r>
      <w:r>
        <w:rPr>
          <w:spacing w:val="-16"/>
        </w:rPr>
        <w:t xml:space="preserve"> </w:t>
      </w:r>
      <w:r>
        <w:rPr>
          <w:spacing w:val="-3"/>
        </w:rPr>
        <w:t>包括谱图解析、基体效应校正和测试功能软件模块。</w:t>
      </w:r>
    </w:p>
    <w:p>
      <w:pPr>
        <w:spacing w:line="381" w:lineRule="auto"/>
        <w:rPr>
          <w:rFonts w:ascii="Arial"/>
          <w:sz w:val="21"/>
        </w:rPr>
      </w:pPr>
    </w:p>
    <w:p>
      <w:pPr>
        <w:spacing w:before="68" w:line="220" w:lineRule="auto"/>
        <w:ind w:left="22"/>
        <w:rPr>
          <w:rFonts w:ascii="SimHei" w:eastAsia="SimHei" w:hAnsi="SimHei" w:cs="SimHei"/>
          <w:sz w:val="21"/>
          <w:szCs w:val="21"/>
        </w:rPr>
      </w:pPr>
      <w:r>
        <w:rPr>
          <w:rFonts w:ascii="Times New Roman" w:eastAsia="Times New Roman" w:hAnsi="Times New Roman" w:cs="Times New Roman"/>
          <w:spacing w:val="-1"/>
          <w:sz w:val="21"/>
          <w:szCs w:val="21"/>
        </w:rPr>
        <w:t xml:space="preserve">5    </w:t>
      </w:r>
      <w:r>
        <w:rPr>
          <w:rFonts w:ascii="SimHei" w:eastAsia="SimHei" w:hAnsi="SimHei" w:cs="SimHei"/>
          <w:spacing w:val="-1"/>
          <w:sz w:val="21"/>
          <w:szCs w:val="21"/>
        </w:rPr>
        <w:t>仪器技术要求</w:t>
      </w:r>
    </w:p>
    <w:p>
      <w:pPr>
        <w:spacing w:line="379" w:lineRule="auto"/>
        <w:rPr>
          <w:rFonts w:ascii="Arial"/>
          <w:sz w:val="21"/>
        </w:rPr>
      </w:pPr>
    </w:p>
    <w:p>
      <w:pPr>
        <w:pStyle w:val="BodyText"/>
        <w:spacing w:before="69" w:line="221" w:lineRule="auto"/>
        <w:ind w:left="22"/>
      </w:pPr>
      <w:r>
        <w:rPr>
          <w:spacing w:val="-1"/>
        </w:rPr>
        <w:t>可用于现场检测的</w:t>
      </w:r>
      <w:r>
        <w:rPr>
          <w:spacing w:val="-41"/>
        </w:rPr>
        <w:t xml:space="preserve"> </w:t>
      </w:r>
      <w:r>
        <w:rPr>
          <w:rFonts w:ascii="Times New Roman" w:eastAsia="Times New Roman" w:hAnsi="Times New Roman" w:cs="Times New Roman"/>
          <w:spacing w:val="-1"/>
        </w:rPr>
        <w:t xml:space="preserve">X </w:t>
      </w:r>
      <w:r>
        <w:rPr>
          <w:spacing w:val="-1"/>
        </w:rPr>
        <w:t>射线荧光光谱检测仪可参考以下要求。</w:t>
      </w:r>
    </w:p>
    <w:p>
      <w:pPr>
        <w:pStyle w:val="BodyText"/>
        <w:spacing w:before="217" w:line="222" w:lineRule="auto"/>
        <w:ind w:left="22"/>
      </w:pPr>
      <w:r>
        <w:rPr>
          <w:rFonts w:ascii="Times New Roman" w:eastAsia="Times New Roman" w:hAnsi="Times New Roman" w:cs="Times New Roman"/>
          <w:spacing w:val="-3"/>
        </w:rPr>
        <w:t>5.1</w:t>
      </w:r>
      <w:r>
        <w:rPr>
          <w:rFonts w:ascii="Times New Roman" w:eastAsia="Times New Roman" w:hAnsi="Times New Roman" w:cs="Times New Roman"/>
          <w:spacing w:val="12"/>
        </w:rPr>
        <w:t xml:space="preserve"> </w:t>
      </w:r>
      <w:r>
        <w:rPr>
          <w:spacing w:val="-3"/>
        </w:rPr>
        <w:t>一般要求</w:t>
      </w:r>
    </w:p>
    <w:p>
      <w:pPr>
        <w:pStyle w:val="BodyText"/>
        <w:spacing w:before="216" w:line="221" w:lineRule="auto"/>
        <w:ind w:left="22"/>
      </w:pPr>
      <w:r>
        <w:rPr>
          <w:rFonts w:ascii="Times New Roman" w:eastAsia="Times New Roman" w:hAnsi="Times New Roman" w:cs="Times New Roman"/>
          <w:spacing w:val="-1"/>
        </w:rPr>
        <w:t xml:space="preserve">5.1.1 </w:t>
      </w:r>
      <w:r>
        <w:rPr>
          <w:spacing w:val="-1"/>
        </w:rPr>
        <w:t>铭牌，铭牌上应标有名称、型号、生产单位、出厂编号、制造日期等信息。</w:t>
      </w:r>
    </w:p>
    <w:p>
      <w:pPr>
        <w:pStyle w:val="BodyText"/>
        <w:spacing w:before="217" w:line="221" w:lineRule="auto"/>
        <w:ind w:left="22"/>
      </w:pPr>
      <w:r>
        <w:rPr>
          <w:rFonts w:ascii="Times New Roman" w:eastAsia="Times New Roman" w:hAnsi="Times New Roman" w:cs="Times New Roman"/>
          <w:spacing w:val="-2"/>
        </w:rPr>
        <w:t xml:space="preserve">5.1.2 </w:t>
      </w:r>
      <w:r>
        <w:rPr>
          <w:spacing w:val="-2"/>
        </w:rPr>
        <w:t>仪器表面，应完好无损，无明显缺陷，各零、部件连接可靠，</w:t>
      </w:r>
      <w:r>
        <w:rPr>
          <w:spacing w:val="-21"/>
        </w:rPr>
        <w:t xml:space="preserve"> </w:t>
      </w:r>
      <w:r>
        <w:rPr>
          <w:spacing w:val="-2"/>
        </w:rPr>
        <w:t>各操作</w:t>
      </w:r>
      <w:r>
        <w:rPr>
          <w:spacing w:val="-3"/>
        </w:rPr>
        <w:t>键、按钮使用</w:t>
      </w:r>
    </w:p>
    <w:p>
      <w:pPr>
        <w:pStyle w:val="BodyText"/>
        <w:spacing w:before="217" w:line="221" w:lineRule="auto"/>
        <w:ind w:left="23"/>
      </w:pPr>
      <w:r>
        <w:rPr>
          <w:spacing w:val="-13"/>
        </w:rPr>
        <w:t>灵活， 定位准确。</w:t>
      </w:r>
    </w:p>
    <w:p>
      <w:pPr>
        <w:pStyle w:val="BodyText"/>
        <w:spacing w:before="216" w:line="220" w:lineRule="auto"/>
        <w:ind w:left="22"/>
      </w:pPr>
      <w:r>
        <w:rPr>
          <w:rFonts w:ascii="Times New Roman" w:eastAsia="Times New Roman" w:hAnsi="Times New Roman" w:cs="Times New Roman"/>
          <w:spacing w:val="-3"/>
        </w:rPr>
        <w:t xml:space="preserve">5.1.3 </w:t>
      </w:r>
      <w:r>
        <w:rPr>
          <w:spacing w:val="-3"/>
        </w:rPr>
        <w:t>仪器主机面板显示清晰，涂色牢固，</w:t>
      </w:r>
      <w:r>
        <w:rPr>
          <w:spacing w:val="-4"/>
        </w:rPr>
        <w:t xml:space="preserve"> </w:t>
      </w:r>
      <w:r>
        <w:rPr>
          <w:spacing w:val="-3"/>
        </w:rPr>
        <w:t>字符、标识易于识别，无影响读数的缺陷。</w:t>
      </w:r>
    </w:p>
    <w:p>
      <w:pPr>
        <w:pStyle w:val="BodyText"/>
        <w:spacing w:before="218" w:line="221" w:lineRule="auto"/>
        <w:ind w:left="22"/>
      </w:pPr>
      <w:r>
        <w:rPr>
          <w:rFonts w:ascii="Times New Roman" w:eastAsia="Times New Roman" w:hAnsi="Times New Roman" w:cs="Times New Roman"/>
          <w:spacing w:val="-1"/>
        </w:rPr>
        <w:t xml:space="preserve">5.1.4 </w:t>
      </w:r>
      <w:r>
        <w:rPr>
          <w:spacing w:val="-1"/>
        </w:rPr>
        <w:t>仪器外壳或外罩应耐腐蚀、密封性能良好、防尘、防雨。</w:t>
      </w:r>
    </w:p>
    <w:p>
      <w:pPr>
        <w:pStyle w:val="BodyText"/>
        <w:spacing w:before="216" w:line="220" w:lineRule="auto"/>
        <w:ind w:left="22"/>
      </w:pPr>
      <w:r>
        <w:rPr>
          <w:rFonts w:ascii="Times New Roman" w:eastAsia="Times New Roman" w:hAnsi="Times New Roman" w:cs="Times New Roman"/>
          <w:spacing w:val="-3"/>
        </w:rPr>
        <w:t xml:space="preserve">5.1.5 </w:t>
      </w:r>
      <w:r>
        <w:rPr>
          <w:spacing w:val="-3"/>
        </w:rPr>
        <w:t>包装，完整且内容物（产品组成）齐全， 应包含产品合格证和中文使用说明书；</w:t>
      </w:r>
    </w:p>
    <w:p>
      <w:pPr>
        <w:pStyle w:val="BodyText"/>
        <w:spacing w:before="218" w:line="220" w:lineRule="auto"/>
        <w:ind w:left="22"/>
      </w:pPr>
      <w:r>
        <w:rPr>
          <w:rFonts w:ascii="Times New Roman" w:eastAsia="Times New Roman" w:hAnsi="Times New Roman" w:cs="Times New Roman"/>
          <w:spacing w:val="-2"/>
        </w:rPr>
        <w:t xml:space="preserve">5.1.6 </w:t>
      </w:r>
      <w:r>
        <w:rPr>
          <w:spacing w:val="-2"/>
        </w:rPr>
        <w:t>使用说明书，内容清晰、完整，</w:t>
      </w:r>
      <w:r>
        <w:rPr>
          <w:spacing w:val="-22"/>
        </w:rPr>
        <w:t xml:space="preserve"> </w:t>
      </w:r>
      <w:r>
        <w:rPr>
          <w:spacing w:val="-2"/>
        </w:rPr>
        <w:t>包括简介、适用范围、检</w:t>
      </w:r>
      <w:r>
        <w:rPr>
          <w:spacing w:val="-3"/>
        </w:rPr>
        <w:t>测时间、检测原理、产品组</w:t>
      </w:r>
    </w:p>
    <w:p>
      <w:pPr>
        <w:pStyle w:val="BodyText"/>
        <w:spacing w:before="219" w:line="468" w:lineRule="exact"/>
        <w:ind w:left="22"/>
      </w:pPr>
      <w:r>
        <w:rPr>
          <w:position w:val="19"/>
        </w:rPr>
        <w:t>成、试剂设备、注意事项、样品处理、操作环境、检测步骤、检出限或定量限、安</w:t>
      </w:r>
      <w:r>
        <w:rPr>
          <w:spacing w:val="-1"/>
          <w:position w:val="19"/>
        </w:rPr>
        <w:t>全性说</w:t>
      </w:r>
    </w:p>
    <w:p>
      <w:pPr>
        <w:pStyle w:val="BodyText"/>
        <w:spacing w:line="220" w:lineRule="auto"/>
        <w:ind w:left="40"/>
      </w:pPr>
      <w:r>
        <w:rPr>
          <w:spacing w:val="-17"/>
        </w:rPr>
        <w:t>明等；</w:t>
      </w:r>
    </w:p>
    <w:p>
      <w:pPr>
        <w:pStyle w:val="BodyText"/>
        <w:spacing w:before="218" w:line="411" w:lineRule="auto"/>
        <w:ind w:left="20" w:right="74" w:firstLine="1"/>
      </w:pPr>
      <w:r>
        <w:rPr>
          <w:rFonts w:ascii="Times New Roman" w:eastAsia="Times New Roman" w:hAnsi="Times New Roman" w:cs="Times New Roman"/>
        </w:rPr>
        <w:t xml:space="preserve">5.1.7 </w:t>
      </w:r>
      <w:r>
        <w:t>生产资质，生产者名称和地址应当是依法登记注册、能够承担产品安</w:t>
      </w:r>
      <w:r>
        <w:rPr>
          <w:spacing w:val="-1"/>
        </w:rPr>
        <w:t>全质量责任的生</w:t>
      </w:r>
      <w:r>
        <w:t xml:space="preserve"> </w:t>
      </w:r>
      <w:r>
        <w:rPr>
          <w:spacing w:val="-3"/>
        </w:rPr>
        <w:t>产者的名称、地址、联系方式（电话、传真或邮箱地址） 。进口产品应标示原产国国名或</w:t>
      </w:r>
    </w:p>
    <w:p>
      <w:pPr>
        <w:pStyle w:val="BodyText"/>
        <w:spacing w:before="1" w:line="219" w:lineRule="auto"/>
        <w:ind w:left="20"/>
      </w:pPr>
      <w:r>
        <w:rPr>
          <w:spacing w:val="-3"/>
        </w:rPr>
        <w:t>地区名称， 以及在中国依法登记注册的代理商、进口商或经销者的名称、地址和联系方</w:t>
      </w:r>
    </w:p>
    <w:p>
      <w:pPr>
        <w:pStyle w:val="BodyText"/>
        <w:spacing w:before="218" w:line="220" w:lineRule="auto"/>
        <w:ind w:left="24"/>
      </w:pPr>
      <w:r>
        <w:rPr>
          <w:spacing w:val="-3"/>
        </w:rPr>
        <w:t>式，并提供合法进口证明文件；</w:t>
      </w:r>
    </w:p>
    <w:p>
      <w:pPr>
        <w:pStyle w:val="BodyText"/>
        <w:spacing w:before="218" w:line="213" w:lineRule="auto"/>
        <w:ind w:left="22"/>
      </w:pPr>
      <w:r>
        <w:rPr>
          <w:rFonts w:ascii="Times New Roman" w:eastAsia="Times New Roman" w:hAnsi="Times New Roman" w:cs="Times New Roman"/>
          <w:spacing w:val="-3"/>
        </w:rPr>
        <w:t xml:space="preserve">5.1.8 </w:t>
      </w:r>
      <w:r>
        <w:rPr>
          <w:spacing w:val="-3"/>
        </w:rPr>
        <w:t>便携性，</w:t>
      </w:r>
      <w:r>
        <w:rPr>
          <w:spacing w:val="-22"/>
        </w:rPr>
        <w:t xml:space="preserve"> </w:t>
      </w:r>
      <w:r>
        <w:rPr>
          <w:spacing w:val="-3"/>
        </w:rPr>
        <w:t>便携式仪器质量通常小于</w:t>
      </w:r>
      <w:r>
        <w:rPr>
          <w:spacing w:val="-28"/>
        </w:rPr>
        <w:t xml:space="preserve"> </w:t>
      </w:r>
      <w:r>
        <w:rPr>
          <w:rFonts w:ascii="Times New Roman" w:eastAsia="Times New Roman" w:hAnsi="Times New Roman" w:cs="Times New Roman"/>
          <w:spacing w:val="-3"/>
        </w:rPr>
        <w:t>10kg</w:t>
      </w:r>
      <w:r>
        <w:rPr>
          <w:spacing w:val="-3"/>
        </w:rPr>
        <w:t>，手持式仪器质量通常小于</w:t>
      </w:r>
      <w:r>
        <w:rPr>
          <w:spacing w:val="-43"/>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4"/>
        </w:rPr>
        <w:t>kg</w:t>
      </w:r>
      <w:r>
        <w:rPr>
          <w:spacing w:val="-4"/>
        </w:rPr>
        <w:t>。</w:t>
      </w:r>
    </w:p>
    <w:p>
      <w:pPr>
        <w:pStyle w:val="BodyText"/>
        <w:spacing w:before="226" w:line="220" w:lineRule="auto"/>
        <w:ind w:left="22"/>
      </w:pPr>
      <w:r>
        <w:rPr>
          <w:rFonts w:ascii="Times New Roman" w:eastAsia="Times New Roman" w:hAnsi="Times New Roman" w:cs="Times New Roman"/>
          <w:spacing w:val="-4"/>
        </w:rPr>
        <w:t>5.1.9</w:t>
      </w:r>
      <w:r>
        <w:rPr>
          <w:rFonts w:ascii="Times New Roman" w:eastAsia="Times New Roman" w:hAnsi="Times New Roman" w:cs="Times New Roman"/>
          <w:spacing w:val="34"/>
        </w:rPr>
        <w:t xml:space="preserve"> </w:t>
      </w:r>
      <w:r>
        <w:rPr>
          <w:spacing w:val="-4"/>
        </w:rPr>
        <w:t>电池，通常内置电池，手持式可由用户更换，</w:t>
      </w:r>
      <w:r>
        <w:rPr>
          <w:spacing w:val="-21"/>
        </w:rPr>
        <w:t xml:space="preserve"> </w:t>
      </w:r>
      <w:r>
        <w:rPr>
          <w:spacing w:val="-4"/>
        </w:rPr>
        <w:t>可供设备工作不少于</w:t>
      </w:r>
      <w:r>
        <w:rPr>
          <w:spacing w:val="-49"/>
        </w:rPr>
        <w:t xml:space="preserve"> </w:t>
      </w:r>
      <w:r>
        <w:rPr>
          <w:rFonts w:ascii="Times New Roman" w:eastAsia="Times New Roman" w:hAnsi="Times New Roman" w:cs="Times New Roman"/>
          <w:spacing w:val="-4"/>
        </w:rPr>
        <w:t xml:space="preserve">4 </w:t>
      </w:r>
      <w:r>
        <w:rPr>
          <w:spacing w:val="-4"/>
        </w:rPr>
        <w:t>小时。</w:t>
      </w:r>
    </w:p>
    <w:p>
      <w:pPr>
        <w:pStyle w:val="BodyText"/>
        <w:spacing w:before="217" w:line="221" w:lineRule="auto"/>
        <w:ind w:left="22"/>
      </w:pPr>
      <w:r>
        <w:rPr>
          <w:rFonts w:ascii="Times New Roman" w:eastAsia="Times New Roman" w:hAnsi="Times New Roman" w:cs="Times New Roman"/>
        </w:rPr>
        <w:t xml:space="preserve">5.1.10 </w:t>
      </w:r>
      <w:r>
        <w:t>散热性能，仪器光路系统设计需要独立的散热系统或光路散热器可直接</w:t>
      </w:r>
      <w:r>
        <w:rPr>
          <w:spacing w:val="-1"/>
        </w:rPr>
        <w:t>外置，光管</w:t>
      </w:r>
    </w:p>
    <w:p>
      <w:pPr>
        <w:pStyle w:val="BodyText"/>
        <w:spacing w:before="217" w:line="221" w:lineRule="auto"/>
        <w:ind w:left="20"/>
      </w:pPr>
      <w:r>
        <w:rPr>
          <w:spacing w:val="-1"/>
        </w:rPr>
        <w:t>产生的热量可直接导出仪器外部。</w:t>
      </w:r>
    </w:p>
    <w:p>
      <w:pPr>
        <w:pStyle w:val="BodyText"/>
        <w:spacing w:before="217" w:line="221" w:lineRule="auto"/>
        <w:ind w:left="22"/>
      </w:pPr>
      <w:r>
        <w:rPr>
          <w:rFonts w:ascii="Times New Roman" w:eastAsia="Times New Roman" w:hAnsi="Times New Roman" w:cs="Times New Roman"/>
          <w:spacing w:val="-3"/>
        </w:rPr>
        <w:t>5.2</w:t>
      </w:r>
      <w:r>
        <w:rPr>
          <w:rFonts w:ascii="Times New Roman" w:eastAsia="Times New Roman" w:hAnsi="Times New Roman" w:cs="Times New Roman"/>
          <w:spacing w:val="12"/>
        </w:rPr>
        <w:t xml:space="preserve"> </w:t>
      </w:r>
      <w:r>
        <w:rPr>
          <w:spacing w:val="-3"/>
        </w:rPr>
        <w:t>工作条件</w:t>
      </w:r>
    </w:p>
    <w:p>
      <w:pPr>
        <w:pStyle w:val="BodyText"/>
        <w:spacing w:before="217" w:line="235" w:lineRule="auto"/>
        <w:ind w:left="22"/>
      </w:pPr>
      <w:r>
        <w:rPr>
          <w:rFonts w:ascii="Times New Roman" w:eastAsia="Times New Roman" w:hAnsi="Times New Roman" w:cs="Times New Roman"/>
          <w:spacing w:val="-2"/>
        </w:rPr>
        <w:t xml:space="preserve">5.2.1 </w:t>
      </w:r>
      <w:r>
        <w:rPr>
          <w:spacing w:val="-2"/>
        </w:rPr>
        <w:t>环境温度</w:t>
      </w:r>
      <w:r>
        <w:rPr>
          <w:spacing w:val="4"/>
        </w:rPr>
        <w:t>：（</w:t>
      </w:r>
      <w:r>
        <w:rPr>
          <w:rFonts w:ascii="Times New Roman" w:eastAsia="Times New Roman" w:hAnsi="Times New Roman" w:cs="Times New Roman"/>
          <w:spacing w:val="-2"/>
        </w:rPr>
        <w:t>-</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15</w:t>
      </w:r>
      <w:r>
        <w:rPr>
          <w:spacing w:val="-2"/>
        </w:rPr>
        <w:t>～</w:t>
      </w:r>
      <w:r>
        <w:rPr>
          <w:rFonts w:ascii="Times New Roman" w:eastAsia="Times New Roman" w:hAnsi="Times New Roman" w:cs="Times New Roman"/>
          <w:spacing w:val="-2"/>
        </w:rPr>
        <w:t>50</w:t>
      </w:r>
      <w:r>
        <w:rPr>
          <w:spacing w:val="-2"/>
        </w:rPr>
        <w:t>）</w:t>
      </w:r>
      <w:r>
        <w:rPr>
          <w:rFonts w:ascii="Times New Roman" w:eastAsia="Times New Roman" w:hAnsi="Times New Roman" w:cs="Times New Roman"/>
          <w:spacing w:val="-2"/>
        </w:rPr>
        <w:t>℃</w:t>
      </w:r>
      <w:r>
        <w:rPr>
          <w:spacing w:val="-2"/>
        </w:rPr>
        <w:t>;</w:t>
      </w:r>
    </w:p>
    <w:p>
      <w:pPr>
        <w:pStyle w:val="BodyText"/>
        <w:spacing w:before="201" w:line="235" w:lineRule="auto"/>
        <w:ind w:left="22"/>
      </w:pPr>
      <w:r>
        <w:rPr>
          <w:rFonts w:ascii="Times New Roman" w:eastAsia="Times New Roman" w:hAnsi="Times New Roman" w:cs="Times New Roman"/>
          <w:spacing w:val="-1"/>
        </w:rPr>
        <w:t xml:space="preserve">5.2.2 </w:t>
      </w:r>
      <w:r>
        <w:rPr>
          <w:spacing w:val="-1"/>
        </w:rPr>
        <w:t>相对湿度：</w:t>
      </w:r>
      <w:r>
        <w:rPr>
          <w:rFonts w:ascii="Times New Roman" w:eastAsia="Times New Roman" w:hAnsi="Times New Roman" w:cs="Times New Roman"/>
          <w:spacing w:val="-1"/>
        </w:rPr>
        <w:t>≤85%</w:t>
      </w:r>
      <w:r>
        <w:rPr>
          <w:spacing w:val="-1"/>
        </w:rPr>
        <w:t>；</w:t>
      </w:r>
    </w:p>
    <w:p>
      <w:pPr>
        <w:pStyle w:val="BodyText"/>
        <w:spacing w:before="200" w:line="221" w:lineRule="auto"/>
        <w:ind w:left="22"/>
        <w:sectPr>
          <w:footerReference w:type="default" r:id="rId8"/>
          <w:pgSz w:w="11907" w:h="16839"/>
          <w:pgMar w:top="1431" w:right="1785" w:bottom="1152" w:left="1785" w:header="0" w:footer="988" w:gutter="0"/>
          <w:pgNumType w:start="5"/>
          <w:cols w:space="708"/>
        </w:sectPr>
      </w:pPr>
      <w:r>
        <w:rPr>
          <w:rFonts w:ascii="Times New Roman" w:eastAsia="Times New Roman" w:hAnsi="Times New Roman" w:cs="Times New Roman"/>
          <w:spacing w:val="-3"/>
        </w:rPr>
        <w:t xml:space="preserve">5.2.3 </w:t>
      </w:r>
      <w:r>
        <w:rPr>
          <w:spacing w:val="-3"/>
        </w:rPr>
        <w:t>大气压</w:t>
      </w:r>
      <w:r>
        <w:rPr>
          <w:spacing w:val="-12"/>
        </w:rPr>
        <w:t>：</w:t>
      </w:r>
      <w:r>
        <w:rPr>
          <w:spacing w:val="-28"/>
        </w:rPr>
        <w:t xml:space="preserve"> </w:t>
      </w:r>
      <w:r>
        <w:rPr>
          <w:spacing w:val="-12"/>
        </w:rPr>
        <w:t>（</w:t>
      </w:r>
      <w:r>
        <w:rPr>
          <w:rFonts w:ascii="Times New Roman" w:eastAsia="Times New Roman" w:hAnsi="Times New Roman" w:cs="Times New Roman"/>
          <w:spacing w:val="-3"/>
        </w:rPr>
        <w:t>80</w:t>
      </w:r>
      <w:r>
        <w:rPr>
          <w:spacing w:val="-3"/>
        </w:rPr>
        <w:t>～</w:t>
      </w:r>
      <w:r>
        <w:rPr>
          <w:rFonts w:ascii="Times New Roman" w:eastAsia="Times New Roman" w:hAnsi="Times New Roman" w:cs="Times New Roman"/>
          <w:spacing w:val="-3"/>
        </w:rPr>
        <w:t>106</w:t>
      </w:r>
      <w:r>
        <w:rPr>
          <w:spacing w:val="-3"/>
        </w:rPr>
        <w:t>）</w:t>
      </w:r>
      <w:r>
        <w:rPr>
          <w:rFonts w:ascii="Times New Roman" w:eastAsia="Times New Roman" w:hAnsi="Times New Roman" w:cs="Times New Roman"/>
          <w:spacing w:val="-3"/>
        </w:rPr>
        <w:t>kPa</w:t>
      </w:r>
      <w:r>
        <w:rPr>
          <w:spacing w:val="-3"/>
        </w:rPr>
        <w:t>；</w:t>
      </w:r>
    </w:p>
    <w:p>
      <w:pPr>
        <w:pStyle w:val="BodyText"/>
        <w:spacing w:before="217" w:line="220" w:lineRule="auto"/>
        <w:ind w:left="22"/>
      </w:pPr>
      <w:r>
        <w:rPr>
          <w:rFonts w:ascii="Times New Roman" w:eastAsia="Times New Roman" w:hAnsi="Times New Roman" w:cs="Times New Roman"/>
        </w:rPr>
        <w:t xml:space="preserve">5.2.4 </w:t>
      </w:r>
      <w:r>
        <w:t>供电电压：</w:t>
      </w:r>
      <w:r>
        <w:rPr>
          <w:rFonts w:ascii="Times New Roman" w:eastAsia="Times New Roman" w:hAnsi="Times New Roman" w:cs="Times New Roman"/>
        </w:rPr>
        <w:t>AC</w:t>
      </w:r>
      <w:r>
        <w:t>（</w:t>
      </w:r>
      <w:r>
        <w:rPr>
          <w:rFonts w:ascii="Times New Roman" w:eastAsia="Times New Roman" w:hAnsi="Times New Roman" w:cs="Times New Roman"/>
        </w:rPr>
        <w:t>220±22</w:t>
      </w:r>
      <w:r>
        <w:t>）</w:t>
      </w:r>
      <w:r>
        <w:rPr>
          <w:rFonts w:ascii="Times New Roman" w:eastAsia="Times New Roman" w:hAnsi="Times New Roman" w:cs="Times New Roman"/>
        </w:rPr>
        <w:t>V</w:t>
      </w:r>
      <w:r>
        <w:rPr>
          <w:spacing w:val="-15"/>
        </w:rPr>
        <w:t>，（</w:t>
      </w:r>
      <w:r>
        <w:rPr>
          <w:rFonts w:ascii="Times New Roman" w:eastAsia="Times New Roman" w:hAnsi="Times New Roman" w:cs="Times New Roman"/>
        </w:rPr>
        <w:t>50±1</w:t>
      </w:r>
      <w:r>
        <w:t>）</w:t>
      </w:r>
      <w:r>
        <w:rPr>
          <w:rFonts w:ascii="Times New Roman" w:eastAsia="Times New Roman" w:hAnsi="Times New Roman" w:cs="Times New Roman"/>
        </w:rPr>
        <w:t>Hz</w:t>
      </w:r>
      <w:r>
        <w:t>。可使</w:t>
      </w:r>
      <w:r>
        <w:rPr>
          <w:spacing w:val="-1"/>
        </w:rPr>
        <w:t>用</w:t>
      </w:r>
      <w:r>
        <w:rPr>
          <w:spacing w:val="-51"/>
        </w:rPr>
        <w:t xml:space="preserve"> </w:t>
      </w:r>
      <w:r>
        <w:rPr>
          <w:rFonts w:ascii="Times New Roman" w:eastAsia="Times New Roman" w:hAnsi="Times New Roman" w:cs="Times New Roman"/>
          <w:spacing w:val="-1"/>
        </w:rPr>
        <w:t>DC 24 V</w:t>
      </w:r>
      <w:r>
        <w:rPr>
          <w:rFonts w:ascii="Times New Roman" w:eastAsia="Times New Roman" w:hAnsi="Times New Roman" w:cs="Times New Roman"/>
          <w:spacing w:val="33"/>
        </w:rPr>
        <w:t xml:space="preserve"> </w:t>
      </w:r>
      <w:r>
        <w:rPr>
          <w:spacing w:val="-1"/>
        </w:rPr>
        <w:t>电源。</w:t>
      </w:r>
    </w:p>
    <w:p>
      <w:pPr>
        <w:pStyle w:val="BodyText"/>
        <w:spacing w:before="218" w:line="222" w:lineRule="auto"/>
        <w:ind w:left="22"/>
      </w:pPr>
      <w:r>
        <w:rPr>
          <w:rFonts w:ascii="Times New Roman" w:eastAsia="Times New Roman" w:hAnsi="Times New Roman" w:cs="Times New Roman"/>
          <w:spacing w:val="-3"/>
        </w:rPr>
        <w:t>5.3</w:t>
      </w:r>
      <w:r>
        <w:rPr>
          <w:rFonts w:ascii="Times New Roman" w:eastAsia="Times New Roman" w:hAnsi="Times New Roman" w:cs="Times New Roman"/>
          <w:spacing w:val="6"/>
        </w:rPr>
        <w:t xml:space="preserve">  </w:t>
      </w:r>
      <w:r>
        <w:rPr>
          <w:spacing w:val="-3"/>
        </w:rPr>
        <w:t>安全要求</w:t>
      </w:r>
    </w:p>
    <w:p>
      <w:pPr>
        <w:spacing w:line="222" w:lineRule="auto"/>
        <w:sectPr>
          <w:footerReference w:type="default" r:id="rId9"/>
          <w:type w:val="nextPage"/>
          <w:pgSz w:w="11907" w:h="16839"/>
          <w:pgMar w:top="1431" w:right="1785" w:bottom="1152" w:left="1785" w:header="0" w:footer="988" w:gutter="0"/>
          <w:pgNumType w:start="6"/>
          <w:cols w:space="708"/>
          <w:titlePg w:val="0"/>
        </w:sectPr>
      </w:pPr>
    </w:p>
    <w:p>
      <w:pPr>
        <w:pStyle w:val="BodyText"/>
        <w:spacing w:before="136" w:line="221" w:lineRule="auto"/>
        <w:ind w:left="22"/>
      </w:pPr>
      <w:r>
        <w:rPr>
          <w:rFonts w:ascii="Times New Roman" w:eastAsia="Times New Roman" w:hAnsi="Times New Roman" w:cs="Times New Roman"/>
          <w:spacing w:val="-1"/>
        </w:rPr>
        <w:t xml:space="preserve">5.3.1 </w:t>
      </w:r>
      <w:r>
        <w:rPr>
          <w:spacing w:val="-1"/>
        </w:rPr>
        <w:t>辐射当量</w:t>
      </w:r>
    </w:p>
    <w:p>
      <w:pPr>
        <w:pStyle w:val="BodyText"/>
        <w:spacing w:before="216" w:line="221" w:lineRule="auto"/>
        <w:ind w:left="439"/>
      </w:pPr>
      <w:r>
        <w:rPr>
          <w:spacing w:val="-4"/>
        </w:rPr>
        <w:t>在测定过程中，</w:t>
      </w:r>
      <w:r>
        <w:rPr>
          <w:spacing w:val="-13"/>
        </w:rPr>
        <w:t xml:space="preserve"> </w:t>
      </w:r>
      <w:r>
        <w:rPr>
          <w:rFonts w:ascii="Times New Roman" w:eastAsia="Times New Roman" w:hAnsi="Times New Roman" w:cs="Times New Roman"/>
          <w:spacing w:val="-4"/>
        </w:rPr>
        <w:t xml:space="preserve">X </w:t>
      </w:r>
      <w:r>
        <w:rPr>
          <w:spacing w:val="-4"/>
        </w:rPr>
        <w:t>射线辐射计量当量率小于</w:t>
      </w:r>
      <w:r>
        <w:rPr>
          <w:spacing w:val="-45"/>
        </w:rPr>
        <w:t xml:space="preserve"> </w:t>
      </w:r>
      <w:r>
        <w:rPr>
          <w:rFonts w:ascii="Times New Roman" w:eastAsia="Times New Roman" w:hAnsi="Times New Roman" w:cs="Times New Roman"/>
          <w:spacing w:val="-4"/>
        </w:rPr>
        <w:t>0.2uSv/h</w:t>
      </w:r>
      <w:r>
        <w:rPr>
          <w:spacing w:val="-4"/>
        </w:rPr>
        <w:t>。</w:t>
      </w:r>
    </w:p>
    <w:p>
      <w:pPr>
        <w:pStyle w:val="BodyText"/>
        <w:spacing w:before="216" w:line="221" w:lineRule="auto"/>
        <w:ind w:left="22"/>
      </w:pPr>
      <w:r>
        <w:rPr>
          <w:rFonts w:ascii="Times New Roman" w:eastAsia="Times New Roman" w:hAnsi="Times New Roman" w:cs="Times New Roman"/>
          <w:spacing w:val="-1"/>
        </w:rPr>
        <w:t xml:space="preserve">5.3.2  </w:t>
      </w:r>
      <w:r>
        <w:rPr>
          <w:spacing w:val="-1"/>
        </w:rPr>
        <w:t>辐射屏蔽</w:t>
      </w:r>
    </w:p>
    <w:p>
      <w:pPr>
        <w:pStyle w:val="BodyText"/>
        <w:spacing w:before="217" w:line="468" w:lineRule="exact"/>
        <w:ind w:right="4"/>
        <w:jc w:val="right"/>
      </w:pPr>
      <w:r>
        <w:rPr>
          <w:spacing w:val="-3"/>
          <w:position w:val="19"/>
        </w:rPr>
        <w:t xml:space="preserve">仪器具有 </w:t>
      </w:r>
      <w:r>
        <w:rPr>
          <w:rFonts w:ascii="Times New Roman" w:eastAsia="Times New Roman" w:hAnsi="Times New Roman" w:cs="Times New Roman"/>
          <w:spacing w:val="-3"/>
          <w:position w:val="19"/>
        </w:rPr>
        <w:t>X</w:t>
      </w:r>
      <w:r>
        <w:rPr>
          <w:rFonts w:ascii="Times New Roman" w:eastAsia="Times New Roman" w:hAnsi="Times New Roman" w:cs="Times New Roman"/>
          <w:spacing w:val="51"/>
          <w:w w:val="101"/>
          <w:position w:val="19"/>
        </w:rPr>
        <w:t xml:space="preserve"> </w:t>
      </w:r>
      <w:r>
        <w:rPr>
          <w:spacing w:val="-3"/>
          <w:position w:val="19"/>
        </w:rPr>
        <w:t>射线辐射安全保护功能，</w:t>
      </w:r>
      <w:r>
        <w:rPr>
          <w:spacing w:val="-24"/>
          <w:position w:val="19"/>
        </w:rPr>
        <w:t xml:space="preserve"> </w:t>
      </w:r>
      <w:r>
        <w:rPr>
          <w:spacing w:val="-3"/>
          <w:position w:val="19"/>
        </w:rPr>
        <w:t>在无样品空测、测试盖被打开时或手持检测未对</w:t>
      </w:r>
    </w:p>
    <w:p>
      <w:pPr>
        <w:pStyle w:val="BodyText"/>
        <w:spacing w:line="220" w:lineRule="auto"/>
        <w:ind w:left="22"/>
      </w:pPr>
      <w:r>
        <w:rPr>
          <w:spacing w:val="-3"/>
        </w:rPr>
        <w:t>准样品时自动关闭</w:t>
      </w:r>
      <w:r>
        <w:rPr>
          <w:spacing w:val="-44"/>
        </w:rPr>
        <w:t xml:space="preserve"> </w:t>
      </w:r>
      <w:r>
        <w:rPr>
          <w:rFonts w:ascii="Times New Roman" w:eastAsia="Times New Roman" w:hAnsi="Times New Roman" w:cs="Times New Roman"/>
          <w:spacing w:val="-3"/>
        </w:rPr>
        <w:t xml:space="preserve">X </w:t>
      </w:r>
      <w:r>
        <w:rPr>
          <w:spacing w:val="-3"/>
        </w:rPr>
        <w:t>射线管。</w:t>
      </w:r>
    </w:p>
    <w:p>
      <w:pPr>
        <w:pStyle w:val="BodyText"/>
        <w:spacing w:before="217" w:line="221" w:lineRule="auto"/>
        <w:ind w:left="22"/>
      </w:pPr>
      <w:r>
        <w:rPr>
          <w:rFonts w:ascii="Times New Roman" w:eastAsia="Times New Roman" w:hAnsi="Times New Roman" w:cs="Times New Roman"/>
          <w:spacing w:val="-2"/>
        </w:rPr>
        <w:t xml:space="preserve">5.3.3 </w:t>
      </w:r>
      <w:r>
        <w:rPr>
          <w:spacing w:val="-2"/>
        </w:rPr>
        <w:t>辐射提示</w:t>
      </w:r>
    </w:p>
    <w:p>
      <w:pPr>
        <w:pStyle w:val="BodyText"/>
        <w:spacing w:before="217" w:line="219" w:lineRule="auto"/>
        <w:ind w:left="441"/>
      </w:pPr>
      <w:r>
        <w:rPr>
          <w:spacing w:val="-4"/>
        </w:rPr>
        <w:t>仪器在进行样品测试时，</w:t>
      </w:r>
      <w:r>
        <w:rPr>
          <w:spacing w:val="-18"/>
        </w:rPr>
        <w:t xml:space="preserve"> </w:t>
      </w:r>
      <w:r>
        <w:rPr>
          <w:spacing w:val="-4"/>
        </w:rPr>
        <w:t>应有辐射警告指示灯闪烁。</w:t>
      </w:r>
    </w:p>
    <w:p>
      <w:pPr>
        <w:pStyle w:val="BodyText"/>
        <w:spacing w:before="220" w:line="222" w:lineRule="auto"/>
        <w:ind w:left="22"/>
      </w:pPr>
      <w:r>
        <w:rPr>
          <w:rFonts w:ascii="Times New Roman" w:eastAsia="Times New Roman" w:hAnsi="Times New Roman" w:cs="Times New Roman"/>
          <w:spacing w:val="-3"/>
        </w:rPr>
        <w:t>5.4</w:t>
      </w:r>
      <w:r>
        <w:rPr>
          <w:rFonts w:ascii="Times New Roman" w:eastAsia="Times New Roman" w:hAnsi="Times New Roman" w:cs="Times New Roman"/>
          <w:spacing w:val="12"/>
        </w:rPr>
        <w:t xml:space="preserve"> </w:t>
      </w:r>
      <w:r>
        <w:rPr>
          <w:spacing w:val="-3"/>
        </w:rPr>
        <w:t>功能要求</w:t>
      </w:r>
    </w:p>
    <w:p>
      <w:pPr>
        <w:pStyle w:val="BodyText"/>
        <w:spacing w:before="214" w:line="221" w:lineRule="auto"/>
        <w:ind w:left="22"/>
      </w:pPr>
      <w:r>
        <w:rPr>
          <w:rFonts w:ascii="Times New Roman" w:eastAsia="Times New Roman" w:hAnsi="Times New Roman" w:cs="Times New Roman"/>
          <w:spacing w:val="-5"/>
        </w:rPr>
        <w:t>5.4.1</w:t>
      </w:r>
      <w:r>
        <w:rPr>
          <w:rFonts w:ascii="Times New Roman" w:eastAsia="Times New Roman" w:hAnsi="Times New Roman" w:cs="Times New Roman"/>
          <w:spacing w:val="55"/>
        </w:rPr>
        <w:t xml:space="preserve"> </w:t>
      </w:r>
      <w:r>
        <w:rPr>
          <w:spacing w:val="-5"/>
        </w:rPr>
        <w:t>自动进行能量刻度校准。</w:t>
      </w:r>
    </w:p>
    <w:p>
      <w:pPr>
        <w:pStyle w:val="BodyText"/>
        <w:spacing w:before="217" w:line="221" w:lineRule="auto"/>
        <w:ind w:left="22"/>
      </w:pPr>
      <w:r>
        <w:rPr>
          <w:rFonts w:ascii="Times New Roman" w:eastAsia="Times New Roman" w:hAnsi="Times New Roman" w:cs="Times New Roman"/>
          <w:spacing w:val="-2"/>
        </w:rPr>
        <w:t xml:space="preserve">5.4.2 </w:t>
      </w:r>
      <w:r>
        <w:rPr>
          <w:spacing w:val="-2"/>
        </w:rPr>
        <w:t>可以显示、存储、输出监测数据和报表。</w:t>
      </w:r>
    </w:p>
    <w:p>
      <w:pPr>
        <w:pStyle w:val="BodyText"/>
        <w:spacing w:before="217" w:line="220" w:lineRule="auto"/>
        <w:ind w:left="22"/>
      </w:pPr>
      <w:r>
        <w:rPr>
          <w:rFonts w:ascii="Times New Roman" w:eastAsia="Times New Roman" w:hAnsi="Times New Roman" w:cs="Times New Roman"/>
          <w:spacing w:val="-2"/>
        </w:rPr>
        <w:t xml:space="preserve">5.4.3 </w:t>
      </w:r>
      <w:r>
        <w:rPr>
          <w:spacing w:val="-2"/>
        </w:rPr>
        <w:t>通常集成</w:t>
      </w:r>
      <w:r>
        <w:rPr>
          <w:spacing w:val="-42"/>
        </w:rPr>
        <w:t xml:space="preserve"> </w:t>
      </w:r>
      <w:r>
        <w:rPr>
          <w:rFonts w:ascii="Times New Roman" w:eastAsia="Times New Roman" w:hAnsi="Times New Roman" w:cs="Times New Roman"/>
          <w:spacing w:val="-2"/>
        </w:rPr>
        <w:t xml:space="preserve">WiFi </w:t>
      </w:r>
      <w:r>
        <w:rPr>
          <w:spacing w:val="-2"/>
        </w:rPr>
        <w:t>或蓝牙的数据传输功能。</w:t>
      </w:r>
    </w:p>
    <w:p>
      <w:pPr>
        <w:pStyle w:val="BodyText"/>
        <w:spacing w:before="217" w:line="221" w:lineRule="auto"/>
        <w:ind w:left="22"/>
      </w:pPr>
      <w:r>
        <w:rPr>
          <w:rFonts w:ascii="Times New Roman" w:eastAsia="Times New Roman" w:hAnsi="Times New Roman" w:cs="Times New Roman"/>
        </w:rPr>
        <w:t xml:space="preserve">5.4.4 </w:t>
      </w:r>
      <w:r>
        <w:t>仪器集成彩页显示屏，且在日</w:t>
      </w:r>
      <w:r>
        <w:rPr>
          <w:spacing w:val="-1"/>
        </w:rPr>
        <w:t>光下可正常观看。</w:t>
      </w:r>
    </w:p>
    <w:p>
      <w:pPr>
        <w:pStyle w:val="BodyText"/>
        <w:spacing w:before="217" w:line="221" w:lineRule="auto"/>
        <w:ind w:left="22"/>
      </w:pPr>
      <w:r>
        <w:rPr>
          <w:rFonts w:ascii="Times New Roman" w:eastAsia="Times New Roman" w:hAnsi="Times New Roman" w:cs="Times New Roman"/>
          <w:spacing w:val="-1"/>
        </w:rPr>
        <w:t xml:space="preserve">5.4.5 </w:t>
      </w:r>
      <w:r>
        <w:rPr>
          <w:spacing w:val="-1"/>
        </w:rPr>
        <w:t>可设置系统时间和检测时间。</w:t>
      </w:r>
    </w:p>
    <w:p>
      <w:pPr>
        <w:pStyle w:val="BodyText"/>
        <w:spacing w:before="218" w:line="221" w:lineRule="auto"/>
        <w:ind w:left="22"/>
      </w:pPr>
      <w:r>
        <w:rPr>
          <w:rFonts w:ascii="Times New Roman" w:eastAsia="Times New Roman" w:hAnsi="Times New Roman" w:cs="Times New Roman"/>
          <w:spacing w:val="-1"/>
        </w:rPr>
        <w:t xml:space="preserve">5.5 </w:t>
      </w:r>
      <w:r>
        <w:rPr>
          <w:spacing w:val="-1"/>
        </w:rPr>
        <w:t>校准曲线</w:t>
      </w:r>
    </w:p>
    <w:p>
      <w:pPr>
        <w:pStyle w:val="BodyText"/>
        <w:spacing w:before="218" w:line="411" w:lineRule="auto"/>
        <w:ind w:left="21" w:right="5" w:firstLine="419"/>
        <w:jc w:val="both"/>
      </w:pPr>
      <w:r>
        <w:rPr>
          <w:spacing w:val="3"/>
        </w:rPr>
        <w:t>使用土壤和沉积物标准物质建立校准曲线，通常采用基本参法或经验系数校正法，校</w:t>
      </w:r>
      <w:r>
        <w:rPr>
          <w:spacing w:val="2"/>
        </w:rPr>
        <w:t xml:space="preserve"> </w:t>
      </w:r>
      <w:r>
        <w:t>正样品的基体效应影响； 建立校准曲线的标准物质中元素的浓度范围应覆盖土壤环境质量</w:t>
      </w:r>
      <w:r>
        <w:rPr>
          <w:spacing w:val="8"/>
        </w:rPr>
        <w:t xml:space="preserve"> </w:t>
      </w:r>
      <w:r>
        <w:t>标准中重金属风险筛选值和管制值要求，通常基本参数法校准曲线需要</w:t>
      </w:r>
      <w:r>
        <w:rPr>
          <w:rFonts w:ascii="Times New Roman" w:eastAsia="Times New Roman" w:hAnsi="Times New Roman" w:cs="Times New Roman"/>
        </w:rPr>
        <w:t>5</w:t>
      </w:r>
      <w:r>
        <w:t>个不同含量的标准</w:t>
      </w:r>
    </w:p>
    <w:p>
      <w:pPr>
        <w:pStyle w:val="BodyText"/>
        <w:spacing w:line="220" w:lineRule="auto"/>
        <w:ind w:left="20"/>
      </w:pPr>
      <w:r>
        <w:rPr>
          <w:spacing w:val="-4"/>
        </w:rPr>
        <w:t>物质， 经验系数法校准曲线，需要</w:t>
      </w:r>
      <w:r>
        <w:rPr>
          <w:rFonts w:ascii="Times New Roman" w:eastAsia="Times New Roman" w:hAnsi="Times New Roman" w:cs="Times New Roman"/>
          <w:spacing w:val="-4"/>
        </w:rPr>
        <w:t>15</w:t>
      </w:r>
      <w:r>
        <w:rPr>
          <w:spacing w:val="-4"/>
        </w:rPr>
        <w:t>个不同</w:t>
      </w:r>
      <w:r>
        <w:rPr>
          <w:spacing w:val="-5"/>
        </w:rPr>
        <w:t>含量的标准物质。</w:t>
      </w:r>
    </w:p>
    <w:p>
      <w:pPr>
        <w:pStyle w:val="BodyText"/>
        <w:spacing w:before="218" w:line="221" w:lineRule="auto"/>
        <w:ind w:left="22"/>
      </w:pPr>
      <w:r>
        <w:rPr>
          <w:rFonts w:ascii="Times New Roman" w:eastAsia="Times New Roman" w:hAnsi="Times New Roman" w:cs="Times New Roman"/>
          <w:spacing w:val="-1"/>
        </w:rPr>
        <w:t xml:space="preserve">5.6 </w:t>
      </w:r>
      <w:r>
        <w:rPr>
          <w:spacing w:val="-1"/>
        </w:rPr>
        <w:t>谱线重合校正</w:t>
      </w:r>
    </w:p>
    <w:p>
      <w:pPr>
        <w:pStyle w:val="BodyText"/>
        <w:spacing w:before="215" w:line="412" w:lineRule="auto"/>
        <w:ind w:left="16" w:right="50" w:firstLine="426"/>
        <w:jc w:val="both"/>
      </w:pPr>
      <w:r>
        <w:rPr>
          <w:spacing w:val="-3"/>
        </w:rPr>
        <w:t>部分元素的</w:t>
      </w:r>
      <w:r>
        <w:rPr>
          <w:spacing w:val="-35"/>
        </w:rPr>
        <w:t xml:space="preserve"> </w:t>
      </w:r>
      <w:r>
        <w:rPr>
          <w:rFonts w:ascii="Times New Roman" w:eastAsia="Times New Roman" w:hAnsi="Times New Roman" w:cs="Times New Roman"/>
          <w:spacing w:val="-3"/>
        </w:rPr>
        <w:t xml:space="preserve">X </w:t>
      </w:r>
      <w:r>
        <w:rPr>
          <w:spacing w:val="-3"/>
        </w:rPr>
        <w:t>射线荧光谱线会发生重合，</w:t>
      </w:r>
      <w:r>
        <w:rPr>
          <w:spacing w:val="-23"/>
        </w:rPr>
        <w:t xml:space="preserve"> </w:t>
      </w:r>
      <w:r>
        <w:rPr>
          <w:spacing w:val="-3"/>
        </w:rPr>
        <w:t>例如砷</w:t>
      </w:r>
      <w:r>
        <w:rPr>
          <w:rFonts w:ascii="Times New Roman" w:eastAsia="Times New Roman" w:hAnsi="Times New Roman" w:cs="Times New Roman"/>
          <w:spacing w:val="-3"/>
        </w:rPr>
        <w:t>(As)</w:t>
      </w:r>
      <w:r>
        <w:rPr>
          <w:spacing w:val="-3"/>
        </w:rPr>
        <w:t>元素的</w:t>
      </w:r>
      <w:r>
        <w:rPr>
          <w:spacing w:val="-49"/>
        </w:rPr>
        <w:t xml:space="preserve"> </w:t>
      </w:r>
      <w:r>
        <w:rPr>
          <w:rFonts w:ascii="Times New Roman" w:eastAsia="Times New Roman" w:hAnsi="Times New Roman" w:cs="Times New Roman"/>
          <w:spacing w:val="-3"/>
        </w:rPr>
        <w:t xml:space="preserve">Kα </w:t>
      </w:r>
      <w:r>
        <w:rPr>
          <w:spacing w:val="-3"/>
        </w:rPr>
        <w:t>峰直接与铅</w:t>
      </w:r>
      <w:r>
        <w:rPr>
          <w:rFonts w:ascii="Times New Roman" w:eastAsia="Times New Roman" w:hAnsi="Times New Roman" w:cs="Times New Roman"/>
          <w:spacing w:val="-3"/>
        </w:rPr>
        <w:t>(Pb)</w:t>
      </w:r>
      <w:r>
        <w:rPr>
          <w:spacing w:val="-3"/>
        </w:rPr>
        <w:t>元素的</w:t>
      </w:r>
      <w:r>
        <w:t xml:space="preserve"> </w:t>
      </w:r>
      <w:r>
        <w:rPr>
          <w:rFonts w:ascii="Times New Roman" w:eastAsia="Times New Roman" w:hAnsi="Times New Roman" w:cs="Times New Roman"/>
          <w:spacing w:val="-1"/>
        </w:rPr>
        <w:t xml:space="preserve">Lα </w:t>
      </w:r>
      <w:r>
        <w:rPr>
          <w:spacing w:val="-1"/>
        </w:rPr>
        <w:t>峰交叉重叠。仪器需具备谱线解析与重复干扰校正功能。参照附录表</w:t>
      </w:r>
      <w:r>
        <w:rPr>
          <w:spacing w:val="-27"/>
        </w:rPr>
        <w:t xml:space="preserve"> </w:t>
      </w:r>
      <w:r>
        <w:rPr>
          <w:rFonts w:ascii="Times New Roman" w:eastAsia="Times New Roman" w:hAnsi="Times New Roman" w:cs="Times New Roman"/>
          <w:spacing w:val="-1"/>
        </w:rPr>
        <w:t xml:space="preserve">1 </w:t>
      </w:r>
      <w:r>
        <w:rPr>
          <w:spacing w:val="-1"/>
        </w:rPr>
        <w:t>土壤基</w:t>
      </w:r>
      <w:r>
        <w:rPr>
          <w:spacing w:val="-2"/>
        </w:rPr>
        <w:t>体中八大</w:t>
      </w:r>
    </w:p>
    <w:p>
      <w:pPr>
        <w:pStyle w:val="BodyText"/>
        <w:spacing w:before="1" w:line="219" w:lineRule="auto"/>
        <w:ind w:left="21"/>
      </w:pPr>
      <w:r>
        <w:rPr>
          <w:spacing w:val="-2"/>
        </w:rPr>
        <w:t>重金属元素常见</w:t>
      </w:r>
      <w:r>
        <w:rPr>
          <w:spacing w:val="-45"/>
        </w:rPr>
        <w:t xml:space="preserve"> </w:t>
      </w:r>
      <w:r>
        <w:rPr>
          <w:rFonts w:ascii="Times New Roman" w:eastAsia="Times New Roman" w:hAnsi="Times New Roman" w:cs="Times New Roman"/>
          <w:spacing w:val="-2"/>
        </w:rPr>
        <w:t xml:space="preserve">XRF </w:t>
      </w:r>
      <w:r>
        <w:rPr>
          <w:spacing w:val="-2"/>
        </w:rPr>
        <w:t>光谱干扰情况汇总。</w:t>
      </w:r>
    </w:p>
    <w:p>
      <w:pPr>
        <w:pStyle w:val="BodyText"/>
        <w:spacing w:before="219" w:line="221" w:lineRule="auto"/>
        <w:ind w:left="22"/>
      </w:pPr>
      <w:r>
        <w:rPr>
          <w:rFonts w:ascii="Times New Roman" w:eastAsia="Times New Roman" w:hAnsi="Times New Roman" w:cs="Times New Roman"/>
          <w:spacing w:val="-1"/>
        </w:rPr>
        <w:t xml:space="preserve">5.7 </w:t>
      </w:r>
      <w:r>
        <w:rPr>
          <w:spacing w:val="-1"/>
        </w:rPr>
        <w:t>质控与校准</w:t>
      </w:r>
    </w:p>
    <w:p>
      <w:pPr>
        <w:pStyle w:val="BodyText"/>
        <w:spacing w:before="217" w:line="411" w:lineRule="auto"/>
        <w:ind w:left="20" w:right="10" w:firstLine="420"/>
        <w:jc w:val="both"/>
      </w:pPr>
      <w:r>
        <w:rPr>
          <w:spacing w:val="9"/>
        </w:rPr>
        <w:t>仪器需配备土壤或沉积物的标准物质用于质控，通常每天需要对仪器进行</w:t>
      </w:r>
      <w:r>
        <w:rPr>
          <w:spacing w:val="8"/>
        </w:rPr>
        <w:t>质控样确</w:t>
      </w:r>
      <w:r>
        <w:t xml:space="preserve"> </w:t>
      </w:r>
      <w:r>
        <w:rPr>
          <w:spacing w:val="4"/>
        </w:rPr>
        <w:t>认，数据结果与标准结果偏差不超过</w:t>
      </w:r>
      <w:r>
        <w:rPr>
          <w:rFonts w:ascii="Times New Roman" w:eastAsia="Times New Roman" w:hAnsi="Times New Roman" w:cs="Times New Roman"/>
          <w:spacing w:val="4"/>
        </w:rPr>
        <w:t>20%</w:t>
      </w:r>
      <w:r>
        <w:rPr>
          <w:spacing w:val="4"/>
        </w:rPr>
        <w:t>即为合理范围，如</w:t>
      </w:r>
      <w:r>
        <w:rPr>
          <w:spacing w:val="3"/>
        </w:rPr>
        <w:t>结果不在合理范围内，用户可</w:t>
      </w:r>
    </w:p>
    <w:p>
      <w:pPr>
        <w:pStyle w:val="BodyText"/>
        <w:spacing w:line="221" w:lineRule="auto"/>
        <w:ind w:left="21"/>
      </w:pPr>
      <w:r>
        <w:rPr>
          <w:spacing w:val="-5"/>
        </w:rPr>
        <w:t>重新校准。</w:t>
      </w:r>
    </w:p>
    <w:p>
      <w:pPr>
        <w:spacing w:line="380" w:lineRule="auto"/>
        <w:rPr>
          <w:rFonts w:ascii="Arial"/>
          <w:sz w:val="21"/>
        </w:rPr>
      </w:pPr>
    </w:p>
    <w:p>
      <w:pPr>
        <w:spacing w:before="69" w:line="220" w:lineRule="auto"/>
        <w:ind w:left="21"/>
        <w:rPr>
          <w:rFonts w:ascii="SimHei" w:eastAsia="SimHei" w:hAnsi="SimHei" w:cs="SimHei"/>
          <w:sz w:val="21"/>
          <w:szCs w:val="21"/>
        </w:rPr>
      </w:pPr>
      <w:r>
        <w:rPr>
          <w:rFonts w:ascii="Times New Roman" w:eastAsia="Times New Roman" w:hAnsi="Times New Roman" w:cs="Times New Roman"/>
          <w:spacing w:val="-1"/>
          <w:sz w:val="21"/>
          <w:szCs w:val="21"/>
        </w:rPr>
        <w:t xml:space="preserve">6    </w:t>
      </w:r>
      <w:r>
        <w:rPr>
          <w:rFonts w:ascii="SimHei" w:eastAsia="SimHei" w:hAnsi="SimHei" w:cs="SimHei"/>
          <w:spacing w:val="-1"/>
          <w:sz w:val="21"/>
          <w:szCs w:val="21"/>
        </w:rPr>
        <w:t>仪器性能指标</w:t>
      </w:r>
    </w:p>
    <w:p>
      <w:pPr>
        <w:spacing w:line="380" w:lineRule="auto"/>
        <w:rPr>
          <w:rFonts w:ascii="Arial"/>
          <w:sz w:val="21"/>
        </w:rPr>
        <w:sectPr>
          <w:footerReference w:type="default" r:id="rId10"/>
          <w:pgSz w:w="11907" w:h="16839"/>
          <w:pgMar w:top="1431" w:right="1785" w:bottom="1151" w:left="1785" w:header="0" w:footer="988" w:gutter="0"/>
          <w:pgNumType w:start="7"/>
          <w:cols w:space="708"/>
        </w:sectPr>
      </w:pPr>
    </w:p>
    <w:p>
      <w:pPr>
        <w:pStyle w:val="BodyText"/>
        <w:spacing w:before="68" w:line="221" w:lineRule="auto"/>
        <w:ind w:left="21"/>
      </w:pPr>
      <w:r>
        <w:rPr>
          <w:rFonts w:ascii="Times New Roman" w:eastAsia="Times New Roman" w:hAnsi="Times New Roman" w:cs="Times New Roman"/>
          <w:spacing w:val="-3"/>
        </w:rPr>
        <w:t>6.1</w:t>
      </w:r>
      <w:r>
        <w:rPr>
          <w:rFonts w:ascii="Times New Roman" w:eastAsia="Times New Roman" w:hAnsi="Times New Roman" w:cs="Times New Roman"/>
          <w:spacing w:val="10"/>
        </w:rPr>
        <w:t xml:space="preserve"> </w:t>
      </w:r>
      <w:r>
        <w:rPr>
          <w:spacing w:val="-3"/>
        </w:rPr>
        <w:t>检出限</w:t>
      </w:r>
    </w:p>
    <w:p>
      <w:pPr>
        <w:pStyle w:val="BodyText"/>
        <w:spacing w:before="217" w:line="221" w:lineRule="auto"/>
        <w:ind w:right="5"/>
        <w:jc w:val="right"/>
        <w:rPr>
          <w:rFonts w:ascii="Times New Roman" w:eastAsia="Times New Roman" w:hAnsi="Times New Roman" w:cs="Times New Roman"/>
        </w:rPr>
      </w:pPr>
      <w:r>
        <w:rPr>
          <w:spacing w:val="2"/>
        </w:rPr>
        <w:t xml:space="preserve">在检测建设用地土壤重金属污染物时，便携式 </w:t>
      </w:r>
      <w:r>
        <w:rPr>
          <w:rFonts w:ascii="Times New Roman" w:eastAsia="Times New Roman" w:hAnsi="Times New Roman" w:cs="Times New Roman"/>
        </w:rPr>
        <w:t>XRF</w:t>
      </w:r>
      <w:r>
        <w:rPr>
          <w:rFonts w:ascii="Times New Roman" w:eastAsia="Times New Roman" w:hAnsi="Times New Roman" w:cs="Times New Roman"/>
          <w:spacing w:val="38"/>
          <w:w w:val="101"/>
        </w:rPr>
        <w:t xml:space="preserve"> </w:t>
      </w:r>
      <w:r>
        <w:rPr>
          <w:spacing w:val="2"/>
        </w:rPr>
        <w:t>检测仪的</w:t>
      </w:r>
      <w:r>
        <w:rPr>
          <w:spacing w:val="1"/>
        </w:rPr>
        <w:t xml:space="preserve">检出限应低于 </w:t>
      </w:r>
      <w:r>
        <w:rPr>
          <w:rFonts w:ascii="Times New Roman" w:eastAsia="Times New Roman" w:hAnsi="Times New Roman" w:cs="Times New Roman"/>
        </w:rPr>
        <w:t>GB</w:t>
      </w:r>
      <w:r>
        <w:rPr>
          <w:rFonts w:ascii="Times New Roman" w:eastAsia="Times New Roman" w:hAnsi="Times New Roman" w:cs="Times New Roman"/>
          <w:spacing w:val="1"/>
        </w:rPr>
        <w:t>36600</w:t>
      </w:r>
    </w:p>
    <w:p>
      <w:pPr>
        <w:spacing w:line="221" w:lineRule="auto"/>
        <w:rPr>
          <w:rFonts w:ascii="Times New Roman" w:eastAsia="Times New Roman" w:hAnsi="Times New Roman" w:cs="Times New Roman"/>
        </w:rPr>
        <w:sectPr>
          <w:footerReference w:type="default" r:id="rId11"/>
          <w:type w:val="nextPage"/>
          <w:pgSz w:w="11907" w:h="16839"/>
          <w:pgMar w:top="1431" w:right="1785" w:bottom="1151" w:left="1785" w:header="0" w:footer="988" w:gutter="0"/>
          <w:pgNumType w:start="8"/>
          <w:cols w:space="708"/>
          <w:titlePg w:val="0"/>
        </w:sectPr>
      </w:pPr>
    </w:p>
    <w:p>
      <w:pPr>
        <w:pStyle w:val="BodyText"/>
        <w:spacing w:before="137" w:line="468" w:lineRule="exact"/>
        <w:ind w:left="40"/>
      </w:pPr>
      <w:r>
        <w:rPr>
          <w:spacing w:val="2"/>
          <w:position w:val="19"/>
        </w:rPr>
        <w:t>中规定的目标污染物风险筛选值最小值的三分之一。在检测农用地土壤重金属污染物时，</w:t>
      </w:r>
    </w:p>
    <w:p>
      <w:pPr>
        <w:pStyle w:val="BodyText"/>
        <w:spacing w:line="220" w:lineRule="auto"/>
        <w:ind w:left="20"/>
      </w:pPr>
      <w:r>
        <w:rPr>
          <w:spacing w:val="-1"/>
        </w:rPr>
        <w:t>检测仪的检出限应低于</w:t>
      </w:r>
      <w:r>
        <w:rPr>
          <w:spacing w:val="-45"/>
        </w:rPr>
        <w:t xml:space="preserve"> </w:t>
      </w:r>
      <w:r>
        <w:rPr>
          <w:rFonts w:ascii="Times New Roman" w:eastAsia="Times New Roman" w:hAnsi="Times New Roman" w:cs="Times New Roman"/>
          <w:spacing w:val="-1"/>
        </w:rPr>
        <w:t>GB15618</w:t>
      </w:r>
      <w:r>
        <w:rPr>
          <w:rFonts w:ascii="Times New Roman" w:eastAsia="Times New Roman" w:hAnsi="Times New Roman" w:cs="Times New Roman"/>
          <w:spacing w:val="19"/>
          <w:w w:val="101"/>
        </w:rPr>
        <w:t xml:space="preserve"> </w:t>
      </w:r>
      <w:r>
        <w:rPr>
          <w:spacing w:val="-1"/>
        </w:rPr>
        <w:t>中规定的目标污染物风险筛选值最小值的三分之一。</w:t>
      </w:r>
    </w:p>
    <w:p>
      <w:pPr>
        <w:pStyle w:val="BodyText"/>
        <w:spacing w:before="216" w:line="220" w:lineRule="auto"/>
        <w:ind w:left="21"/>
      </w:pPr>
      <w:r>
        <w:rPr>
          <w:rFonts w:ascii="Times New Roman" w:eastAsia="Times New Roman" w:hAnsi="Times New Roman" w:cs="Times New Roman"/>
          <w:spacing w:val="-3"/>
        </w:rPr>
        <w:t>6.2</w:t>
      </w:r>
      <w:r>
        <w:rPr>
          <w:rFonts w:ascii="Times New Roman" w:eastAsia="Times New Roman" w:hAnsi="Times New Roman" w:cs="Times New Roman"/>
          <w:spacing w:val="10"/>
        </w:rPr>
        <w:t xml:space="preserve"> </w:t>
      </w:r>
      <w:r>
        <w:rPr>
          <w:spacing w:val="-3"/>
        </w:rPr>
        <w:t>精密度</w:t>
      </w:r>
    </w:p>
    <w:p>
      <w:pPr>
        <w:pStyle w:val="BodyText"/>
        <w:spacing w:before="217" w:line="468" w:lineRule="exact"/>
        <w:ind w:right="8"/>
        <w:jc w:val="right"/>
      </w:pPr>
      <w:r>
        <w:rPr>
          <w:spacing w:val="3"/>
          <w:position w:val="19"/>
        </w:rPr>
        <w:t>用包含镍、铜、锌、铅、砷、汞、镉、铬等重金属的土壤标准物质元素进行方法精密</w:t>
      </w:r>
    </w:p>
    <w:p>
      <w:pPr>
        <w:pStyle w:val="BodyText"/>
        <w:spacing w:before="1" w:line="220" w:lineRule="auto"/>
        <w:ind w:left="19"/>
      </w:pPr>
      <w:r>
        <w:rPr>
          <w:spacing w:val="-2"/>
        </w:rPr>
        <w:t>度检测，计算</w:t>
      </w:r>
      <w:r>
        <w:rPr>
          <w:spacing w:val="-45"/>
        </w:rPr>
        <w:t xml:space="preserve"> </w:t>
      </w:r>
      <w:r>
        <w:rPr>
          <w:rFonts w:ascii="Times New Roman" w:eastAsia="Times New Roman" w:hAnsi="Times New Roman" w:cs="Times New Roman"/>
          <w:spacing w:val="-2"/>
        </w:rPr>
        <w:t xml:space="preserve">6 </w:t>
      </w:r>
      <w:r>
        <w:rPr>
          <w:spacing w:val="-2"/>
        </w:rPr>
        <w:t>次平行测定值的相对标准偏差（</w:t>
      </w:r>
      <w:r>
        <w:rPr>
          <w:rFonts w:ascii="Times New Roman" w:eastAsia="Times New Roman" w:hAnsi="Times New Roman" w:cs="Times New Roman"/>
          <w:spacing w:val="-2"/>
        </w:rPr>
        <w:t>RSD</w:t>
      </w:r>
      <w:r>
        <w:rPr>
          <w:spacing w:val="-38"/>
        </w:rPr>
        <w:t>），</w:t>
      </w:r>
      <w:r>
        <w:rPr>
          <w:spacing w:val="-24"/>
        </w:rPr>
        <w:t xml:space="preserve"> </w:t>
      </w:r>
      <w:r>
        <w:rPr>
          <w:rFonts w:ascii="Times New Roman" w:eastAsia="Times New Roman" w:hAnsi="Times New Roman" w:cs="Times New Roman"/>
          <w:spacing w:val="-2"/>
        </w:rPr>
        <w:t>RS</w:t>
      </w:r>
      <w:r>
        <w:rPr>
          <w:rFonts w:ascii="Times New Roman" w:eastAsia="Times New Roman" w:hAnsi="Times New Roman" w:cs="Times New Roman"/>
          <w:spacing w:val="-3"/>
        </w:rPr>
        <w:t xml:space="preserve">D </w:t>
      </w:r>
      <w:r>
        <w:rPr>
          <w:spacing w:val="-3"/>
        </w:rPr>
        <w:t>应满足表</w:t>
      </w:r>
      <w:r>
        <w:rPr>
          <w:spacing w:val="-30"/>
        </w:rPr>
        <w:t xml:space="preserve"> </w:t>
      </w:r>
      <w:r>
        <w:rPr>
          <w:rFonts w:ascii="Times New Roman" w:eastAsia="Times New Roman" w:hAnsi="Times New Roman" w:cs="Times New Roman"/>
          <w:spacing w:val="-3"/>
        </w:rPr>
        <w:t xml:space="preserve">1 </w:t>
      </w:r>
      <w:r>
        <w:rPr>
          <w:spacing w:val="-3"/>
        </w:rPr>
        <w:t>要求。</w:t>
      </w:r>
    </w:p>
    <w:p>
      <w:pPr>
        <w:pStyle w:val="BodyText"/>
        <w:spacing w:before="146" w:line="228" w:lineRule="auto"/>
        <w:ind w:left="2270"/>
        <w:rPr>
          <w:sz w:val="19"/>
          <w:szCs w:val="19"/>
        </w:rPr>
      </w:pPr>
      <w:r>
        <w:rPr>
          <w:b/>
          <w:bCs/>
          <w:spacing w:val="6"/>
          <w:sz w:val="19"/>
          <w:szCs w:val="19"/>
        </w:rPr>
        <w:t>表</w:t>
      </w:r>
      <w:r>
        <w:rPr>
          <w:spacing w:val="-15"/>
          <w:sz w:val="19"/>
          <w:szCs w:val="19"/>
        </w:rPr>
        <w:t xml:space="preserve"> </w:t>
      </w:r>
      <w:r>
        <w:rPr>
          <w:rFonts w:ascii="Times New Roman" w:eastAsia="Times New Roman" w:hAnsi="Times New Roman" w:cs="Times New Roman"/>
          <w:b/>
          <w:bCs/>
          <w:spacing w:val="6"/>
          <w:sz w:val="19"/>
          <w:szCs w:val="19"/>
        </w:rPr>
        <w:t xml:space="preserve">1 </w:t>
      </w:r>
      <w:r>
        <w:rPr>
          <w:b/>
          <w:bCs/>
          <w:spacing w:val="6"/>
          <w:sz w:val="19"/>
          <w:szCs w:val="19"/>
        </w:rPr>
        <w:t>元素检测方法精密度和正确度允许范围</w:t>
      </w:r>
    </w:p>
    <w:tbl>
      <w:tblPr>
        <w:tblStyle w:val="TableNormal0"/>
        <w:tblW w:w="819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2111"/>
        <w:gridCol w:w="1567"/>
        <w:gridCol w:w="1717"/>
        <w:gridCol w:w="1711"/>
      </w:tblGrid>
      <w:tr>
        <w:tblPrEx>
          <w:tblW w:w="819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5"/>
        </w:trPr>
        <w:tc>
          <w:tcPr>
            <w:tcW w:w="1084" w:type="dxa"/>
            <w:vMerge w:val="restart"/>
            <w:tcBorders>
              <w:bottom w:val="nil"/>
            </w:tcBorders>
            <w:vAlign w:val="top"/>
          </w:tcPr>
          <w:p>
            <w:pPr>
              <w:spacing w:line="438" w:lineRule="auto"/>
              <w:rPr>
                <w:rFonts w:ascii="Arial"/>
                <w:sz w:val="21"/>
              </w:rPr>
            </w:pPr>
          </w:p>
          <w:p>
            <w:pPr>
              <w:spacing w:before="68" w:line="221" w:lineRule="auto"/>
              <w:ind w:left="336"/>
              <w:rPr>
                <w:rFonts w:ascii="SimSun" w:eastAsia="SimSun" w:hAnsi="SimSun" w:cs="SimSun"/>
                <w:sz w:val="21"/>
                <w:szCs w:val="21"/>
              </w:rPr>
            </w:pPr>
            <w:r>
              <w:rPr>
                <w:rFonts w:ascii="SimSun" w:eastAsia="SimSun" w:hAnsi="SimSun" w:cs="SimSun"/>
                <w:spacing w:val="-2"/>
                <w:sz w:val="21"/>
                <w:szCs w:val="21"/>
              </w:rPr>
              <w:t>元素</w:t>
            </w:r>
          </w:p>
        </w:tc>
        <w:tc>
          <w:tcPr>
            <w:tcW w:w="2111" w:type="dxa"/>
            <w:vMerge w:val="restart"/>
            <w:tcBorders>
              <w:bottom w:val="nil"/>
            </w:tcBorders>
            <w:vAlign w:val="top"/>
          </w:tcPr>
          <w:p>
            <w:pPr>
              <w:spacing w:line="302" w:lineRule="auto"/>
              <w:rPr>
                <w:rFonts w:ascii="Arial"/>
                <w:sz w:val="21"/>
              </w:rPr>
            </w:pPr>
          </w:p>
          <w:p>
            <w:pPr>
              <w:spacing w:before="68" w:line="241" w:lineRule="auto"/>
              <w:ind w:left="637"/>
              <w:rPr>
                <w:rFonts w:ascii="SimSun" w:eastAsia="SimSun" w:hAnsi="SimSun" w:cs="SimSun"/>
                <w:sz w:val="21"/>
                <w:szCs w:val="21"/>
              </w:rPr>
            </w:pPr>
            <w:r>
              <w:rPr>
                <w:rFonts w:ascii="SimSun" w:eastAsia="SimSun" w:hAnsi="SimSun" w:cs="SimSun"/>
                <w:spacing w:val="-2"/>
                <w:sz w:val="21"/>
                <w:szCs w:val="21"/>
              </w:rPr>
              <w:t>含量范围</w:t>
            </w:r>
          </w:p>
          <w:p>
            <w:pPr>
              <w:pStyle w:val="TableText"/>
              <w:spacing w:line="211" w:lineRule="auto"/>
              <w:ind w:left="655"/>
            </w:pPr>
            <w:r>
              <w:rPr>
                <w:rFonts w:ascii="SimSun" w:eastAsia="SimSun" w:hAnsi="SimSun" w:cs="SimSun"/>
                <w:spacing w:val="-2"/>
              </w:rPr>
              <w:t>（</w:t>
            </w:r>
            <w:r>
              <w:rPr>
                <w:spacing w:val="-2"/>
              </w:rPr>
              <w:t>mg/kg)</w:t>
            </w:r>
          </w:p>
        </w:tc>
        <w:tc>
          <w:tcPr>
            <w:tcW w:w="1567" w:type="dxa"/>
            <w:vMerge w:val="restart"/>
            <w:tcBorders>
              <w:bottom w:val="nil"/>
            </w:tcBorders>
            <w:vAlign w:val="top"/>
          </w:tcPr>
          <w:p>
            <w:pPr>
              <w:spacing w:line="346" w:lineRule="auto"/>
              <w:rPr>
                <w:rFonts w:ascii="Arial"/>
                <w:sz w:val="21"/>
              </w:rPr>
            </w:pPr>
          </w:p>
          <w:p>
            <w:pPr>
              <w:pStyle w:val="TableText"/>
              <w:spacing w:before="60" w:line="187" w:lineRule="auto"/>
              <w:ind w:left="583"/>
            </w:pPr>
            <w:r>
              <w:rPr>
                <w:i/>
                <w:iCs/>
                <w:spacing w:val="4"/>
              </w:rPr>
              <w:t>RSD</w:t>
            </w:r>
          </w:p>
          <w:p>
            <w:pPr>
              <w:pStyle w:val="TableText"/>
              <w:spacing w:before="33" w:line="278" w:lineRule="exact"/>
              <w:ind w:left="496"/>
              <w:rPr>
                <w:rFonts w:ascii="SimSun" w:eastAsia="SimSun" w:hAnsi="SimSun" w:cs="SimSun"/>
              </w:rPr>
            </w:pPr>
            <w:r>
              <w:rPr>
                <w:rFonts w:ascii="SimSun" w:eastAsia="SimSun" w:hAnsi="SimSun" w:cs="SimSun"/>
                <w:spacing w:val="-5"/>
                <w:position w:val="1"/>
              </w:rPr>
              <w:t>（</w:t>
            </w:r>
            <w:r>
              <w:rPr>
                <w:spacing w:val="-5"/>
                <w:position w:val="1"/>
              </w:rPr>
              <w:t>%</w:t>
            </w:r>
            <w:r>
              <w:rPr>
                <w:rFonts w:ascii="SimSun" w:eastAsia="SimSun" w:hAnsi="SimSun" w:cs="SimSun"/>
                <w:spacing w:val="-5"/>
                <w:position w:val="1"/>
              </w:rPr>
              <w:t>）</w:t>
            </w:r>
          </w:p>
        </w:tc>
        <w:tc>
          <w:tcPr>
            <w:tcW w:w="3428" w:type="dxa"/>
            <w:gridSpan w:val="2"/>
            <w:vAlign w:val="top"/>
          </w:tcPr>
          <w:p>
            <w:pPr>
              <w:spacing w:before="130" w:line="221" w:lineRule="auto"/>
              <w:ind w:left="1404"/>
              <w:rPr>
                <w:rFonts w:ascii="SimSun" w:eastAsia="SimSun" w:hAnsi="SimSun" w:cs="SimSun"/>
                <w:sz w:val="21"/>
                <w:szCs w:val="21"/>
              </w:rPr>
            </w:pPr>
            <w:r>
              <w:rPr>
                <w:rFonts w:ascii="SimSun" w:eastAsia="SimSun" w:hAnsi="SimSun" w:cs="SimSun"/>
                <w:spacing w:val="-2"/>
                <w:sz w:val="21"/>
                <w:szCs w:val="21"/>
              </w:rPr>
              <w:t>正确度</w:t>
            </w:r>
          </w:p>
        </w:tc>
      </w:tr>
      <w:tr>
        <w:tblPrEx>
          <w:tblW w:w="8190" w:type="dxa"/>
          <w:tblInd w:w="74" w:type="dxa"/>
          <w:tblLayout w:type="fixed"/>
        </w:tblPrEx>
        <w:trPr>
          <w:trHeight w:val="751"/>
        </w:trPr>
        <w:tc>
          <w:tcPr>
            <w:tcW w:w="1084" w:type="dxa"/>
            <w:vMerge/>
            <w:tcBorders>
              <w:top w:val="nil"/>
            </w:tcBorders>
            <w:vAlign w:val="top"/>
          </w:tcPr>
          <w:p>
            <w:pPr>
              <w:rPr>
                <w:rFonts w:ascii="Arial"/>
                <w:sz w:val="21"/>
              </w:rPr>
            </w:pPr>
          </w:p>
        </w:tc>
        <w:tc>
          <w:tcPr>
            <w:tcW w:w="2111" w:type="dxa"/>
            <w:vMerge/>
            <w:tcBorders>
              <w:top w:val="nil"/>
            </w:tcBorders>
            <w:vAlign w:val="top"/>
          </w:tcPr>
          <w:p>
            <w:pPr>
              <w:rPr>
                <w:rFonts w:ascii="Arial"/>
                <w:sz w:val="21"/>
              </w:rPr>
            </w:pPr>
          </w:p>
        </w:tc>
        <w:tc>
          <w:tcPr>
            <w:tcW w:w="1567" w:type="dxa"/>
            <w:vMerge/>
            <w:tcBorders>
              <w:top w:val="nil"/>
            </w:tcBorders>
            <w:vAlign w:val="top"/>
          </w:tcPr>
          <w:p>
            <w:pPr>
              <w:rPr>
                <w:rFonts w:ascii="Arial"/>
                <w:sz w:val="21"/>
              </w:rPr>
            </w:pPr>
          </w:p>
        </w:tc>
        <w:tc>
          <w:tcPr>
            <w:tcW w:w="1717" w:type="dxa"/>
            <w:vAlign w:val="top"/>
          </w:tcPr>
          <w:p>
            <w:pPr>
              <w:spacing w:before="130" w:line="221" w:lineRule="auto"/>
              <w:ind w:left="339"/>
              <w:rPr>
                <w:rFonts w:ascii="SimSun" w:eastAsia="SimSun" w:hAnsi="SimSun" w:cs="SimSun"/>
                <w:sz w:val="21"/>
                <w:szCs w:val="21"/>
              </w:rPr>
            </w:pPr>
            <w:r>
              <w:rPr>
                <w:rFonts w:ascii="SimSun" w:eastAsia="SimSun" w:hAnsi="SimSun" w:cs="SimSun"/>
                <w:spacing w:val="-1"/>
                <w:sz w:val="21"/>
                <w:szCs w:val="21"/>
              </w:rPr>
              <w:t>加标回收率</w:t>
            </w:r>
          </w:p>
          <w:p>
            <w:pPr>
              <w:pStyle w:val="TableText"/>
              <w:spacing w:before="22" w:line="278" w:lineRule="exact"/>
              <w:ind w:left="574"/>
              <w:rPr>
                <w:rFonts w:ascii="SimSun" w:eastAsia="SimSun" w:hAnsi="SimSun" w:cs="SimSun"/>
              </w:rPr>
            </w:pPr>
            <w:r>
              <w:rPr>
                <w:rFonts w:ascii="SimSun" w:eastAsia="SimSun" w:hAnsi="SimSun" w:cs="SimSun"/>
                <w:spacing w:val="-5"/>
                <w:position w:val="1"/>
              </w:rPr>
              <w:t>（</w:t>
            </w:r>
            <w:r>
              <w:rPr>
                <w:spacing w:val="-5"/>
                <w:position w:val="1"/>
              </w:rPr>
              <w:t>%</w:t>
            </w:r>
            <w:r>
              <w:rPr>
                <w:rFonts w:ascii="SimSun" w:eastAsia="SimSun" w:hAnsi="SimSun" w:cs="SimSun"/>
                <w:spacing w:val="-5"/>
                <w:position w:val="1"/>
              </w:rPr>
              <w:t>）</w:t>
            </w:r>
          </w:p>
        </w:tc>
        <w:tc>
          <w:tcPr>
            <w:tcW w:w="1711" w:type="dxa"/>
            <w:vAlign w:val="top"/>
          </w:tcPr>
          <w:p>
            <w:pPr>
              <w:pStyle w:val="TableText"/>
              <w:spacing w:before="170" w:line="216" w:lineRule="auto"/>
              <w:ind w:left="721"/>
            </w:pPr>
            <w:r>
              <w:rPr>
                <w:spacing w:val="-1"/>
              </w:rPr>
              <w:t>RE</w:t>
            </w:r>
          </w:p>
          <w:p>
            <w:pPr>
              <w:pStyle w:val="TableText"/>
              <w:spacing w:line="278" w:lineRule="exact"/>
              <w:ind w:left="568"/>
              <w:rPr>
                <w:rFonts w:ascii="SimSun" w:eastAsia="SimSun" w:hAnsi="SimSun" w:cs="SimSun"/>
              </w:rPr>
            </w:pPr>
            <w:r>
              <w:rPr>
                <w:rFonts w:ascii="SimSun" w:eastAsia="SimSun" w:hAnsi="SimSun" w:cs="SimSun"/>
                <w:spacing w:val="-5"/>
                <w:position w:val="1"/>
              </w:rPr>
              <w:t>（</w:t>
            </w:r>
            <w:r>
              <w:rPr>
                <w:spacing w:val="-5"/>
                <w:position w:val="1"/>
              </w:rPr>
              <w:t>%</w:t>
            </w:r>
            <w:r>
              <w:rPr>
                <w:rFonts w:ascii="SimSun" w:eastAsia="SimSun" w:hAnsi="SimSun" w:cs="SimSun"/>
                <w:spacing w:val="-5"/>
                <w:position w:val="1"/>
              </w:rPr>
              <w:t>）</w:t>
            </w:r>
          </w:p>
        </w:tc>
      </w:tr>
      <w:tr>
        <w:tblPrEx>
          <w:tblW w:w="8190" w:type="dxa"/>
          <w:tblInd w:w="74" w:type="dxa"/>
          <w:tblLayout w:type="fixed"/>
        </w:tblPrEx>
        <w:trPr>
          <w:trHeight w:val="1422"/>
        </w:trPr>
        <w:tc>
          <w:tcPr>
            <w:tcW w:w="1084" w:type="dxa"/>
            <w:vAlign w:val="top"/>
          </w:tcPr>
          <w:p>
            <w:pPr>
              <w:spacing w:line="266" w:lineRule="auto"/>
              <w:rPr>
                <w:rFonts w:ascii="Arial"/>
                <w:sz w:val="21"/>
              </w:rPr>
            </w:pPr>
          </w:p>
          <w:p>
            <w:pPr>
              <w:spacing w:line="266" w:lineRule="auto"/>
              <w:rPr>
                <w:rFonts w:ascii="Arial"/>
                <w:sz w:val="21"/>
              </w:rPr>
            </w:pPr>
          </w:p>
          <w:p>
            <w:pPr>
              <w:spacing w:before="69" w:line="223" w:lineRule="auto"/>
              <w:ind w:left="438"/>
              <w:rPr>
                <w:rFonts w:ascii="SimSun" w:eastAsia="SimSun" w:hAnsi="SimSun" w:cs="SimSun"/>
                <w:sz w:val="21"/>
                <w:szCs w:val="21"/>
              </w:rPr>
            </w:pPr>
            <w:r>
              <w:rPr>
                <w:rFonts w:ascii="SimSun" w:eastAsia="SimSun" w:hAnsi="SimSun" w:cs="SimSun"/>
                <w:sz w:val="21"/>
                <w:szCs w:val="21"/>
              </w:rPr>
              <w:t>镉</w:t>
            </w:r>
          </w:p>
        </w:tc>
        <w:tc>
          <w:tcPr>
            <w:tcW w:w="2111" w:type="dxa"/>
            <w:vAlign w:val="top"/>
          </w:tcPr>
          <w:p>
            <w:pPr>
              <w:pStyle w:val="TableText"/>
              <w:spacing w:before="164" w:line="187" w:lineRule="auto"/>
              <w:ind w:left="861"/>
            </w:pPr>
            <w:r>
              <w:rPr>
                <w:spacing w:val="-1"/>
              </w:rPr>
              <w:t>&lt;0.1</w:t>
            </w:r>
          </w:p>
          <w:p>
            <w:pPr>
              <w:pStyle w:val="TableText"/>
              <w:spacing w:before="287" w:line="187" w:lineRule="auto"/>
              <w:ind w:left="737"/>
            </w:pPr>
            <w:r>
              <w:rPr>
                <w:spacing w:val="-1"/>
              </w:rPr>
              <w:t>0.1~0.4</w:t>
            </w:r>
          </w:p>
          <w:p>
            <w:pPr>
              <w:pStyle w:val="TableText"/>
              <w:spacing w:before="289" w:line="187" w:lineRule="auto"/>
              <w:ind w:left="861"/>
            </w:pPr>
            <w:r>
              <w:rPr>
                <w:spacing w:val="-1"/>
              </w:rPr>
              <w:t>&gt;0.4</w:t>
            </w:r>
          </w:p>
        </w:tc>
        <w:tc>
          <w:tcPr>
            <w:tcW w:w="1567" w:type="dxa"/>
            <w:vAlign w:val="top"/>
          </w:tcPr>
          <w:p>
            <w:pPr>
              <w:pStyle w:val="TableText"/>
              <w:spacing w:before="164" w:line="187" w:lineRule="auto"/>
              <w:ind w:left="682"/>
            </w:pPr>
            <w:r>
              <w:rPr>
                <w:spacing w:val="-2"/>
              </w:rPr>
              <w:t>35</w:t>
            </w:r>
          </w:p>
          <w:p>
            <w:pPr>
              <w:pStyle w:val="TableText"/>
              <w:spacing w:before="287" w:line="187" w:lineRule="auto"/>
              <w:ind w:left="682"/>
            </w:pPr>
            <w:r>
              <w:rPr>
                <w:spacing w:val="-2"/>
              </w:rPr>
              <w:t>30</w:t>
            </w:r>
          </w:p>
          <w:p>
            <w:pPr>
              <w:pStyle w:val="TableText"/>
              <w:spacing w:before="289" w:line="187" w:lineRule="auto"/>
              <w:ind w:left="678"/>
            </w:pPr>
            <w:r>
              <w:rPr>
                <w:spacing w:val="-1"/>
              </w:rPr>
              <w:t>25</w:t>
            </w:r>
          </w:p>
        </w:tc>
        <w:tc>
          <w:tcPr>
            <w:tcW w:w="1717" w:type="dxa"/>
            <w:vAlign w:val="top"/>
          </w:tcPr>
          <w:p>
            <w:pPr>
              <w:pStyle w:val="TableText"/>
              <w:spacing w:before="164" w:line="187" w:lineRule="auto"/>
              <w:ind w:left="548"/>
            </w:pPr>
            <w:r>
              <w:rPr>
                <w:spacing w:val="-2"/>
              </w:rPr>
              <w:t>75~110</w:t>
            </w:r>
          </w:p>
          <w:p>
            <w:pPr>
              <w:pStyle w:val="TableText"/>
              <w:spacing w:before="287" w:line="187" w:lineRule="auto"/>
              <w:ind w:left="553"/>
            </w:pPr>
            <w:r>
              <w:rPr>
                <w:spacing w:val="-3"/>
              </w:rPr>
              <w:t>85~110</w:t>
            </w:r>
          </w:p>
          <w:p>
            <w:pPr>
              <w:pStyle w:val="TableText"/>
              <w:spacing w:before="289" w:line="187" w:lineRule="auto"/>
              <w:ind w:left="546"/>
            </w:pPr>
            <w:r>
              <w:rPr>
                <w:spacing w:val="-1"/>
              </w:rPr>
              <w:t>90~105</w:t>
            </w:r>
          </w:p>
        </w:tc>
        <w:tc>
          <w:tcPr>
            <w:tcW w:w="1711" w:type="dxa"/>
            <w:vAlign w:val="top"/>
          </w:tcPr>
          <w:p>
            <w:pPr>
              <w:pStyle w:val="TableText"/>
              <w:spacing w:before="164" w:line="187" w:lineRule="auto"/>
              <w:ind w:left="689"/>
            </w:pPr>
            <w:r>
              <w:rPr>
                <w:spacing w:val="8"/>
              </w:rPr>
              <w:t>±40</w:t>
            </w:r>
          </w:p>
          <w:p>
            <w:pPr>
              <w:pStyle w:val="TableText"/>
              <w:spacing w:before="287" w:line="187" w:lineRule="auto"/>
              <w:ind w:left="689"/>
            </w:pPr>
            <w:r>
              <w:rPr>
                <w:spacing w:val="8"/>
              </w:rPr>
              <w:t>±35</w:t>
            </w:r>
          </w:p>
          <w:p>
            <w:pPr>
              <w:pStyle w:val="TableText"/>
              <w:spacing w:before="289" w:line="187" w:lineRule="auto"/>
              <w:ind w:left="689"/>
            </w:pPr>
            <w:r>
              <w:rPr>
                <w:spacing w:val="8"/>
              </w:rPr>
              <w:t>±30</w:t>
            </w:r>
          </w:p>
        </w:tc>
      </w:tr>
      <w:tr>
        <w:tblPrEx>
          <w:tblW w:w="8190" w:type="dxa"/>
          <w:tblInd w:w="74" w:type="dxa"/>
          <w:tblLayout w:type="fixed"/>
        </w:tblPrEx>
        <w:trPr>
          <w:trHeight w:val="1423"/>
        </w:trPr>
        <w:tc>
          <w:tcPr>
            <w:tcW w:w="1084" w:type="dxa"/>
            <w:vAlign w:val="top"/>
          </w:tcPr>
          <w:p>
            <w:pPr>
              <w:spacing w:line="266" w:lineRule="auto"/>
              <w:rPr>
                <w:rFonts w:ascii="Arial"/>
                <w:sz w:val="21"/>
              </w:rPr>
            </w:pPr>
          </w:p>
          <w:p>
            <w:pPr>
              <w:spacing w:line="267" w:lineRule="auto"/>
              <w:rPr>
                <w:rFonts w:ascii="Arial"/>
                <w:sz w:val="21"/>
              </w:rPr>
            </w:pPr>
          </w:p>
          <w:p>
            <w:pPr>
              <w:spacing w:before="68" w:line="221" w:lineRule="auto"/>
              <w:ind w:left="440"/>
              <w:rPr>
                <w:rFonts w:ascii="SimSun" w:eastAsia="SimSun" w:hAnsi="SimSun" w:cs="SimSun"/>
                <w:sz w:val="21"/>
                <w:szCs w:val="21"/>
              </w:rPr>
            </w:pPr>
            <w:r>
              <w:rPr>
                <w:rFonts w:ascii="SimSun" w:eastAsia="SimSun" w:hAnsi="SimSun" w:cs="SimSun"/>
                <w:sz w:val="21"/>
                <w:szCs w:val="21"/>
              </w:rPr>
              <w:t>汞</w:t>
            </w:r>
          </w:p>
        </w:tc>
        <w:tc>
          <w:tcPr>
            <w:tcW w:w="2111" w:type="dxa"/>
            <w:vAlign w:val="top"/>
          </w:tcPr>
          <w:p>
            <w:pPr>
              <w:pStyle w:val="TableText"/>
              <w:spacing w:before="165" w:line="187" w:lineRule="auto"/>
              <w:ind w:left="861"/>
            </w:pPr>
            <w:r>
              <w:rPr>
                <w:spacing w:val="-1"/>
              </w:rPr>
              <w:t>&lt;0.1</w:t>
            </w:r>
          </w:p>
          <w:p>
            <w:pPr>
              <w:pStyle w:val="TableText"/>
              <w:spacing w:before="287" w:line="187" w:lineRule="auto"/>
              <w:ind w:left="737"/>
            </w:pPr>
            <w:r>
              <w:rPr>
                <w:spacing w:val="-1"/>
              </w:rPr>
              <w:t>0.1~0.4</w:t>
            </w:r>
          </w:p>
          <w:p>
            <w:pPr>
              <w:pStyle w:val="TableText"/>
              <w:spacing w:before="289" w:line="187" w:lineRule="auto"/>
              <w:ind w:left="861"/>
            </w:pPr>
            <w:r>
              <w:rPr>
                <w:spacing w:val="-1"/>
              </w:rPr>
              <w:t>&gt;0.4</w:t>
            </w:r>
          </w:p>
        </w:tc>
        <w:tc>
          <w:tcPr>
            <w:tcW w:w="1567" w:type="dxa"/>
            <w:vAlign w:val="top"/>
          </w:tcPr>
          <w:p>
            <w:pPr>
              <w:pStyle w:val="TableText"/>
              <w:spacing w:before="165" w:line="187" w:lineRule="auto"/>
              <w:ind w:left="682"/>
            </w:pPr>
            <w:r>
              <w:rPr>
                <w:spacing w:val="-2"/>
              </w:rPr>
              <w:t>35</w:t>
            </w:r>
          </w:p>
          <w:p>
            <w:pPr>
              <w:pStyle w:val="TableText"/>
              <w:spacing w:before="287" w:line="187" w:lineRule="auto"/>
              <w:ind w:left="682"/>
            </w:pPr>
            <w:r>
              <w:rPr>
                <w:spacing w:val="-2"/>
              </w:rPr>
              <w:t>30</w:t>
            </w:r>
          </w:p>
          <w:p>
            <w:pPr>
              <w:pStyle w:val="TableText"/>
              <w:spacing w:before="289" w:line="187" w:lineRule="auto"/>
              <w:ind w:left="678"/>
            </w:pPr>
            <w:r>
              <w:rPr>
                <w:spacing w:val="-1"/>
              </w:rPr>
              <w:t>25</w:t>
            </w:r>
          </w:p>
        </w:tc>
        <w:tc>
          <w:tcPr>
            <w:tcW w:w="1717" w:type="dxa"/>
            <w:vAlign w:val="top"/>
          </w:tcPr>
          <w:p>
            <w:pPr>
              <w:pStyle w:val="TableText"/>
              <w:spacing w:before="165" w:line="187" w:lineRule="auto"/>
              <w:ind w:left="545"/>
            </w:pPr>
            <w:r>
              <w:rPr>
                <w:spacing w:val="-1"/>
              </w:rPr>
              <w:t>75~100</w:t>
            </w:r>
          </w:p>
          <w:p>
            <w:pPr>
              <w:pStyle w:val="TableText"/>
              <w:spacing w:before="287" w:line="187" w:lineRule="auto"/>
              <w:ind w:left="553"/>
            </w:pPr>
            <w:r>
              <w:rPr>
                <w:spacing w:val="-3"/>
              </w:rPr>
              <w:t>85~110</w:t>
            </w:r>
          </w:p>
          <w:p>
            <w:pPr>
              <w:pStyle w:val="TableText"/>
              <w:spacing w:before="289" w:line="187" w:lineRule="auto"/>
              <w:ind w:left="546"/>
            </w:pPr>
            <w:r>
              <w:rPr>
                <w:spacing w:val="-1"/>
              </w:rPr>
              <w:t>90~105</w:t>
            </w:r>
          </w:p>
        </w:tc>
        <w:tc>
          <w:tcPr>
            <w:tcW w:w="1711" w:type="dxa"/>
            <w:vAlign w:val="top"/>
          </w:tcPr>
          <w:p>
            <w:pPr>
              <w:pStyle w:val="TableText"/>
              <w:spacing w:before="165" w:line="187" w:lineRule="auto"/>
              <w:ind w:left="689"/>
            </w:pPr>
            <w:r>
              <w:rPr>
                <w:spacing w:val="8"/>
              </w:rPr>
              <w:t>±40</w:t>
            </w:r>
          </w:p>
          <w:p>
            <w:pPr>
              <w:pStyle w:val="TableText"/>
              <w:spacing w:before="287" w:line="187" w:lineRule="auto"/>
              <w:ind w:left="689"/>
            </w:pPr>
            <w:r>
              <w:rPr>
                <w:spacing w:val="8"/>
              </w:rPr>
              <w:t>±35</w:t>
            </w:r>
          </w:p>
          <w:p>
            <w:pPr>
              <w:pStyle w:val="TableText"/>
              <w:spacing w:before="289" w:line="187" w:lineRule="auto"/>
              <w:ind w:left="689"/>
            </w:pPr>
            <w:r>
              <w:rPr>
                <w:spacing w:val="8"/>
              </w:rPr>
              <w:t>±30</w:t>
            </w:r>
          </w:p>
        </w:tc>
      </w:tr>
      <w:tr>
        <w:tblPrEx>
          <w:tblW w:w="8190" w:type="dxa"/>
          <w:tblInd w:w="74" w:type="dxa"/>
          <w:tblLayout w:type="fixed"/>
        </w:tblPrEx>
        <w:trPr>
          <w:trHeight w:val="1422"/>
        </w:trPr>
        <w:tc>
          <w:tcPr>
            <w:tcW w:w="1084" w:type="dxa"/>
            <w:vAlign w:val="top"/>
          </w:tcPr>
          <w:p>
            <w:pPr>
              <w:spacing w:line="266" w:lineRule="auto"/>
              <w:rPr>
                <w:rFonts w:ascii="Arial"/>
                <w:sz w:val="21"/>
              </w:rPr>
            </w:pPr>
          </w:p>
          <w:p>
            <w:pPr>
              <w:spacing w:line="267" w:lineRule="auto"/>
              <w:rPr>
                <w:rFonts w:ascii="Arial"/>
                <w:sz w:val="21"/>
              </w:rPr>
            </w:pPr>
          </w:p>
          <w:p>
            <w:pPr>
              <w:spacing w:before="69" w:line="221" w:lineRule="auto"/>
              <w:ind w:left="439"/>
              <w:rPr>
                <w:rFonts w:ascii="SimSun" w:eastAsia="SimSun" w:hAnsi="SimSun" w:cs="SimSun"/>
                <w:sz w:val="21"/>
                <w:szCs w:val="21"/>
              </w:rPr>
            </w:pPr>
            <w:r>
              <w:rPr>
                <w:rFonts w:ascii="SimSun" w:eastAsia="SimSun" w:hAnsi="SimSun" w:cs="SimSun"/>
                <w:sz w:val="21"/>
                <w:szCs w:val="21"/>
              </w:rPr>
              <w:t>砷</w:t>
            </w:r>
          </w:p>
        </w:tc>
        <w:tc>
          <w:tcPr>
            <w:tcW w:w="2111" w:type="dxa"/>
            <w:vAlign w:val="top"/>
          </w:tcPr>
          <w:p>
            <w:pPr>
              <w:pStyle w:val="TableText"/>
              <w:spacing w:before="166" w:line="187" w:lineRule="auto"/>
              <w:ind w:left="888"/>
            </w:pPr>
            <w:r>
              <w:rPr>
                <w:spacing w:val="-1"/>
              </w:rPr>
              <w:t>&lt;10</w:t>
            </w:r>
          </w:p>
          <w:p>
            <w:pPr>
              <w:pStyle w:val="TableText"/>
              <w:spacing w:before="287" w:line="187" w:lineRule="auto"/>
              <w:ind w:left="808"/>
            </w:pPr>
            <w:r>
              <w:rPr>
                <w:spacing w:val="-5"/>
              </w:rPr>
              <w:t>10~20</w:t>
            </w:r>
          </w:p>
          <w:p>
            <w:pPr>
              <w:pStyle w:val="TableText"/>
              <w:spacing w:before="289" w:line="187" w:lineRule="auto"/>
              <w:ind w:left="888"/>
            </w:pPr>
            <w:r>
              <w:rPr>
                <w:spacing w:val="-1"/>
              </w:rPr>
              <w:t>&gt;20</w:t>
            </w:r>
          </w:p>
        </w:tc>
        <w:tc>
          <w:tcPr>
            <w:tcW w:w="1567" w:type="dxa"/>
            <w:vAlign w:val="top"/>
          </w:tcPr>
          <w:p>
            <w:pPr>
              <w:pStyle w:val="TableText"/>
              <w:spacing w:before="166" w:line="187" w:lineRule="auto"/>
              <w:ind w:left="678"/>
            </w:pPr>
            <w:r>
              <w:rPr>
                <w:spacing w:val="-1"/>
              </w:rPr>
              <w:t>20</w:t>
            </w:r>
          </w:p>
          <w:p>
            <w:pPr>
              <w:pStyle w:val="TableText"/>
              <w:spacing w:before="287" w:line="187" w:lineRule="auto"/>
              <w:ind w:left="698"/>
            </w:pPr>
            <w:r>
              <w:rPr>
                <w:spacing w:val="-6"/>
              </w:rPr>
              <w:t>15</w:t>
            </w:r>
          </w:p>
          <w:p>
            <w:pPr>
              <w:pStyle w:val="TableText"/>
              <w:spacing w:before="289" w:line="187" w:lineRule="auto"/>
              <w:ind w:left="698"/>
            </w:pPr>
            <w:r>
              <w:rPr>
                <w:spacing w:val="-6"/>
              </w:rPr>
              <w:t>10</w:t>
            </w:r>
          </w:p>
        </w:tc>
        <w:tc>
          <w:tcPr>
            <w:tcW w:w="1717" w:type="dxa"/>
            <w:vAlign w:val="top"/>
          </w:tcPr>
          <w:p>
            <w:pPr>
              <w:pStyle w:val="TableText"/>
              <w:spacing w:before="166" w:line="187" w:lineRule="auto"/>
              <w:ind w:left="550"/>
            </w:pPr>
            <w:r>
              <w:rPr>
                <w:spacing w:val="-2"/>
              </w:rPr>
              <w:t>85~105</w:t>
            </w:r>
          </w:p>
          <w:p>
            <w:pPr>
              <w:pStyle w:val="TableText"/>
              <w:spacing w:before="287" w:line="187" w:lineRule="auto"/>
              <w:ind w:left="546"/>
            </w:pPr>
            <w:r>
              <w:rPr>
                <w:spacing w:val="-1"/>
              </w:rPr>
              <w:t>90~105</w:t>
            </w:r>
          </w:p>
          <w:p>
            <w:pPr>
              <w:pStyle w:val="TableText"/>
              <w:spacing w:before="289" w:line="187" w:lineRule="auto"/>
              <w:ind w:left="546"/>
            </w:pPr>
            <w:r>
              <w:rPr>
                <w:spacing w:val="-1"/>
              </w:rPr>
              <w:t>90~105</w:t>
            </w:r>
          </w:p>
        </w:tc>
        <w:tc>
          <w:tcPr>
            <w:tcW w:w="1711" w:type="dxa"/>
            <w:vAlign w:val="top"/>
          </w:tcPr>
          <w:p>
            <w:pPr>
              <w:pStyle w:val="TableText"/>
              <w:spacing w:before="166" w:line="187" w:lineRule="auto"/>
              <w:ind w:left="689"/>
            </w:pPr>
            <w:r>
              <w:rPr>
                <w:spacing w:val="8"/>
              </w:rPr>
              <w:t>±30</w:t>
            </w:r>
          </w:p>
          <w:p>
            <w:pPr>
              <w:pStyle w:val="TableText"/>
              <w:spacing w:before="287" w:line="187" w:lineRule="auto"/>
              <w:ind w:left="689"/>
            </w:pPr>
            <w:r>
              <w:rPr>
                <w:spacing w:val="8"/>
              </w:rPr>
              <w:t>±20</w:t>
            </w:r>
          </w:p>
          <w:p>
            <w:pPr>
              <w:pStyle w:val="TableText"/>
              <w:spacing w:before="289" w:line="187" w:lineRule="auto"/>
              <w:ind w:left="689"/>
            </w:pPr>
            <w:r>
              <w:rPr>
                <w:spacing w:val="8"/>
              </w:rPr>
              <w:t>±15</w:t>
            </w:r>
          </w:p>
        </w:tc>
      </w:tr>
      <w:tr>
        <w:tblPrEx>
          <w:tblW w:w="8190" w:type="dxa"/>
          <w:tblInd w:w="74" w:type="dxa"/>
          <w:tblLayout w:type="fixed"/>
        </w:tblPrEx>
        <w:trPr>
          <w:trHeight w:val="1422"/>
        </w:trPr>
        <w:tc>
          <w:tcPr>
            <w:tcW w:w="1084" w:type="dxa"/>
            <w:vAlign w:val="top"/>
          </w:tcPr>
          <w:p>
            <w:pPr>
              <w:spacing w:line="267" w:lineRule="auto"/>
              <w:rPr>
                <w:rFonts w:ascii="Arial"/>
                <w:sz w:val="21"/>
              </w:rPr>
            </w:pPr>
          </w:p>
          <w:p>
            <w:pPr>
              <w:spacing w:line="267" w:lineRule="auto"/>
              <w:rPr>
                <w:rFonts w:ascii="Arial"/>
                <w:sz w:val="21"/>
              </w:rPr>
            </w:pPr>
          </w:p>
          <w:p>
            <w:pPr>
              <w:spacing w:before="68" w:line="222" w:lineRule="auto"/>
              <w:ind w:left="439"/>
              <w:rPr>
                <w:rFonts w:ascii="SimSun" w:eastAsia="SimSun" w:hAnsi="SimSun" w:cs="SimSun"/>
                <w:sz w:val="21"/>
                <w:szCs w:val="21"/>
              </w:rPr>
            </w:pPr>
            <w:r>
              <w:rPr>
                <w:rFonts w:ascii="SimSun" w:eastAsia="SimSun" w:hAnsi="SimSun" w:cs="SimSun"/>
                <w:sz w:val="21"/>
                <w:szCs w:val="21"/>
              </w:rPr>
              <w:t>铜</w:t>
            </w:r>
          </w:p>
        </w:tc>
        <w:tc>
          <w:tcPr>
            <w:tcW w:w="2111" w:type="dxa"/>
            <w:vAlign w:val="top"/>
          </w:tcPr>
          <w:p>
            <w:pPr>
              <w:pStyle w:val="TableText"/>
              <w:spacing w:before="167" w:line="187" w:lineRule="auto"/>
              <w:ind w:left="888"/>
            </w:pPr>
            <w:r>
              <w:rPr>
                <w:spacing w:val="-1"/>
              </w:rPr>
              <w:t>&lt;20</w:t>
            </w:r>
          </w:p>
          <w:p>
            <w:pPr>
              <w:pStyle w:val="TableText"/>
              <w:spacing w:before="287" w:line="187" w:lineRule="auto"/>
              <w:ind w:left="787"/>
            </w:pPr>
            <w:r>
              <w:rPr>
                <w:spacing w:val="-1"/>
              </w:rPr>
              <w:t>20~30</w:t>
            </w:r>
          </w:p>
          <w:p>
            <w:pPr>
              <w:pStyle w:val="TableText"/>
              <w:spacing w:before="289" w:line="187" w:lineRule="auto"/>
              <w:ind w:left="888"/>
            </w:pPr>
            <w:r>
              <w:rPr>
                <w:spacing w:val="-1"/>
              </w:rPr>
              <w:t>&gt;30</w:t>
            </w:r>
          </w:p>
        </w:tc>
        <w:tc>
          <w:tcPr>
            <w:tcW w:w="1567" w:type="dxa"/>
            <w:vAlign w:val="top"/>
          </w:tcPr>
          <w:p>
            <w:pPr>
              <w:pStyle w:val="TableText"/>
              <w:spacing w:before="167" w:line="187" w:lineRule="auto"/>
              <w:ind w:left="678"/>
            </w:pPr>
            <w:r>
              <w:rPr>
                <w:spacing w:val="-1"/>
              </w:rPr>
              <w:t>20</w:t>
            </w:r>
          </w:p>
          <w:p>
            <w:pPr>
              <w:pStyle w:val="TableText"/>
              <w:spacing w:before="287" w:line="187" w:lineRule="auto"/>
              <w:ind w:left="698"/>
            </w:pPr>
            <w:r>
              <w:rPr>
                <w:spacing w:val="-6"/>
              </w:rPr>
              <w:t>15</w:t>
            </w:r>
          </w:p>
          <w:p>
            <w:pPr>
              <w:pStyle w:val="TableText"/>
              <w:spacing w:before="289" w:line="187" w:lineRule="auto"/>
              <w:ind w:left="698"/>
            </w:pPr>
            <w:r>
              <w:rPr>
                <w:spacing w:val="-6"/>
              </w:rPr>
              <w:t>10</w:t>
            </w:r>
          </w:p>
        </w:tc>
        <w:tc>
          <w:tcPr>
            <w:tcW w:w="1717" w:type="dxa"/>
            <w:vAlign w:val="top"/>
          </w:tcPr>
          <w:p>
            <w:pPr>
              <w:pStyle w:val="TableText"/>
              <w:spacing w:before="167" w:line="187" w:lineRule="auto"/>
              <w:ind w:left="550"/>
            </w:pPr>
            <w:r>
              <w:rPr>
                <w:spacing w:val="-2"/>
              </w:rPr>
              <w:t>85~105</w:t>
            </w:r>
          </w:p>
          <w:p>
            <w:pPr>
              <w:pStyle w:val="TableText"/>
              <w:spacing w:before="287" w:line="187" w:lineRule="auto"/>
              <w:ind w:left="546"/>
            </w:pPr>
            <w:r>
              <w:rPr>
                <w:spacing w:val="-1"/>
              </w:rPr>
              <w:t>90~105</w:t>
            </w:r>
          </w:p>
          <w:p>
            <w:pPr>
              <w:pStyle w:val="TableText"/>
              <w:spacing w:before="289" w:line="187" w:lineRule="auto"/>
              <w:ind w:left="546"/>
            </w:pPr>
            <w:r>
              <w:rPr>
                <w:spacing w:val="-1"/>
              </w:rPr>
              <w:t>90~105</w:t>
            </w:r>
          </w:p>
        </w:tc>
        <w:tc>
          <w:tcPr>
            <w:tcW w:w="1711" w:type="dxa"/>
            <w:vAlign w:val="top"/>
          </w:tcPr>
          <w:p>
            <w:pPr>
              <w:pStyle w:val="TableText"/>
              <w:spacing w:before="167" w:line="187" w:lineRule="auto"/>
              <w:ind w:left="689"/>
            </w:pPr>
            <w:r>
              <w:rPr>
                <w:spacing w:val="8"/>
              </w:rPr>
              <w:t>±25</w:t>
            </w:r>
          </w:p>
          <w:p>
            <w:pPr>
              <w:pStyle w:val="TableText"/>
              <w:spacing w:before="287" w:line="187" w:lineRule="auto"/>
              <w:ind w:left="689"/>
            </w:pPr>
            <w:r>
              <w:rPr>
                <w:spacing w:val="8"/>
              </w:rPr>
              <w:t>±20</w:t>
            </w:r>
          </w:p>
          <w:p>
            <w:pPr>
              <w:pStyle w:val="TableText"/>
              <w:spacing w:before="289" w:line="187" w:lineRule="auto"/>
              <w:ind w:left="689"/>
            </w:pPr>
            <w:r>
              <w:rPr>
                <w:spacing w:val="8"/>
              </w:rPr>
              <w:t>±15</w:t>
            </w:r>
          </w:p>
        </w:tc>
      </w:tr>
      <w:tr>
        <w:tblPrEx>
          <w:tblW w:w="8190" w:type="dxa"/>
          <w:tblInd w:w="74" w:type="dxa"/>
          <w:tblLayout w:type="fixed"/>
        </w:tblPrEx>
        <w:trPr>
          <w:trHeight w:val="1423"/>
        </w:trPr>
        <w:tc>
          <w:tcPr>
            <w:tcW w:w="1084" w:type="dxa"/>
            <w:vAlign w:val="top"/>
          </w:tcPr>
          <w:p>
            <w:pPr>
              <w:spacing w:line="268" w:lineRule="auto"/>
              <w:rPr>
                <w:rFonts w:ascii="Arial"/>
                <w:sz w:val="21"/>
              </w:rPr>
            </w:pPr>
          </w:p>
          <w:p>
            <w:pPr>
              <w:spacing w:line="268" w:lineRule="auto"/>
              <w:rPr>
                <w:rFonts w:ascii="Arial"/>
                <w:sz w:val="21"/>
              </w:rPr>
            </w:pPr>
          </w:p>
          <w:p>
            <w:pPr>
              <w:spacing w:before="68" w:line="225" w:lineRule="auto"/>
              <w:ind w:left="439"/>
              <w:rPr>
                <w:rFonts w:ascii="SimSun" w:eastAsia="SimSun" w:hAnsi="SimSun" w:cs="SimSun"/>
                <w:sz w:val="21"/>
                <w:szCs w:val="21"/>
              </w:rPr>
            </w:pPr>
            <w:r>
              <w:rPr>
                <w:rFonts w:ascii="SimSun" w:eastAsia="SimSun" w:hAnsi="SimSun" w:cs="SimSun"/>
                <w:sz w:val="21"/>
                <w:szCs w:val="21"/>
              </w:rPr>
              <w:t>铅</w:t>
            </w:r>
          </w:p>
        </w:tc>
        <w:tc>
          <w:tcPr>
            <w:tcW w:w="2111" w:type="dxa"/>
            <w:vAlign w:val="top"/>
          </w:tcPr>
          <w:p>
            <w:pPr>
              <w:pStyle w:val="TableText"/>
              <w:spacing w:before="168" w:line="187" w:lineRule="auto"/>
              <w:ind w:left="888"/>
            </w:pPr>
            <w:r>
              <w:rPr>
                <w:spacing w:val="-1"/>
              </w:rPr>
              <w:t>&lt;20</w:t>
            </w:r>
          </w:p>
          <w:p>
            <w:pPr>
              <w:pStyle w:val="TableText"/>
              <w:spacing w:before="287" w:line="187" w:lineRule="auto"/>
              <w:ind w:left="787"/>
            </w:pPr>
            <w:r>
              <w:rPr>
                <w:spacing w:val="-1"/>
              </w:rPr>
              <w:t>20~40</w:t>
            </w:r>
          </w:p>
          <w:p>
            <w:pPr>
              <w:pStyle w:val="TableText"/>
              <w:spacing w:before="289" w:line="187" w:lineRule="auto"/>
              <w:ind w:left="888"/>
            </w:pPr>
            <w:r>
              <w:rPr>
                <w:spacing w:val="-1"/>
              </w:rPr>
              <w:t>&gt;40</w:t>
            </w:r>
          </w:p>
        </w:tc>
        <w:tc>
          <w:tcPr>
            <w:tcW w:w="1567" w:type="dxa"/>
            <w:vAlign w:val="top"/>
          </w:tcPr>
          <w:p>
            <w:pPr>
              <w:pStyle w:val="TableText"/>
              <w:spacing w:before="168" w:line="187" w:lineRule="auto"/>
              <w:ind w:left="678"/>
            </w:pPr>
            <w:r>
              <w:rPr>
                <w:spacing w:val="-1"/>
              </w:rPr>
              <w:t>25</w:t>
            </w:r>
          </w:p>
          <w:p>
            <w:pPr>
              <w:pStyle w:val="TableText"/>
              <w:spacing w:before="287" w:line="187" w:lineRule="auto"/>
              <w:ind w:left="678"/>
            </w:pPr>
            <w:r>
              <w:rPr>
                <w:spacing w:val="-1"/>
              </w:rPr>
              <w:t>20</w:t>
            </w:r>
          </w:p>
          <w:p>
            <w:pPr>
              <w:pStyle w:val="TableText"/>
              <w:spacing w:before="289" w:line="187" w:lineRule="auto"/>
              <w:ind w:left="698"/>
            </w:pPr>
            <w:r>
              <w:rPr>
                <w:spacing w:val="-6"/>
              </w:rPr>
              <w:t>15</w:t>
            </w:r>
          </w:p>
        </w:tc>
        <w:tc>
          <w:tcPr>
            <w:tcW w:w="1717" w:type="dxa"/>
            <w:vAlign w:val="top"/>
          </w:tcPr>
          <w:p>
            <w:pPr>
              <w:pStyle w:val="TableText"/>
              <w:spacing w:before="168" w:line="187" w:lineRule="auto"/>
              <w:ind w:left="553"/>
            </w:pPr>
            <w:r>
              <w:rPr>
                <w:spacing w:val="-3"/>
              </w:rPr>
              <w:t>80~110</w:t>
            </w:r>
          </w:p>
          <w:p>
            <w:pPr>
              <w:pStyle w:val="TableText"/>
              <w:spacing w:before="287" w:line="187" w:lineRule="auto"/>
              <w:ind w:left="553"/>
            </w:pPr>
            <w:r>
              <w:rPr>
                <w:spacing w:val="-3"/>
              </w:rPr>
              <w:t>85~110</w:t>
            </w:r>
          </w:p>
          <w:p>
            <w:pPr>
              <w:pStyle w:val="TableText"/>
              <w:spacing w:before="289" w:line="187" w:lineRule="auto"/>
              <w:ind w:left="546"/>
            </w:pPr>
            <w:r>
              <w:rPr>
                <w:spacing w:val="-1"/>
              </w:rPr>
              <w:t>90~105</w:t>
            </w:r>
          </w:p>
        </w:tc>
        <w:tc>
          <w:tcPr>
            <w:tcW w:w="1711" w:type="dxa"/>
            <w:vAlign w:val="top"/>
          </w:tcPr>
          <w:p>
            <w:pPr>
              <w:pStyle w:val="TableText"/>
              <w:spacing w:before="168" w:line="187" w:lineRule="auto"/>
              <w:ind w:left="689"/>
            </w:pPr>
            <w:r>
              <w:rPr>
                <w:spacing w:val="8"/>
              </w:rPr>
              <w:t>±30</w:t>
            </w:r>
          </w:p>
          <w:p>
            <w:pPr>
              <w:pStyle w:val="TableText"/>
              <w:spacing w:before="287" w:line="187" w:lineRule="auto"/>
              <w:ind w:left="689"/>
            </w:pPr>
            <w:r>
              <w:rPr>
                <w:spacing w:val="8"/>
              </w:rPr>
              <w:t>±25</w:t>
            </w:r>
          </w:p>
          <w:p>
            <w:pPr>
              <w:pStyle w:val="TableText"/>
              <w:spacing w:before="289" w:line="187" w:lineRule="auto"/>
              <w:ind w:left="689"/>
            </w:pPr>
            <w:r>
              <w:rPr>
                <w:spacing w:val="8"/>
              </w:rPr>
              <w:t>±20</w:t>
            </w:r>
          </w:p>
        </w:tc>
      </w:tr>
      <w:tr>
        <w:tblPrEx>
          <w:tblW w:w="8190" w:type="dxa"/>
          <w:tblInd w:w="74" w:type="dxa"/>
          <w:tblLayout w:type="fixed"/>
        </w:tblPrEx>
        <w:trPr>
          <w:trHeight w:val="1422"/>
        </w:trPr>
        <w:tc>
          <w:tcPr>
            <w:tcW w:w="1084" w:type="dxa"/>
            <w:vAlign w:val="top"/>
          </w:tcPr>
          <w:p>
            <w:pPr>
              <w:spacing w:line="267" w:lineRule="auto"/>
              <w:rPr>
                <w:rFonts w:ascii="Arial"/>
                <w:sz w:val="21"/>
              </w:rPr>
            </w:pPr>
          </w:p>
          <w:p>
            <w:pPr>
              <w:spacing w:line="268" w:lineRule="auto"/>
              <w:rPr>
                <w:rFonts w:ascii="Arial"/>
                <w:sz w:val="21"/>
              </w:rPr>
            </w:pPr>
          </w:p>
          <w:p>
            <w:pPr>
              <w:spacing w:before="69" w:line="223" w:lineRule="auto"/>
              <w:ind w:left="439"/>
              <w:rPr>
                <w:rFonts w:ascii="SimSun" w:eastAsia="SimSun" w:hAnsi="SimSun" w:cs="SimSun"/>
                <w:sz w:val="21"/>
                <w:szCs w:val="21"/>
              </w:rPr>
            </w:pPr>
            <w:r>
              <w:rPr>
                <w:rFonts w:ascii="SimSun" w:eastAsia="SimSun" w:hAnsi="SimSun" w:cs="SimSun"/>
                <w:sz w:val="21"/>
                <w:szCs w:val="21"/>
              </w:rPr>
              <w:t>铬</w:t>
            </w:r>
          </w:p>
        </w:tc>
        <w:tc>
          <w:tcPr>
            <w:tcW w:w="2111" w:type="dxa"/>
            <w:vAlign w:val="top"/>
          </w:tcPr>
          <w:p>
            <w:pPr>
              <w:pStyle w:val="TableText"/>
              <w:spacing w:before="168" w:line="187" w:lineRule="auto"/>
              <w:ind w:left="888"/>
            </w:pPr>
            <w:r>
              <w:rPr>
                <w:spacing w:val="-1"/>
              </w:rPr>
              <w:t>&lt;50</w:t>
            </w:r>
          </w:p>
          <w:p>
            <w:pPr>
              <w:pStyle w:val="TableText"/>
              <w:spacing w:before="287" w:line="187" w:lineRule="auto"/>
              <w:ind w:left="793"/>
            </w:pPr>
            <w:r>
              <w:rPr>
                <w:spacing w:val="-2"/>
              </w:rPr>
              <w:t>50~90</w:t>
            </w:r>
          </w:p>
          <w:p>
            <w:pPr>
              <w:pStyle w:val="TableText"/>
              <w:spacing w:before="289" w:line="187" w:lineRule="auto"/>
              <w:ind w:left="888"/>
            </w:pPr>
            <w:r>
              <w:rPr>
                <w:spacing w:val="-1"/>
              </w:rPr>
              <w:t>&gt;90</w:t>
            </w:r>
          </w:p>
        </w:tc>
        <w:tc>
          <w:tcPr>
            <w:tcW w:w="1567" w:type="dxa"/>
            <w:vAlign w:val="top"/>
          </w:tcPr>
          <w:p>
            <w:pPr>
              <w:pStyle w:val="TableText"/>
              <w:spacing w:before="168" w:line="187" w:lineRule="auto"/>
              <w:ind w:left="678"/>
            </w:pPr>
            <w:r>
              <w:rPr>
                <w:spacing w:val="-1"/>
              </w:rPr>
              <w:t>20</w:t>
            </w:r>
          </w:p>
          <w:p>
            <w:pPr>
              <w:pStyle w:val="TableText"/>
              <w:spacing w:before="287" w:line="187" w:lineRule="auto"/>
              <w:ind w:left="698"/>
            </w:pPr>
            <w:r>
              <w:rPr>
                <w:spacing w:val="-6"/>
              </w:rPr>
              <w:t>15</w:t>
            </w:r>
          </w:p>
          <w:p>
            <w:pPr>
              <w:pStyle w:val="TableText"/>
              <w:spacing w:before="289" w:line="187" w:lineRule="auto"/>
              <w:ind w:left="698"/>
            </w:pPr>
            <w:r>
              <w:rPr>
                <w:spacing w:val="-6"/>
              </w:rPr>
              <w:t>10</w:t>
            </w:r>
          </w:p>
        </w:tc>
        <w:tc>
          <w:tcPr>
            <w:tcW w:w="1717" w:type="dxa"/>
            <w:vAlign w:val="top"/>
          </w:tcPr>
          <w:p>
            <w:pPr>
              <w:pStyle w:val="TableText"/>
              <w:spacing w:before="168" w:line="187" w:lineRule="auto"/>
              <w:ind w:left="553"/>
            </w:pPr>
            <w:r>
              <w:rPr>
                <w:spacing w:val="-3"/>
              </w:rPr>
              <w:t>85~110</w:t>
            </w:r>
          </w:p>
          <w:p>
            <w:pPr>
              <w:pStyle w:val="TableText"/>
              <w:spacing w:before="287" w:line="187" w:lineRule="auto"/>
              <w:ind w:left="553"/>
            </w:pPr>
            <w:r>
              <w:rPr>
                <w:spacing w:val="-3"/>
              </w:rPr>
              <w:t>85~110</w:t>
            </w:r>
          </w:p>
          <w:p>
            <w:pPr>
              <w:pStyle w:val="TableText"/>
              <w:spacing w:before="289" w:line="187" w:lineRule="auto"/>
              <w:ind w:left="546"/>
            </w:pPr>
            <w:r>
              <w:rPr>
                <w:spacing w:val="-1"/>
              </w:rPr>
              <w:t>90~105</w:t>
            </w:r>
          </w:p>
        </w:tc>
        <w:tc>
          <w:tcPr>
            <w:tcW w:w="1711" w:type="dxa"/>
            <w:vAlign w:val="top"/>
          </w:tcPr>
          <w:p>
            <w:pPr>
              <w:pStyle w:val="TableText"/>
              <w:spacing w:before="168" w:line="187" w:lineRule="auto"/>
              <w:ind w:left="689"/>
            </w:pPr>
            <w:r>
              <w:rPr>
                <w:spacing w:val="8"/>
              </w:rPr>
              <w:t>±25</w:t>
            </w:r>
          </w:p>
          <w:p>
            <w:pPr>
              <w:pStyle w:val="TableText"/>
              <w:spacing w:before="287" w:line="187" w:lineRule="auto"/>
              <w:ind w:left="689"/>
            </w:pPr>
            <w:r>
              <w:rPr>
                <w:spacing w:val="8"/>
              </w:rPr>
              <w:t>±20</w:t>
            </w:r>
          </w:p>
          <w:p>
            <w:pPr>
              <w:pStyle w:val="TableText"/>
              <w:spacing w:before="289" w:line="187" w:lineRule="auto"/>
              <w:ind w:left="689"/>
            </w:pPr>
            <w:r>
              <w:rPr>
                <w:spacing w:val="8"/>
              </w:rPr>
              <w:t>±15</w:t>
            </w:r>
          </w:p>
        </w:tc>
      </w:tr>
    </w:tbl>
    <w:p>
      <w:pPr>
        <w:sectPr>
          <w:footerReference w:type="default" r:id="rId12"/>
          <w:pgSz w:w="11907" w:h="16839"/>
          <w:pgMar w:top="1431" w:right="1785" w:bottom="1150" w:left="1785" w:header="0" w:footer="988" w:gutter="0"/>
          <w:pgNumType w:start="9"/>
          <w:cols w:space="708"/>
        </w:sectPr>
      </w:pPr>
    </w:p>
    <w:tbl>
      <w:tblPr>
        <w:tblStyle w:val="TableNormal1"/>
        <w:tblW w:w="819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4"/>
        <w:gridCol w:w="2111"/>
        <w:gridCol w:w="1567"/>
        <w:gridCol w:w="1717"/>
        <w:gridCol w:w="1711"/>
      </w:tblGrid>
      <w:tr>
        <w:tblPrEx>
          <w:tblW w:w="819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28"/>
        </w:trPr>
        <w:tc>
          <w:tcPr>
            <w:tcW w:w="1084" w:type="dxa"/>
            <w:vAlign w:val="top"/>
          </w:tcPr>
          <w:p>
            <w:pPr>
              <w:spacing w:line="268" w:lineRule="auto"/>
              <w:rPr>
                <w:rFonts w:ascii="Arial"/>
                <w:sz w:val="21"/>
              </w:rPr>
            </w:pPr>
          </w:p>
          <w:p>
            <w:pPr>
              <w:spacing w:line="269" w:lineRule="auto"/>
              <w:rPr>
                <w:rFonts w:ascii="Arial"/>
                <w:sz w:val="21"/>
              </w:rPr>
            </w:pPr>
          </w:p>
          <w:p>
            <w:pPr>
              <w:spacing w:before="69" w:line="221" w:lineRule="auto"/>
              <w:ind w:left="439"/>
              <w:rPr>
                <w:rFonts w:ascii="SimSun" w:eastAsia="SimSun" w:hAnsi="SimSun" w:cs="SimSun"/>
                <w:sz w:val="21"/>
                <w:szCs w:val="21"/>
              </w:rPr>
            </w:pPr>
            <w:r>
              <w:rPr>
                <w:rFonts w:ascii="SimSun" w:eastAsia="SimSun" w:hAnsi="SimSun" w:cs="SimSun"/>
                <w:sz w:val="21"/>
                <w:szCs w:val="21"/>
              </w:rPr>
              <w:t>锌</w:t>
            </w:r>
          </w:p>
        </w:tc>
        <w:tc>
          <w:tcPr>
            <w:tcW w:w="2111" w:type="dxa"/>
            <w:vAlign w:val="top"/>
          </w:tcPr>
          <w:p>
            <w:pPr>
              <w:pStyle w:val="TableText"/>
              <w:spacing w:before="169" w:line="187" w:lineRule="auto"/>
              <w:ind w:left="888"/>
            </w:pPr>
            <w:r>
              <w:rPr>
                <w:spacing w:val="-1"/>
              </w:rPr>
              <w:t>&lt;50</w:t>
            </w:r>
          </w:p>
          <w:p>
            <w:pPr>
              <w:pStyle w:val="TableText"/>
              <w:spacing w:before="287" w:line="187" w:lineRule="auto"/>
              <w:ind w:left="793"/>
            </w:pPr>
            <w:r>
              <w:rPr>
                <w:spacing w:val="-2"/>
              </w:rPr>
              <w:t>50~90</w:t>
            </w:r>
          </w:p>
          <w:p>
            <w:pPr>
              <w:pStyle w:val="TableText"/>
              <w:spacing w:before="289" w:line="187" w:lineRule="auto"/>
              <w:ind w:left="888"/>
            </w:pPr>
            <w:r>
              <w:rPr>
                <w:spacing w:val="-1"/>
              </w:rPr>
              <w:t>&gt;90</w:t>
            </w:r>
          </w:p>
        </w:tc>
        <w:tc>
          <w:tcPr>
            <w:tcW w:w="1567" w:type="dxa"/>
            <w:vAlign w:val="top"/>
          </w:tcPr>
          <w:p>
            <w:pPr>
              <w:pStyle w:val="TableText"/>
              <w:spacing w:before="169" w:line="187" w:lineRule="auto"/>
              <w:ind w:left="678"/>
            </w:pPr>
            <w:r>
              <w:rPr>
                <w:spacing w:val="-1"/>
              </w:rPr>
              <w:t>20</w:t>
            </w:r>
          </w:p>
          <w:p>
            <w:pPr>
              <w:pStyle w:val="TableText"/>
              <w:spacing w:before="287" w:line="187" w:lineRule="auto"/>
              <w:ind w:left="698"/>
            </w:pPr>
            <w:r>
              <w:rPr>
                <w:spacing w:val="-6"/>
              </w:rPr>
              <w:t>15</w:t>
            </w:r>
          </w:p>
          <w:p>
            <w:pPr>
              <w:pStyle w:val="TableText"/>
              <w:spacing w:before="289" w:line="187" w:lineRule="auto"/>
              <w:ind w:left="698"/>
            </w:pPr>
            <w:r>
              <w:rPr>
                <w:spacing w:val="-6"/>
              </w:rPr>
              <w:t>10</w:t>
            </w:r>
          </w:p>
        </w:tc>
        <w:tc>
          <w:tcPr>
            <w:tcW w:w="1717" w:type="dxa"/>
            <w:vAlign w:val="top"/>
          </w:tcPr>
          <w:p>
            <w:pPr>
              <w:pStyle w:val="TableText"/>
              <w:spacing w:before="169" w:line="187" w:lineRule="auto"/>
              <w:ind w:left="553"/>
            </w:pPr>
            <w:r>
              <w:rPr>
                <w:spacing w:val="-3"/>
              </w:rPr>
              <w:t>85~110</w:t>
            </w:r>
          </w:p>
          <w:p>
            <w:pPr>
              <w:pStyle w:val="TableText"/>
              <w:spacing w:before="287" w:line="187" w:lineRule="auto"/>
              <w:ind w:left="553"/>
            </w:pPr>
            <w:r>
              <w:rPr>
                <w:spacing w:val="-3"/>
              </w:rPr>
              <w:t>85~110</w:t>
            </w:r>
          </w:p>
          <w:p>
            <w:pPr>
              <w:pStyle w:val="TableText"/>
              <w:spacing w:before="289" w:line="187" w:lineRule="auto"/>
              <w:ind w:left="546"/>
            </w:pPr>
            <w:r>
              <w:rPr>
                <w:spacing w:val="-1"/>
              </w:rPr>
              <w:t>90~105</w:t>
            </w:r>
          </w:p>
        </w:tc>
        <w:tc>
          <w:tcPr>
            <w:tcW w:w="1711" w:type="dxa"/>
            <w:vAlign w:val="top"/>
          </w:tcPr>
          <w:p>
            <w:pPr>
              <w:pStyle w:val="TableText"/>
              <w:spacing w:before="169" w:line="187" w:lineRule="auto"/>
              <w:ind w:left="689"/>
            </w:pPr>
            <w:r>
              <w:rPr>
                <w:spacing w:val="8"/>
              </w:rPr>
              <w:t>±25</w:t>
            </w:r>
          </w:p>
          <w:p>
            <w:pPr>
              <w:pStyle w:val="TableText"/>
              <w:spacing w:before="287" w:line="187" w:lineRule="auto"/>
              <w:ind w:left="689"/>
            </w:pPr>
            <w:r>
              <w:rPr>
                <w:spacing w:val="8"/>
              </w:rPr>
              <w:t>±20</w:t>
            </w:r>
          </w:p>
          <w:p>
            <w:pPr>
              <w:pStyle w:val="TableText"/>
              <w:spacing w:before="289" w:line="187" w:lineRule="auto"/>
              <w:ind w:left="689"/>
            </w:pPr>
            <w:r>
              <w:rPr>
                <w:spacing w:val="8"/>
              </w:rPr>
              <w:t>±15</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https://d.book118.com/065130320213011043</w:t>
        </w:r>
      </w:hyperlink>
    </w:p>
    <w:p>
      <w:pPr>
        <w:rPr>
          <w:rFonts w:ascii="Arial" w:eastAsia="Arial" w:hAnsi="Arial" w:cs="Arial"/>
          <w:sz w:val="21"/>
          <w:szCs w:val="21"/>
        </w:rPr>
      </w:pPr>
    </w:p>
    <w:sectPr>
      <w:footerReference w:type="default" r:id="rId14"/>
      <w:type w:val="nextPage"/>
      <w:pgSz w:w="11907" w:h="16839"/>
      <w:pgMar w:top="1431" w:right="1785" w:bottom="1150" w:left="1785" w:header="0" w:footer="988"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6"/>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36"/>
      <w:rPr>
        <w:rFonts w:ascii="Calibri" w:eastAsia="Calibri" w:hAnsi="Calibri" w:cs="Calibri"/>
        <w:sz w:val="18"/>
        <w:szCs w:val="18"/>
      </w:rPr>
    </w:pPr>
    <w:r>
      <w:rPr>
        <w:rFonts w:ascii="Calibri" w:eastAsia="Calibri" w:hAnsi="Calibri" w:cs="Calibr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31"/>
      <w:rPr>
        <w:rFonts w:ascii="Calibri" w:eastAsia="Calibri" w:hAnsi="Calibri" w:cs="Calibri"/>
        <w:sz w:val="18"/>
        <w:szCs w:val="18"/>
      </w:rPr>
    </w:pPr>
    <w:r>
      <w:rPr>
        <w:rFonts w:ascii="Calibri" w:eastAsia="Calibri" w:hAnsi="Calibri" w:cs="Calibr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31"/>
      <w:rPr>
        <w:rFonts w:ascii="Calibri" w:eastAsia="Calibri" w:hAnsi="Calibri" w:cs="Calibri"/>
        <w:sz w:val="18"/>
        <w:szCs w:val="18"/>
      </w:rPr>
    </w:pPr>
    <w:r>
      <w:rPr>
        <w:rFonts w:ascii="Calibri" w:eastAsia="Calibri" w:hAnsi="Calibri" w:cs="Calibri"/>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30"/>
      <w:rPr>
        <w:rFonts w:ascii="Calibri" w:eastAsia="Calibri" w:hAnsi="Calibri" w:cs="Calibri"/>
        <w:sz w:val="18"/>
        <w:szCs w:val="18"/>
      </w:rPr>
    </w:pPr>
    <w:r>
      <w:rPr>
        <w:rFonts w:ascii="Calibri" w:eastAsia="Calibri" w:hAnsi="Calibri" w:cs="Calibri"/>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30"/>
      <w:rPr>
        <w:rFonts w:ascii="Calibri" w:eastAsia="Calibri" w:hAnsi="Calibri" w:cs="Calibri"/>
        <w:sz w:val="18"/>
        <w:szCs w:val="18"/>
      </w:rPr>
    </w:pPr>
    <w:r>
      <w:rPr>
        <w:rFonts w:ascii="Calibri" w:eastAsia="Calibri" w:hAnsi="Calibri" w:cs="Calibri"/>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25"/>
      <w:rPr>
        <w:rFonts w:ascii="Calibri" w:eastAsia="Calibri" w:hAnsi="Calibri" w:cs="Calibri"/>
        <w:sz w:val="18"/>
        <w:szCs w:val="18"/>
      </w:rPr>
    </w:pPr>
    <w:r>
      <w:rPr>
        <w:rFonts w:ascii="Calibri" w:eastAsia="Calibri" w:hAnsi="Calibri" w:cs="Calibri"/>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125"/>
      <w:rPr>
        <w:rFonts w:ascii="Calibri" w:eastAsia="Calibri" w:hAnsi="Calibri" w:cs="Calibri"/>
        <w:sz w:val="18"/>
        <w:szCs w:val="18"/>
      </w:rPr>
    </w:pPr>
    <w:r>
      <w:rPr>
        <w:rFonts w:ascii="Calibri" w:eastAsia="Calibri" w:hAnsi="Calibri" w:cs="Calibr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130"/>
      <w:rPr>
        <w:rFonts w:ascii="Calibri" w:eastAsia="Calibri" w:hAnsi="Calibri" w:cs="Calibri"/>
        <w:sz w:val="18"/>
        <w:szCs w:val="18"/>
      </w:rPr>
    </w:pPr>
    <w:r>
      <w:rPr>
        <w:rFonts w:ascii="Calibri" w:eastAsia="Calibri" w:hAnsi="Calibri" w:cs="Calibri"/>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130"/>
      <w:rPr>
        <w:rFonts w:ascii="Calibri" w:eastAsia="Calibri" w:hAnsi="Calibri" w:cs="Calibri"/>
        <w:sz w:val="18"/>
        <w:szCs w:val="18"/>
      </w:rPr>
    </w:pPr>
    <w:r>
      <w:rPr>
        <w:rFonts w:ascii="Calibri" w:eastAsia="Calibri" w:hAnsi="Calibri" w:cs="Calibri"/>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yperlink" Target="https://d.book118.com/065130320213011043" TargetMode="External" /><Relationship Id="rId14" Type="http://schemas.openxmlformats.org/officeDocument/2006/relationships/footer" Target="footer10.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2024-01-19T20:29:31Z</vt:filetime>
  </property>
  <property fmtid="{D5CDD505-2E9C-101B-9397-08002B2CF9AE}" pid="3" name="CRO">
    <vt:lpwstr>wqlLaW5nc29mdCBQREYgdG8gV1BTIDkw</vt:lpwstr>
  </property>
  <property fmtid="{D5CDD505-2E9C-101B-9397-08002B2CF9AE}" pid="4" name="UsrData">
    <vt:lpwstr>65aa6b280ee0c1001fbac89dwl</vt:lpwstr>
  </property>
</Properties>
</file>