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"/>
        <w:rPr>
          <w:rFonts w:ascii="Times New Roman"/>
          <w:sz w:val="28"/>
        </w:rPr>
      </w:pPr>
    </w:p>
    <w:p>
      <w:pPr>
        <w:spacing w:before="60"/>
        <w:ind w:left="0" w:right="8671" w:firstLine="0"/>
        <w:jc w:val="right"/>
        <w:rPr>
          <w:rFonts w:ascii="黑体" w:eastAsia="黑体" w:hint="eastAsia"/>
          <w:b/>
          <w:sz w:val="29"/>
        </w:rPr>
      </w:pPr>
      <w:r>
        <w:rPr>
          <w:rFonts w:ascii="黑体" w:eastAsia="黑体" w:hint="eastAsia"/>
          <w:b/>
          <w:w w:val="95"/>
          <w:sz w:val="29"/>
        </w:rPr>
        <w:t>艾草制品生产加工工程</w:t>
      </w: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37"/>
        </w:rPr>
      </w:pPr>
    </w:p>
    <w:p>
      <w:pPr>
        <w:spacing w:before="0"/>
        <w:ind w:left="0" w:right="8669" w:firstLine="0"/>
        <w:jc w:val="right"/>
        <w:rPr>
          <w:rFonts w:ascii="黑体" w:eastAsia="黑体" w:hint="eastAsia"/>
          <w:b/>
          <w:sz w:val="29"/>
        </w:rPr>
      </w:pPr>
      <w:r>
        <w:rPr>
          <w:rFonts w:ascii="黑体" w:eastAsia="黑体" w:hint="eastAsia"/>
          <w:b/>
          <w:w w:val="95"/>
          <w:sz w:val="29"/>
        </w:rPr>
        <w:t>可行性分析报告</w:t>
      </w: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spacing w:before="2"/>
        <w:rPr>
          <w:rFonts w:ascii="黑体"/>
          <w:b/>
          <w:sz w:val="36"/>
        </w:rPr>
      </w:pPr>
    </w:p>
    <w:p>
      <w:pPr>
        <w:pStyle w:val="Heading2"/>
        <w:spacing w:before="1"/>
        <w:ind w:left="4761" w:right="5062"/>
        <w:jc w:val="center"/>
        <w:rPr>
          <w:rFonts w:ascii="黑体" w:eastAsia="黑体" w:hint="eastAsia"/>
        </w:rPr>
      </w:pPr>
      <w:r>
        <w:rPr>
          <w:rFonts w:ascii="黑体" w:eastAsia="黑体" w:hint="eastAsia"/>
          <w:spacing w:val="2"/>
          <w:w w:val="95"/>
        </w:rPr>
        <w:t>规划设计</w:t>
      </w:r>
      <w:r>
        <w:rPr>
          <w:rFonts w:ascii="黑体" w:eastAsia="黑体" w:hint="eastAsia"/>
          <w:w w:val="95"/>
        </w:rPr>
        <w:t>/投资方案/产业运营</w:t>
      </w:r>
    </w:p>
    <w:p>
      <w:pPr>
        <w:spacing w:after="0"/>
        <w:jc w:val="center"/>
        <w:rPr>
          <w:rFonts w:ascii="黑体" w:eastAsia="黑体" w:hint="eastAsia"/>
        </w:rPr>
        <w:sectPr>
          <w:type w:val="continuous"/>
          <w:pgSz w:w="18360" w:h="23760"/>
          <w:pgMar w:top="2300" w:right="1220" w:bottom="280" w:left="1520" w:header="708" w:footer="708"/>
          <w:cols w:space="708"/>
        </w:sect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spacing w:before="174"/>
        <w:ind w:left="1180"/>
        <w:rPr>
          <w:rFonts w:ascii="幼圆" w:eastAsia="幼圆" w:hAnsi="幼圆" w:hint="eastAsia"/>
        </w:rPr>
      </w:pPr>
      <w:r>
        <w:rPr>
          <w:rFonts w:ascii="幼圆" w:eastAsia="幼圆" w:hAnsi="幼圆" w:hint="eastAsia"/>
        </w:rPr>
        <w:t>摘要说明—</w:t>
      </w:r>
    </w:p>
    <w:p>
      <w:pPr>
        <w:pStyle w:val="BodyText"/>
        <w:spacing w:before="2"/>
        <w:rPr>
          <w:rFonts w:ascii="幼圆"/>
          <w:sz w:val="31"/>
        </w:rPr>
      </w:pPr>
    </w:p>
    <w:p>
      <w:pPr>
        <w:pStyle w:val="BodyText"/>
        <w:spacing w:line="405" w:lineRule="auto"/>
        <w:ind w:left="280" w:right="937" w:firstLine="900"/>
        <w:jc w:val="both"/>
      </w:pPr>
      <w:r>
        <w:rPr>
          <w:spacing w:val="-1"/>
        </w:rPr>
        <w:t>艾叶有理气血，逐寒湿；温经，止血，安胎的成效。治心腹冷痛，泄泻转筋，久痢，吐衄，下血，月经不调，崩漏，带下，胎动担忧，痈疡，</w:t>
      </w:r>
      <w:r>
        <w:rPr>
          <w:spacing w:val="-223"/>
        </w:rPr>
        <w:t xml:space="preserve"> </w:t>
      </w:r>
      <w:r>
        <w:t>疥癣。</w:t>
      </w:r>
    </w:p>
    <w:p>
      <w:pPr>
        <w:pStyle w:val="BodyText"/>
        <w:spacing w:line="405" w:lineRule="auto"/>
        <w:ind w:left="280" w:right="708" w:firstLine="900"/>
      </w:pPr>
      <w:r>
        <w:rPr>
          <w:spacing w:val="-9"/>
        </w:rPr>
        <w:t xml:space="preserve">该艾草制品工程打算总投资 </w:t>
      </w:r>
      <w:r>
        <w:t>16828.72</w:t>
      </w:r>
      <w:r>
        <w:rPr>
          <w:spacing w:val="-12"/>
        </w:rPr>
        <w:t xml:space="preserve"> 万元，其中：固定资产投资</w:t>
      </w:r>
      <w:r>
        <w:rPr>
          <w:spacing w:val="-1"/>
        </w:rPr>
        <w:t>12736.07</w:t>
      </w:r>
      <w:r>
        <w:rPr>
          <w:spacing w:val="-22"/>
        </w:rPr>
        <w:t xml:space="preserve"> 万元，占工程总投资的 </w:t>
      </w:r>
      <w:r>
        <w:t>75.68%；</w:t>
      </w:r>
      <w:r>
        <w:rPr>
          <w:spacing w:val="-23"/>
        </w:rPr>
        <w:t xml:space="preserve">流淌资金 </w:t>
      </w:r>
      <w:r>
        <w:t>4092.65</w:t>
      </w:r>
      <w:r>
        <w:rPr>
          <w:spacing w:val="-18"/>
        </w:rPr>
        <w:t xml:space="preserve"> 万元，占工程</w:t>
      </w:r>
      <w:r>
        <w:rPr>
          <w:spacing w:val="-23"/>
        </w:rPr>
        <w:t xml:space="preserve">总投资的 </w:t>
      </w:r>
      <w:r>
        <w:t>24.32%。</w:t>
      </w:r>
    </w:p>
    <w:p>
      <w:pPr>
        <w:pStyle w:val="BodyText"/>
        <w:spacing w:line="405" w:lineRule="auto"/>
        <w:ind w:left="280" w:right="708" w:firstLine="900"/>
      </w:pPr>
      <w:r>
        <w:rPr>
          <w:spacing w:val="1"/>
          <w:w w:val="95"/>
        </w:rPr>
        <w:t xml:space="preserve">达产年营业收入 </w:t>
      </w:r>
      <w:r>
        <w:rPr>
          <w:w w:val="95"/>
        </w:rPr>
        <w:t>29280.00</w:t>
      </w:r>
      <w:r>
        <w:rPr>
          <w:spacing w:val="1"/>
          <w:w w:val="95"/>
        </w:rPr>
        <w:t xml:space="preserve"> 万元，总本钱费用 </w:t>
      </w:r>
      <w:r>
        <w:rPr>
          <w:w w:val="95"/>
        </w:rPr>
        <w:t>23072.11 万元，税金及</w:t>
      </w:r>
      <w:r>
        <w:rPr>
          <w:spacing w:val="-1"/>
        </w:rPr>
        <w:t>附</w:t>
      </w:r>
      <w:r>
        <w:rPr>
          <w:spacing w:val="-55"/>
        </w:rPr>
        <w:t xml:space="preserve">加 </w:t>
      </w:r>
      <w:r>
        <w:rPr>
          <w:spacing w:val="-1"/>
        </w:rPr>
        <w:t>289.35</w:t>
      </w:r>
      <w:r>
        <w:rPr>
          <w:spacing w:val="-28"/>
        </w:rPr>
        <w:t xml:space="preserve"> 万元，利润总额 </w:t>
      </w:r>
      <w:r>
        <w:rPr>
          <w:spacing w:val="-1"/>
        </w:rPr>
        <w:t>6207.89</w:t>
      </w:r>
      <w:r>
        <w:rPr>
          <w:spacing w:val="-27"/>
        </w:rPr>
        <w:t xml:space="preserve"> 万元，利税总额 </w:t>
      </w:r>
      <w:r>
        <w:t>7353.50</w:t>
      </w:r>
      <w:r>
        <w:rPr>
          <w:spacing w:val="-18"/>
        </w:rPr>
        <w:t xml:space="preserve"> 万元，税后净</w:t>
      </w:r>
      <w:r>
        <w:rPr>
          <w:spacing w:val="-37"/>
        </w:rPr>
        <w:t xml:space="preserve">利润 </w:t>
      </w:r>
      <w:r>
        <w:t>4655.92</w:t>
      </w:r>
      <w:r>
        <w:rPr>
          <w:spacing w:val="-21"/>
        </w:rPr>
        <w:t xml:space="preserve"> 万元，达产年纳税总额 </w:t>
      </w:r>
      <w:r>
        <w:t>2697.58</w:t>
      </w:r>
      <w:r>
        <w:rPr>
          <w:spacing w:val="-12"/>
        </w:rPr>
        <w:t xml:space="preserve"> 万元；达产年投资利润率</w:t>
      </w:r>
      <w:r>
        <w:rPr>
          <w:spacing w:val="-1"/>
        </w:rPr>
        <w:t>36.89%，</w:t>
      </w:r>
      <w:r>
        <w:rPr>
          <w:spacing w:val="-19"/>
        </w:rPr>
        <w:t xml:space="preserve">投资利税率 </w:t>
      </w:r>
      <w:r>
        <w:t>43.70</w:t>
      </w:r>
      <w:r>
        <w:rPr>
          <w:spacing w:val="-14"/>
        </w:rPr>
        <w:t xml:space="preserve">%，投资回报率 </w:t>
      </w:r>
      <w:r>
        <w:t>27.67%，全部投资回收期 5.11</w:t>
      </w:r>
      <w:r>
        <w:rPr>
          <w:spacing w:val="1"/>
        </w:rPr>
        <w:t xml:space="preserve"> </w:t>
      </w:r>
      <w:r>
        <w:rPr>
          <w:spacing w:val="-13"/>
        </w:rPr>
        <w:t xml:space="preserve">年，供给就业职位 </w:t>
      </w:r>
      <w:r>
        <w:t>453</w:t>
      </w:r>
      <w:r>
        <w:rPr>
          <w:spacing w:val="-39"/>
        </w:rPr>
        <w:t xml:space="preserve"> 个。</w:t>
      </w:r>
    </w:p>
    <w:p>
      <w:pPr>
        <w:pStyle w:val="BodyText"/>
        <w:spacing w:line="405" w:lineRule="auto"/>
        <w:ind w:left="280" w:right="937" w:firstLine="900"/>
      </w:pPr>
      <w:r>
        <w:rPr>
          <w:spacing w:val="-1"/>
        </w:rPr>
        <w:t>灸法〔又称艾灸</w:t>
      </w:r>
      <w:r>
        <w:t>〕是指以艾绒为主要材料，点燃后直接或间接熏灼体</w:t>
      </w:r>
      <w:r>
        <w:rPr>
          <w:spacing w:val="-1"/>
        </w:rPr>
        <w:t>表穴位的一种治疗方法；也可在艾绒中掺入少量药末，以加强治疗作用。</w:t>
      </w:r>
    </w:p>
    <w:p>
      <w:pPr>
        <w:pStyle w:val="BodyText"/>
        <w:spacing w:line="405" w:lineRule="auto"/>
        <w:ind w:left="280" w:right="249"/>
      </w:pPr>
      <w:r>
        <w:t>公元 550</w:t>
      </w:r>
      <w:r>
        <w:rPr>
          <w:spacing w:val="-2"/>
        </w:rPr>
        <w:t xml:space="preserve"> 年，灸法由中国从朝鲜传到日本，日本又把灸法扩展应用到预防、</w:t>
      </w:r>
      <w:r>
        <w:t>保健。艾灸不仅是一种治疗，而且已成为一种文化。这种文化以各种方式</w:t>
      </w:r>
    </w:p>
    <w:p>
      <w:pPr>
        <w:pStyle w:val="BodyText"/>
        <w:spacing w:line="405" w:lineRule="auto"/>
        <w:ind w:left="1180" w:right="596" w:hanging="901"/>
      </w:pPr>
      <w:r>
        <w:rPr>
          <w:spacing w:val="-1"/>
        </w:rPr>
        <w:t>流传下来，并且又传到西方发扬光大。</w:t>
      </w:r>
      <w:r>
        <w:t>2023</w:t>
      </w:r>
      <w:r>
        <w:rPr>
          <w:spacing w:val="-25"/>
        </w:rPr>
        <w:t xml:space="preserve"> 年我国艾灸产量达 </w:t>
      </w:r>
      <w:r>
        <w:t>2.21</w:t>
      </w:r>
      <w:r>
        <w:rPr>
          <w:spacing w:val="-29"/>
        </w:rPr>
        <w:t xml:space="preserve"> 万吨。</w:t>
      </w:r>
      <w:r>
        <w:t>报告内容：根本状况、背景和必要性争论、工程市场前景分析、工程</w:t>
      </w:r>
    </w:p>
    <w:p>
      <w:pPr>
        <w:pStyle w:val="BodyText"/>
        <w:spacing w:line="575" w:lineRule="exact"/>
        <w:ind w:left="280"/>
      </w:pPr>
      <w:r>
        <w:t>建设规模、工程建设地分析、工程工程设计说明、工艺技术说明、环境保</w:t>
      </w:r>
    </w:p>
    <w:p>
      <w:pPr>
        <w:spacing w:after="0" w:line="575" w:lineRule="exact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https://d.book118.com/065212310014011034</w:t>
        </w:r>
      </w:hyperlink>
    </w:p>
    <w:p>
      <w:pPr>
        <w:spacing w:after="0" w:line="575" w:lineRule="exact"/>
      </w:pPr>
    </w:p>
    <w:sectPr>
      <w:pgSz w:w="18360" w:h="23760"/>
      <w:pgMar w:top="2300" w:right="1220" w:bottom="280" w:left="152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45"/>
      <w:szCs w:val="45"/>
    </w:rPr>
  </w:style>
  <w:style w:type="paragraph" w:customStyle="1" w:styleId="Heading1">
    <w:name w:val="Heading 1"/>
    <w:basedOn w:val="Normal"/>
    <w:uiPriority w:val="1"/>
    <w:qFormat/>
    <w:pPr>
      <w:ind w:left="1180"/>
      <w:outlineLvl w:val="1"/>
    </w:pPr>
    <w:rPr>
      <w:rFonts w:ascii="黑体" w:eastAsia="黑体" w:hAnsi="黑体" w:cs="黑体"/>
      <w:b/>
      <w:bCs/>
      <w:sz w:val="48"/>
      <w:szCs w:val="48"/>
    </w:rPr>
  </w:style>
  <w:style w:type="paragraph" w:customStyle="1" w:styleId="Heading2">
    <w:name w:val="Heading 2"/>
    <w:basedOn w:val="Normal"/>
    <w:uiPriority w:val="1"/>
    <w:qFormat/>
    <w:pPr>
      <w:ind w:left="1180"/>
      <w:outlineLvl w:val="2"/>
    </w:pPr>
    <w:rPr>
      <w:rFonts w:ascii="仿宋" w:eastAsia="仿宋" w:hAnsi="仿宋" w:cs="仿宋"/>
      <w:b/>
      <w:bCs/>
      <w:sz w:val="45"/>
      <w:szCs w:val="4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58"/>
      <w:ind w:left="50"/>
    </w:pPr>
    <w:rPr>
      <w:rFonts w:ascii="仿宋" w:eastAsia="仿宋" w:hAnsi="仿宋" w:cs="仿宋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06521231001401103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2023-10-11T14:35:07Z</dcterms:created>
  <dcterms:modified xsi:type="dcterms:W3CDTF">2023-10-11T14:35:07Z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2023-05-01T00:00:00Z</vt:filetime>
  </property>
  <property fmtid="{D5CDD505-2E9C-101B-9397-08002B2CF9AE}" pid="3" name="LastSaved">
    <vt:filetime>2023-10-11T00:00:00Z</vt:filetime>
  </property>
</Properties>
</file>