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付里叶红外分光光度计项目融资计划书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68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_Toc15680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21" w:history="1">
        <w:r>
          <w:rPr>
            <w:rFonts w:ascii="仿宋" w:eastAsia="仿宋" w:hAnsi="仿宋" w:cs="仿宋" w:hint="eastAsia"/>
            <w:lang w:eastAsia="zh-CN"/>
          </w:rPr>
          <w:t>一、付里叶红外分光光度计项目质量管理方案</w:t>
        </w:r>
        <w:r>
          <w:tab/>
        </w:r>
        <w:r>
          <w:fldChar w:fldCharType="begin"/>
        </w:r>
        <w:r>
          <w:instrText xml:space="preserve"> PAGEREF _Toc19321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" w:history="1">
        <w:r>
          <w:rPr>
            <w:rFonts w:ascii="仿宋" w:eastAsia="仿宋" w:hAnsi="仿宋" w:cs="仿宋" w:hint="eastAsia"/>
            <w:lang w:eastAsia="zh-CN"/>
          </w:rPr>
          <w:t>(一)、全面质量管理</w:t>
        </w:r>
        <w:r>
          <w:tab/>
        </w:r>
        <w:r>
          <w:fldChar w:fldCharType="begin"/>
        </w:r>
        <w:r>
          <w:instrText xml:space="preserve"> PAGEREF _Toc2784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2" w:history="1">
        <w:r>
          <w:rPr>
            <w:rFonts w:ascii="仿宋" w:eastAsia="仿宋" w:hAnsi="仿宋" w:cs="仿宋" w:hint="eastAsia"/>
            <w:lang w:eastAsia="zh-CN"/>
          </w:rPr>
          <w:t>(二)、质量成本管理</w:t>
        </w:r>
        <w:r>
          <w:tab/>
        </w:r>
        <w:r>
          <w:fldChar w:fldCharType="begin"/>
        </w:r>
        <w:r>
          <w:instrText xml:space="preserve"> PAGEREF _Toc22762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8" w:history="1">
        <w:r>
          <w:rPr>
            <w:rFonts w:ascii="仿宋" w:eastAsia="仿宋" w:hAnsi="仿宋" w:cs="仿宋" w:hint="eastAsia"/>
            <w:lang w:eastAsia="zh-CN"/>
          </w:rPr>
          <w:t>(三)、服务质量管理</w:t>
        </w:r>
        <w:r>
          <w:tab/>
        </w:r>
        <w:r>
          <w:fldChar w:fldCharType="begin"/>
        </w:r>
        <w:r>
          <w:instrText xml:space="preserve"> PAGEREF _Toc10938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47" w:history="1">
        <w:r>
          <w:rPr>
            <w:rFonts w:ascii="仿宋" w:eastAsia="仿宋" w:hAnsi="仿宋" w:cs="仿宋" w:hint="eastAsia"/>
            <w:lang w:eastAsia="zh-CN"/>
          </w:rPr>
          <w:t>二、制度建设与员工手册</w:t>
        </w:r>
        <w:r>
          <w:tab/>
        </w:r>
        <w:r>
          <w:fldChar w:fldCharType="begin"/>
        </w:r>
        <w:r>
          <w:instrText xml:space="preserve"> PAGEREF _Toc8047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2" w:history="1">
        <w:r>
          <w:rPr>
            <w:rFonts w:ascii="仿宋" w:eastAsia="仿宋" w:hAnsi="仿宋" w:cs="仿宋" w:hint="eastAsia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_Toc26902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1" w:history="1">
        <w:r>
          <w:rPr>
            <w:rFonts w:ascii="仿宋" w:eastAsia="仿宋" w:hAnsi="仿宋" w:cs="仿宋" w:hint="eastAsia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_Toc8771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0" w:history="1">
        <w:r>
          <w:rPr>
            <w:rFonts w:ascii="仿宋" w:eastAsia="仿宋" w:hAnsi="仿宋" w:cs="仿宋" w:hint="eastAsia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_Toc19460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8" w:history="1">
        <w:r>
          <w:rPr>
            <w:rFonts w:ascii="仿宋" w:eastAsia="仿宋" w:hAnsi="仿宋" w:cs="仿宋" w:hint="eastAsia"/>
            <w:lang w:eastAsia="zh-CN"/>
          </w:rPr>
          <w:t>(四)、制度执行与监督</w:t>
        </w:r>
        <w:r>
          <w:tab/>
        </w:r>
        <w:r>
          <w:fldChar w:fldCharType="begin"/>
        </w:r>
        <w:r>
          <w:instrText xml:space="preserve"> PAGEREF _Toc18388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2" w:history="1">
        <w:r>
          <w:rPr>
            <w:rFonts w:ascii="仿宋" w:eastAsia="仿宋" w:hAnsi="仿宋" w:cs="仿宋" w:hint="eastAsia"/>
            <w:lang w:eastAsia="zh-CN"/>
          </w:rPr>
          <w:t>(五)、制度评估与改进</w:t>
        </w:r>
        <w:r>
          <w:tab/>
        </w:r>
        <w:r>
          <w:fldChar w:fldCharType="begin"/>
        </w:r>
        <w:r>
          <w:instrText xml:space="preserve"> PAGEREF _Toc15962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97" w:history="1">
        <w:r>
          <w:rPr>
            <w:rFonts w:ascii="仿宋" w:eastAsia="仿宋" w:hAnsi="仿宋" w:cs="仿宋" w:hint="eastAsia"/>
            <w:lang w:eastAsia="zh-CN"/>
          </w:rPr>
          <w:t>三、 进入国际市场的方式</w:t>
        </w:r>
        <w:r>
          <w:tab/>
        </w:r>
        <w:r>
          <w:fldChar w:fldCharType="begin"/>
        </w:r>
        <w:r>
          <w:instrText xml:space="preserve"> PAGEREF _Toc23897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6" w:history="1">
        <w:r>
          <w:rPr>
            <w:rFonts w:ascii="仿宋" w:eastAsia="仿宋" w:hAnsi="仿宋" w:cs="仿宋" w:hint="eastAsia"/>
            <w:lang w:eastAsia="zh-CN"/>
          </w:rPr>
          <w:t>(一)、贸易进入方式</w:t>
        </w:r>
        <w:r>
          <w:tab/>
        </w:r>
        <w:r>
          <w:fldChar w:fldCharType="begin"/>
        </w:r>
        <w:r>
          <w:instrText xml:space="preserve"> PAGEREF _Toc30556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3" w:history="1">
        <w:r>
          <w:rPr>
            <w:rFonts w:ascii="仿宋" w:eastAsia="仿宋" w:hAnsi="仿宋" w:cs="仿宋" w:hint="eastAsia"/>
            <w:lang w:eastAsia="zh-CN"/>
          </w:rPr>
          <w:t>(二)、合约进入方式</w:t>
        </w:r>
        <w:r>
          <w:tab/>
        </w:r>
        <w:r>
          <w:fldChar w:fldCharType="begin"/>
        </w:r>
        <w:r>
          <w:instrText xml:space="preserve"> PAGEREF _Toc2113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09" w:history="1">
        <w:r>
          <w:rPr>
            <w:rFonts w:ascii="仿宋" w:eastAsia="仿宋" w:hAnsi="仿宋" w:cs="仿宋" w:hint="eastAsia"/>
            <w:lang w:eastAsia="zh-CN"/>
          </w:rPr>
          <w:t>(三)、股权进入方式</w:t>
        </w:r>
        <w:r>
          <w:tab/>
        </w:r>
        <w:r>
          <w:fldChar w:fldCharType="begin"/>
        </w:r>
        <w:r>
          <w:instrText xml:space="preserve"> PAGEREF _Toc11509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04" w:history="1">
        <w:r>
          <w:rPr>
            <w:rFonts w:ascii="仿宋" w:eastAsia="仿宋" w:hAnsi="仿宋" w:cs="仿宋" w:hint="eastAsia"/>
            <w:lang w:eastAsia="zh-CN"/>
          </w:rPr>
          <w:t>四、付里叶红外分光光度计项目建设背景及必要性分析</w:t>
        </w:r>
        <w:r>
          <w:tab/>
        </w:r>
        <w:r>
          <w:fldChar w:fldCharType="begin"/>
        </w:r>
        <w:r>
          <w:instrText xml:space="preserve"> PAGEREF _Toc7204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1" w:history="1">
        <w:r>
          <w:rPr>
            <w:rFonts w:ascii="仿宋" w:eastAsia="仿宋" w:hAnsi="仿宋" w:cs="仿宋" w:hint="eastAsia"/>
            <w:lang w:eastAsia="zh-CN"/>
          </w:rPr>
          <w:t>(一)、付里叶红外分光光度计项目承办单位背景分析</w:t>
        </w:r>
        <w:r>
          <w:tab/>
        </w:r>
        <w:r>
          <w:fldChar w:fldCharType="begin"/>
        </w:r>
        <w:r>
          <w:instrText xml:space="preserve"> PAGEREF _Toc19561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5" w:history="1">
        <w:r>
          <w:rPr>
            <w:rFonts w:ascii="仿宋" w:eastAsia="仿宋" w:hAnsi="仿宋" w:cs="仿宋" w:hint="eastAsia"/>
            <w:lang w:eastAsia="zh-CN"/>
          </w:rPr>
          <w:t>(二)、付里叶红外分光光度计项目背景分析</w:t>
        </w:r>
        <w:r>
          <w:tab/>
        </w:r>
        <w:r>
          <w:fldChar w:fldCharType="begin"/>
        </w:r>
        <w:r>
          <w:instrText xml:space="preserve"> PAGEREF _Toc16655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0" w:history="1">
        <w:r>
          <w:rPr>
            <w:rFonts w:ascii="仿宋" w:eastAsia="仿宋" w:hAnsi="仿宋" w:cs="仿宋" w:hint="eastAsia"/>
            <w:lang w:eastAsia="zh-CN"/>
          </w:rPr>
          <w:t>(三)、付里叶红外分光光度计项目建设必要性分析</w:t>
        </w:r>
        <w:r>
          <w:tab/>
        </w:r>
        <w:r>
          <w:fldChar w:fldCharType="begin"/>
        </w:r>
        <w:r>
          <w:instrText xml:space="preserve"> PAGEREF _Toc5610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55" w:history="1">
        <w:r>
          <w:rPr>
            <w:rFonts w:ascii="仿宋" w:eastAsia="仿宋" w:hAnsi="仿宋" w:cs="仿宋" w:hint="eastAsia"/>
            <w:lang w:eastAsia="zh-CN"/>
          </w:rPr>
          <w:t>五、技术贸易</w:t>
        </w:r>
        <w:r>
          <w:tab/>
        </w:r>
        <w:r>
          <w:fldChar w:fldCharType="begin"/>
        </w:r>
        <w:r>
          <w:instrText xml:space="preserve"> PAGEREF _Toc30055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4" w:history="1">
        <w:r>
          <w:rPr>
            <w:rFonts w:ascii="仿宋" w:eastAsia="仿宋" w:hAnsi="仿宋" w:cs="仿宋" w:hint="eastAsia"/>
            <w:lang w:eastAsia="zh-CN"/>
          </w:rPr>
          <w:t>(一)、付里叶红外分光光度计技术贸易</w:t>
        </w:r>
        <w:r>
          <w:tab/>
        </w:r>
        <w:r>
          <w:fldChar w:fldCharType="begin"/>
        </w:r>
        <w:r>
          <w:instrText xml:space="preserve"> PAGEREF _Toc6514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28" w:history="1">
        <w:r>
          <w:rPr>
            <w:rFonts w:ascii="仿宋" w:eastAsia="仿宋" w:hAnsi="仿宋" w:cs="仿宋" w:hint="eastAsia"/>
            <w:lang w:eastAsia="zh-CN"/>
          </w:rPr>
          <w:t>六、土建工程设计</w:t>
        </w:r>
        <w:r>
          <w:tab/>
        </w:r>
        <w:r>
          <w:fldChar w:fldCharType="begin"/>
        </w:r>
        <w:r>
          <w:instrText xml:space="preserve"> PAGEREF _Toc4028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_Toc18383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6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_Toc18486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8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_Toc8398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1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_Toc20111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60" w:history="1">
        <w:r>
          <w:rPr>
            <w:rFonts w:ascii="仿宋" w:eastAsia="仿宋" w:hAnsi="仿宋" w:cs="仿宋" w:hint="eastAsia"/>
            <w:lang w:eastAsia="zh-CN"/>
          </w:rPr>
          <w:t>七、项目监理与质量保证</w:t>
        </w:r>
        <w:r>
          <w:tab/>
        </w:r>
        <w:r>
          <w:fldChar w:fldCharType="begin"/>
        </w:r>
        <w:r>
          <w:instrText xml:space="preserve"> PAGEREF _Toc4060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0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_Toc22710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8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_Toc21148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7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_Toc14207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98" w:history="1">
        <w:r>
          <w:rPr>
            <w:rFonts w:ascii="仿宋" w:eastAsia="仿宋" w:hAnsi="仿宋" w:cs="仿宋" w:hint="eastAsia"/>
            <w:lang w:eastAsia="zh-CN"/>
          </w:rPr>
          <w:t>八、法律与合规事项</w:t>
        </w:r>
        <w:r>
          <w:tab/>
        </w:r>
        <w:r>
          <w:fldChar w:fldCharType="begin"/>
        </w:r>
        <w:r>
          <w:instrText xml:space="preserve"> PAGEREF _Toc24898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88" w:history="1">
        <w:r>
          <w:rPr>
            <w:rFonts w:ascii="仿宋" w:eastAsia="仿宋" w:hAnsi="仿宋" w:cs="仿宋" w:hint="eastAsia"/>
            <w:lang w:eastAsia="zh-CN"/>
          </w:rPr>
          <w:t>(一)、法律法规概述</w:t>
        </w:r>
        <w:r>
          <w:tab/>
        </w:r>
        <w:r>
          <w:fldChar w:fldCharType="begin"/>
        </w:r>
        <w:r>
          <w:instrText xml:space="preserve"> PAGEREF _Toc10788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8" w:history="1">
        <w:r>
          <w:rPr>
            <w:rFonts w:ascii="仿宋" w:eastAsia="仿宋" w:hAnsi="仿宋" w:cs="仿宋" w:hint="eastAsia"/>
            <w:lang w:eastAsia="zh-CN"/>
          </w:rPr>
          <w:t>(二)、知识产权</w:t>
        </w:r>
        <w:r>
          <w:tab/>
        </w:r>
        <w:r>
          <w:fldChar w:fldCharType="begin"/>
        </w:r>
        <w:r>
          <w:instrText xml:space="preserve"> PAGEREF _Toc20148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8" w:history="1">
        <w:r>
          <w:rPr>
            <w:rFonts w:ascii="仿宋" w:eastAsia="仿宋" w:hAnsi="仿宋" w:cs="仿宋" w:hint="eastAsia"/>
            <w:lang w:eastAsia="zh-CN"/>
          </w:rPr>
          <w:t>(三)、税务合规</w:t>
        </w:r>
        <w:r>
          <w:tab/>
        </w:r>
        <w:r>
          <w:fldChar w:fldCharType="begin"/>
        </w:r>
        <w:r>
          <w:instrText xml:space="preserve"> PAGEREF _Toc11858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" w:history="1">
        <w:r>
          <w:rPr>
            <w:rFonts w:ascii="仿宋" w:eastAsia="仿宋" w:hAnsi="仿宋" w:cs="仿宋" w:hint="eastAsia"/>
            <w:lang w:eastAsia="zh-CN"/>
          </w:rPr>
          <w:t>(四)、合同与法律责任</w:t>
        </w:r>
        <w:r>
          <w:tab/>
        </w:r>
        <w:r>
          <w:fldChar w:fldCharType="begin"/>
        </w:r>
        <w:r>
          <w:instrText xml:space="preserve"> PAGEREF _Toc1725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2" w:history="1">
        <w:r>
          <w:rPr>
            <w:rFonts w:ascii="仿宋" w:eastAsia="仿宋" w:hAnsi="仿宋" w:cs="仿宋" w:hint="eastAsia"/>
            <w:lang w:eastAsia="zh-CN"/>
          </w:rPr>
          <w:t>(五)、风险与合规管理</w:t>
        </w:r>
        <w:r>
          <w:tab/>
        </w:r>
        <w:r>
          <w:fldChar w:fldCharType="begin"/>
        </w:r>
        <w:r>
          <w:instrText xml:space="preserve"> PAGEREF _Toc14872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17" w:history="1">
        <w:r>
          <w:rPr>
            <w:rFonts w:ascii="仿宋" w:eastAsia="仿宋" w:hAnsi="仿宋" w:cs="仿宋" w:hint="eastAsia"/>
            <w:lang w:eastAsia="zh-CN"/>
          </w:rPr>
          <w:t>九、付里叶红外分光光度计行业行业机遇与挑战</w:t>
        </w:r>
        <w:r>
          <w:tab/>
        </w:r>
        <w:r>
          <w:fldChar w:fldCharType="begin"/>
        </w:r>
        <w:r>
          <w:instrText xml:space="preserve"> PAGEREF _Toc17117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0" w:history="1">
        <w:r>
          <w:rPr>
            <w:rFonts w:ascii="仿宋" w:eastAsia="仿宋" w:hAnsi="仿宋" w:cs="仿宋" w:hint="eastAsia"/>
            <w:lang w:eastAsia="zh-CN"/>
          </w:rPr>
          <w:t>(一)、机遇</w:t>
        </w:r>
        <w:r>
          <w:tab/>
        </w:r>
        <w:r>
          <w:fldChar w:fldCharType="begin"/>
        </w:r>
        <w:r>
          <w:instrText xml:space="preserve"> PAGEREF _Toc30210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7" w:history="1">
        <w:r>
          <w:rPr>
            <w:rFonts w:ascii="仿宋" w:eastAsia="仿宋" w:hAnsi="仿宋" w:cs="仿宋" w:hint="eastAsia"/>
            <w:lang w:eastAsia="zh-CN"/>
          </w:rPr>
          <w:t>(二)、挑战</w:t>
        </w:r>
        <w:r>
          <w:tab/>
        </w:r>
        <w:r>
          <w:fldChar w:fldCharType="begin"/>
        </w:r>
        <w:r>
          <w:instrText xml:space="preserve"> PAGEREF _Toc4717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" w:history="1">
        <w:r>
          <w:rPr>
            <w:rFonts w:ascii="仿宋" w:eastAsia="仿宋" w:hAnsi="仿宋" w:cs="仿宋" w:hint="eastAsia"/>
            <w:lang w:eastAsia="zh-CN"/>
          </w:rPr>
          <w:t>十、付里叶红外分光光度计项目承办单位基本情况</w:t>
        </w:r>
        <w:r>
          <w:tab/>
        </w:r>
        <w:r>
          <w:fldChar w:fldCharType="begin"/>
        </w:r>
        <w:r>
          <w:instrText xml:space="preserve"> PAGEREF _Toc267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_Toc31040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860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_Toc21860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8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_Toc32738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75" w:history="1">
        <w:r>
          <w:rPr>
            <w:rFonts w:ascii="仿宋" w:eastAsia="仿宋" w:hAnsi="仿宋" w:cs="仿宋" w:hint="eastAsia"/>
            <w:lang w:eastAsia="zh-CN"/>
          </w:rPr>
          <w:t>十一、经济效益与社会效益优化</w:t>
        </w:r>
        <w:r>
          <w:tab/>
        </w:r>
        <w:r>
          <w:fldChar w:fldCharType="begin"/>
        </w:r>
        <w:r>
          <w:instrText xml:space="preserve"> PAGEREF _Toc23575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6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_Toc11036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7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_Toc28427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78" w:history="1">
        <w:r>
          <w:rPr>
            <w:rFonts w:ascii="仿宋" w:eastAsia="仿宋" w:hAnsi="仿宋" w:cs="仿宋" w:hint="eastAsia"/>
            <w:lang w:eastAsia="zh-CN"/>
          </w:rPr>
          <w:t>十二、投资方案</w:t>
        </w:r>
        <w:r>
          <w:tab/>
        </w:r>
        <w:r>
          <w:fldChar w:fldCharType="begin"/>
        </w:r>
        <w:r>
          <w:instrText xml:space="preserve"> PAGEREF _Toc15478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7" w:history="1">
        <w:r>
          <w:rPr>
            <w:rFonts w:ascii="仿宋" w:eastAsia="仿宋" w:hAnsi="仿宋" w:cs="仿宋" w:hint="eastAsia"/>
            <w:lang w:eastAsia="zh-CN"/>
          </w:rPr>
          <w:t>(一)、投资估算的依据和说明</w:t>
        </w:r>
        <w:r>
          <w:tab/>
        </w:r>
        <w:r>
          <w:fldChar w:fldCharType="begin"/>
        </w:r>
        <w:r>
          <w:instrText xml:space="preserve"> PAGEREF _Toc17407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0" w:history="1">
        <w:r>
          <w:rPr>
            <w:rFonts w:ascii="仿宋" w:eastAsia="仿宋" w:hAnsi="仿宋" w:cs="仿宋" w:hint="eastAsia"/>
            <w:lang w:eastAsia="zh-CN"/>
          </w:rPr>
          <w:t>(二)、建设投资估算</w:t>
        </w:r>
        <w:r>
          <w:tab/>
        </w:r>
        <w:r>
          <w:fldChar w:fldCharType="begin"/>
        </w:r>
        <w:r>
          <w:instrText xml:space="preserve"> PAGEREF _Toc27580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_Toc20587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_Toc2527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3" w:history="1">
        <w:r>
          <w:rPr>
            <w:rFonts w:ascii="仿宋" w:eastAsia="仿宋" w:hAnsi="仿宋" w:cs="仿宋" w:hint="eastAsia"/>
            <w:lang w:eastAsia="zh-CN"/>
          </w:rPr>
          <w:t>(五)、付里叶红外分光光度计项目总投资</w:t>
        </w:r>
        <w:r>
          <w:tab/>
        </w:r>
        <w:r>
          <w:fldChar w:fldCharType="begin"/>
        </w:r>
        <w:r>
          <w:instrText xml:space="preserve"> PAGEREF _Toc30063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_Toc16294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02" w:history="1">
        <w:r>
          <w:rPr>
            <w:rFonts w:ascii="仿宋" w:eastAsia="仿宋" w:hAnsi="仿宋" w:cs="仿宋" w:hint="eastAsia"/>
            <w:lang w:eastAsia="zh-CN"/>
          </w:rPr>
          <w:t>十三、SWOT分析说明</w:t>
        </w:r>
        <w:r>
          <w:tab/>
        </w:r>
        <w:r>
          <w:fldChar w:fldCharType="begin"/>
        </w:r>
        <w:r>
          <w:instrText xml:space="preserve"> PAGEREF _Toc31802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_Toc28420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_Toc28293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_Toc13334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_Toc29724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24" w:history="1">
        <w:r>
          <w:rPr>
            <w:rFonts w:ascii="仿宋" w:eastAsia="仿宋" w:hAnsi="仿宋" w:cs="仿宋" w:hint="eastAsia"/>
            <w:lang w:eastAsia="zh-CN"/>
          </w:rPr>
          <w:t>十四、付里叶红外分光光度计项目招投标方案</w:t>
        </w:r>
        <w:r>
          <w:tab/>
        </w:r>
        <w:r>
          <w:fldChar w:fldCharType="begin"/>
        </w:r>
        <w:r>
          <w:instrText xml:space="preserve"> PAGEREF _Toc11024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9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_Toc25999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_Toc2730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_Toc1406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1" w:history="1">
        <w:r>
          <w:rPr>
            <w:rFonts w:ascii="仿宋" w:eastAsia="仿宋" w:hAnsi="仿宋" w:cs="仿宋" w:hint="eastAsia"/>
            <w:lang w:eastAsia="zh-CN"/>
          </w:rPr>
          <w:t>(四)、付里叶红外分光光度计项目招投标要求</w:t>
        </w:r>
        <w:r>
          <w:tab/>
        </w:r>
        <w:r>
          <w:fldChar w:fldCharType="begin"/>
        </w:r>
        <w:r>
          <w:instrText xml:space="preserve"> PAGEREF _Toc24261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7" w:history="1">
        <w:r>
          <w:rPr>
            <w:rFonts w:ascii="仿宋" w:eastAsia="仿宋" w:hAnsi="仿宋" w:cs="仿宋" w:hint="eastAsia"/>
            <w:lang w:eastAsia="zh-CN"/>
          </w:rPr>
          <w:t>(五)、付里叶红外分光光度计项目招标方式和招标程序</w:t>
        </w:r>
        <w:r>
          <w:tab/>
        </w:r>
        <w:r>
          <w:fldChar w:fldCharType="begin"/>
        </w:r>
        <w:r>
          <w:instrText xml:space="preserve"> PAGEREF _Toc7447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7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_Toc19807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02" w:history="1">
        <w:r>
          <w:rPr>
            <w:rFonts w:ascii="仿宋" w:eastAsia="仿宋" w:hAnsi="仿宋" w:cs="仿宋" w:hint="eastAsia"/>
            <w:lang w:eastAsia="zh-CN"/>
          </w:rPr>
          <w:t>十五、供应链管理</w:t>
        </w:r>
        <w:r>
          <w:tab/>
        </w:r>
        <w:r>
          <w:fldChar w:fldCharType="begin"/>
        </w:r>
        <w:r>
          <w:instrText xml:space="preserve"> PAGEREF _Toc24002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6" w:history="1">
        <w:r>
          <w:rPr>
            <w:rFonts w:ascii="仿宋" w:eastAsia="仿宋" w:hAnsi="仿宋" w:cs="仿宋" w:hint="eastAsia"/>
            <w:lang w:eastAsia="zh-CN"/>
          </w:rPr>
          <w:t>(一)、供应商选择与评估</w:t>
        </w:r>
        <w:r>
          <w:tab/>
        </w:r>
        <w:r>
          <w:fldChar w:fldCharType="begin"/>
        </w:r>
        <w:r>
          <w:instrText xml:space="preserve"> PAGEREF _Toc24596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1" w:history="1">
        <w:r>
          <w:rPr>
            <w:rFonts w:ascii="仿宋" w:eastAsia="仿宋" w:hAnsi="仿宋" w:cs="仿宋" w:hint="eastAsia"/>
            <w:lang w:eastAsia="zh-CN"/>
          </w:rPr>
          <w:t>(二)、供应链可持续性规划</w:t>
        </w:r>
        <w:r>
          <w:tab/>
        </w:r>
        <w:r>
          <w:fldChar w:fldCharType="begin"/>
        </w:r>
        <w:r>
          <w:instrText xml:space="preserve"> PAGEREF _Toc14621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2" w:history="1">
        <w:r>
          <w:rPr>
            <w:rFonts w:ascii="仿宋" w:eastAsia="仿宋" w:hAnsi="仿宋" w:cs="仿宋" w:hint="eastAsia"/>
            <w:lang w:eastAsia="zh-CN"/>
          </w:rPr>
          <w:t>(三)、物流管理与库存控制</w:t>
        </w:r>
        <w:r>
          <w:tab/>
        </w:r>
        <w:r>
          <w:fldChar w:fldCharType="begin"/>
        </w:r>
        <w:r>
          <w:instrText xml:space="preserve"> PAGEREF _Toc24252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3" w:history="1">
        <w:r>
          <w:rPr>
            <w:rFonts w:ascii="仿宋" w:eastAsia="仿宋" w:hAnsi="仿宋" w:cs="仿宋" w:hint="eastAsia"/>
            <w:lang w:eastAsia="zh-CN"/>
          </w:rPr>
          <w:t>(四)、供应链风险管理</w:t>
        </w:r>
        <w:r>
          <w:tab/>
        </w:r>
        <w:r>
          <w:fldChar w:fldCharType="begin"/>
        </w:r>
        <w:r>
          <w:instrText xml:space="preserve"> PAGEREF _Toc10653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26" w:history="1">
        <w:r>
          <w:rPr>
            <w:rFonts w:ascii="仿宋" w:eastAsia="仿宋" w:hAnsi="仿宋" w:cs="仿宋" w:hint="eastAsia"/>
            <w:lang w:eastAsia="zh-CN"/>
          </w:rPr>
          <w:t>十六、供应链管理</w:t>
        </w:r>
        <w:r>
          <w:tab/>
        </w:r>
        <w:r>
          <w:fldChar w:fldCharType="begin"/>
        </w:r>
        <w:r>
          <w:instrText xml:space="preserve"> PAGEREF _Toc27626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9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_Toc31139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7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_Toc23117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2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_Toc17342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28" w:history="1">
        <w:r>
          <w:rPr>
            <w:rFonts w:ascii="仿宋" w:eastAsia="仿宋" w:hAnsi="仿宋" w:cs="仿宋" w:hint="eastAsia"/>
            <w:lang w:eastAsia="zh-CN"/>
          </w:rPr>
          <w:t>十七、付里叶红外分光光度计项目人才培养与团队建设</w:t>
        </w:r>
        <w:r>
          <w:tab/>
        </w:r>
        <w:r>
          <w:fldChar w:fldCharType="begin"/>
        </w:r>
        <w:r>
          <w:instrText xml:space="preserve"> PAGEREF _Toc10828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7" w:history="1">
        <w:r>
          <w:rPr>
            <w:rFonts w:ascii="仿宋" w:eastAsia="仿宋" w:hAnsi="仿宋" w:cs="仿宋" w:hint="eastAsia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_Toc32367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7" w:history="1">
        <w:r>
          <w:rPr>
            <w:rFonts w:ascii="仿宋" w:eastAsia="仿宋" w:hAnsi="仿宋" w:cs="仿宋" w:hint="eastAsia"/>
            <w:lang w:eastAsia="zh-CN"/>
          </w:rPr>
          <w:t>(二)、招聘与选拔计划</w:t>
        </w:r>
        <w:r>
          <w:tab/>
        </w:r>
        <w:r>
          <w:fldChar w:fldCharType="begin"/>
        </w:r>
        <w:r>
          <w:instrText xml:space="preserve"> PAGEREF _Toc22867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1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_Toc14001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2" w:history="1">
        <w:r>
          <w:rPr>
            <w:rFonts w:ascii="仿宋" w:eastAsia="仿宋" w:hAnsi="仿宋" w:cs="仿宋" w:hint="eastAsia"/>
            <w:lang w:eastAsia="zh-CN"/>
          </w:rPr>
          <w:t>(四)、团队建设活动规划</w:t>
        </w:r>
        <w:r>
          <w:tab/>
        </w:r>
        <w:r>
          <w:fldChar w:fldCharType="begin"/>
        </w:r>
        <w:r>
          <w:instrText xml:space="preserve"> PAGEREF _Toc14502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2" w:history="1">
        <w:r>
          <w:rPr>
            <w:rFonts w:ascii="仿宋" w:eastAsia="仿宋" w:hAnsi="仿宋" w:cs="仿宋" w:hint="eastAsia"/>
            <w:lang w:eastAsia="zh-CN"/>
          </w:rPr>
          <w:t>(五)、员工关怀与激励措施</w:t>
        </w:r>
        <w:r>
          <w:tab/>
        </w:r>
        <w:r>
          <w:fldChar w:fldCharType="begin"/>
        </w:r>
        <w:r>
          <w:instrText xml:space="preserve"> PAGEREF _Toc30732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02" w:history="1">
        <w:r>
          <w:rPr>
            <w:rFonts w:ascii="仿宋" w:eastAsia="仿宋" w:hAnsi="仿宋" w:cs="仿宋" w:hint="eastAsia"/>
            <w:lang w:eastAsia="zh-CN"/>
          </w:rPr>
          <w:t>十八、战略钟</w:t>
        </w:r>
        <w:r>
          <w:tab/>
        </w:r>
        <w:r>
          <w:fldChar w:fldCharType="begin"/>
        </w:r>
        <w:r>
          <w:instrText xml:space="preserve"> PAGEREF _Toc28602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4" w:history="1">
        <w:r>
          <w:rPr>
            <w:rFonts w:ascii="仿宋" w:eastAsia="仿宋" w:hAnsi="仿宋" w:cs="仿宋" w:hint="eastAsia"/>
            <w:lang w:eastAsia="zh-CN"/>
          </w:rPr>
          <w:t>(一)、战略钟</w:t>
        </w:r>
        <w:r>
          <w:tab/>
        </w:r>
        <w:r>
          <w:fldChar w:fldCharType="begin"/>
        </w:r>
        <w:r>
          <w:instrText xml:space="preserve"> PAGEREF _Toc5634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72" w:history="1">
        <w:r>
          <w:rPr>
            <w:rFonts w:ascii="仿宋" w:eastAsia="仿宋" w:hAnsi="仿宋" w:cs="仿宋" w:hint="eastAsia"/>
            <w:lang w:eastAsia="zh-CN"/>
          </w:rPr>
          <w:t>十九、公司治理与法律合规</w:t>
        </w:r>
        <w:r>
          <w:tab/>
        </w:r>
        <w:r>
          <w:fldChar w:fldCharType="begin"/>
        </w:r>
        <w:r>
          <w:instrText xml:space="preserve"> PAGEREF _Toc11872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4" w:history="1">
        <w:r>
          <w:rPr>
            <w:rFonts w:ascii="仿宋" w:eastAsia="仿宋" w:hAnsi="仿宋" w:cs="仿宋" w:hint="eastAsia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_Toc27154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7" w:history="1">
        <w:r>
          <w:rPr>
            <w:rFonts w:ascii="仿宋" w:eastAsia="仿宋" w:hAnsi="仿宋" w:cs="仿宋" w:hint="eastAsia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_Toc30027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9349" w:history="1">
        <w:r>
          <w:rPr>
            <w:rFonts w:ascii="仿宋" w:eastAsia="仿宋" w:hAnsi="仿宋" w:cs="仿宋" w:hint="eastAsia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_Toc29349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3" w:history="1">
        <w:r>
          <w:rPr>
            <w:rFonts w:ascii="仿宋" w:eastAsia="仿宋" w:hAnsi="仿宋" w:cs="仿宋" w:hint="eastAsia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_Toc20403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5" w:history="1">
        <w:r>
          <w:rPr>
            <w:rFonts w:ascii="仿宋" w:eastAsia="仿宋" w:hAnsi="仿宋" w:cs="仿宋" w:hint="eastAsia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_Toc25255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51" w:history="1">
        <w:r>
          <w:rPr>
            <w:rFonts w:ascii="仿宋" w:eastAsia="仿宋" w:hAnsi="仿宋" w:cs="仿宋" w:hint="eastAsia"/>
            <w:lang w:eastAsia="zh-CN"/>
          </w:rPr>
          <w:t>二十、付里叶红外分光光度计行业整合营销</w:t>
        </w:r>
        <w:r>
          <w:tab/>
        </w:r>
        <w:r>
          <w:fldChar w:fldCharType="begin"/>
        </w:r>
        <w:r>
          <w:instrText xml:space="preserve"> PAGEREF _Toc28451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9" w:history="1">
        <w:r>
          <w:rPr>
            <w:rFonts w:ascii="仿宋" w:eastAsia="仿宋" w:hAnsi="仿宋" w:cs="仿宋" w:hint="eastAsia"/>
            <w:lang w:eastAsia="zh-CN"/>
          </w:rPr>
          <w:t>(一)、市场调研与定位</w:t>
        </w:r>
        <w:r>
          <w:tab/>
        </w:r>
        <w:r>
          <w:fldChar w:fldCharType="begin"/>
        </w:r>
        <w:r>
          <w:instrText xml:space="preserve"> PAGEREF _Toc28309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5" w:history="1">
        <w:r>
          <w:rPr>
            <w:rFonts w:ascii="仿宋" w:eastAsia="仿宋" w:hAnsi="仿宋" w:cs="仿宋" w:hint="eastAsia"/>
            <w:lang w:eastAsia="zh-CN"/>
          </w:rPr>
          <w:t>(二)、产品策划与设计</w:t>
        </w:r>
        <w:r>
          <w:tab/>
        </w:r>
        <w:r>
          <w:fldChar w:fldCharType="begin"/>
        </w:r>
        <w:r>
          <w:instrText xml:space="preserve"> PAGEREF _Toc25275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0" w:history="1">
        <w:r>
          <w:rPr>
            <w:rFonts w:ascii="仿宋" w:eastAsia="仿宋" w:hAnsi="仿宋" w:cs="仿宋" w:hint="eastAsia"/>
            <w:lang w:eastAsia="zh-CN"/>
          </w:rPr>
          <w:t>(三)、品牌建设与推广</w:t>
        </w:r>
        <w:r>
          <w:tab/>
        </w:r>
        <w:r>
          <w:fldChar w:fldCharType="begin"/>
        </w:r>
        <w:r>
          <w:instrText xml:space="preserve"> PAGEREF _Toc19270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0" w:history="1">
        <w:r>
          <w:rPr>
            <w:rFonts w:ascii="仿宋" w:eastAsia="仿宋" w:hAnsi="仿宋" w:cs="仿宋" w:hint="eastAsia"/>
            <w:lang w:eastAsia="zh-CN"/>
          </w:rPr>
          <w:t>(四)、渠道拓展与合作</w:t>
        </w:r>
        <w:r>
          <w:tab/>
        </w:r>
        <w:r>
          <w:fldChar w:fldCharType="begin"/>
        </w:r>
        <w:r>
          <w:instrText xml:space="preserve"> PAGEREF _Toc11620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4" w:history="1">
        <w:r>
          <w:rPr>
            <w:rFonts w:ascii="仿宋" w:eastAsia="仿宋" w:hAnsi="仿宋" w:cs="仿宋" w:hint="eastAsia"/>
            <w:lang w:eastAsia="zh-CN"/>
          </w:rPr>
          <w:t>(五)、客户关系管理</w:t>
        </w:r>
        <w:r>
          <w:tab/>
        </w:r>
        <w:r>
          <w:fldChar w:fldCharType="begin"/>
        </w:r>
        <w:r>
          <w:instrText xml:space="preserve"> PAGEREF _Toc13244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5" w:history="1">
        <w:r>
          <w:rPr>
            <w:rFonts w:ascii="仿宋" w:eastAsia="仿宋" w:hAnsi="仿宋" w:cs="仿宋" w:hint="eastAsia"/>
            <w:lang w:eastAsia="zh-CN"/>
          </w:rPr>
          <w:t>(六)、售后服务与用户体验</w:t>
        </w:r>
        <w:r>
          <w:tab/>
        </w:r>
        <w:r>
          <w:fldChar w:fldCharType="begin"/>
        </w:r>
        <w:r>
          <w:instrText xml:space="preserve"> PAGEREF _Toc23245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5" w:history="1">
        <w:r>
          <w:rPr>
            <w:rFonts w:ascii="仿宋" w:eastAsia="仿宋" w:hAnsi="仿宋" w:cs="仿宋" w:hint="eastAsia"/>
            <w:lang w:eastAsia="zh-CN"/>
          </w:rPr>
          <w:t>(七)、数据分析与优化</w:t>
        </w:r>
        <w:r>
          <w:tab/>
        </w:r>
        <w:r>
          <w:fldChar w:fldCharType="begin"/>
        </w:r>
        <w:r>
          <w:instrText xml:space="preserve"> PAGEREF _Toc14015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68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321"/>
      <w:r>
        <w:rPr>
          <w:rFonts w:ascii="仿宋" w:eastAsia="仿宋" w:hAnsi="仿宋" w:cs="仿宋" w:hint="eastAsia"/>
          <w:sz w:val="28"/>
          <w:lang w:eastAsia="zh-CN"/>
        </w:rPr>
        <w:t>一、付里叶红外分光光度计项目质量管理方案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84"/>
      <w:r>
        <w:rPr>
          <w:rFonts w:ascii="仿宋" w:eastAsia="仿宋" w:hAnsi="仿宋" w:cs="仿宋" w:hint="eastAsia"/>
          <w:lang w:eastAsia="zh-CN"/>
        </w:rPr>
        <w:t>(一)、全面质量管理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（一）全面质量管理的概念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概念分析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全面质量管理是一种具有全员参与精神的管理理念，通过层层管理者的引领和推动，将全面质量控制作为核心元素。其目标在于通过全员参与和全面持续改进，不断提高产品和服务质量，最终实现企业经营绩效的管理方式。强调产品质量是企业各项工作的核心，要求企业将质量观念贯穿到每个环节中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特点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https://d.book118.com/065231030230011113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付里叶红外分光光度计项目融资计划书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付里叶红外分光光度计项目融资计划书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付里叶红外分光光度计项目融资计划书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付里叶红外分光光度计项目融资计划书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付里叶红外分光光度计项目融资计划书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827E8A"/>
    <w:rsid w:val="4593521B"/>
    <w:rsid w:val="56827E8A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65231030230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2024-02-27T20:52:00Z</dcterms:created>
  <dcterms:modified xsi:type="dcterms:W3CDTF">2024-02-27T20:52:38Z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FF01A4AD35114755B9C2ACFBB164A865_11</vt:lpwstr>
  </property>
  <property fmtid="{D5CDD505-2E9C-101B-9397-08002B2CF9AE}" pid="3" name="KSOProductBuildVer">
    <vt:lpwstr>2052-12.1.0.16250</vt:lpwstr>
  </property>
</Properties>
</file>