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bidi w:val="0"/>
        <w:jc w:val="center"/>
        <w:rPr>
          <w:rFonts w:ascii="楷体" w:eastAsia="楷体" w:hAnsi="楷体" w:cs="楷体" w:hint="eastAsia"/>
          <w:b w:val="0"/>
          <w:bCs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sz w:val="28"/>
          <w:szCs w:val="28"/>
          <w:lang w:eastAsia="zh-CN"/>
        </w:rPr>
        <w:t>地下室人防给排水施工专项方案</w:t>
      </w:r>
    </w:p>
    <w:p>
      <w:pPr>
        <w:numPr>
          <w:ilvl w:val="0"/>
          <w:numId w:val="1"/>
        </w:numPr>
        <w:bidi w:val="0"/>
        <w:jc w:val="left"/>
        <w:rPr>
          <w:rFonts w:ascii="楷体" w:eastAsia="楷体" w:hAnsi="楷体" w:cs="楷体" w:hint="eastAsia"/>
          <w:b w:val="0"/>
          <w:bCs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sz w:val="28"/>
          <w:szCs w:val="28"/>
          <w:lang w:eastAsia="zh-CN"/>
        </w:rPr>
        <w:t>编制依据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《人民防空地下室设计规范》GB50038-2005；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《建筑给排水设计规范》GB50015-2003（2009年版）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《人民防空地下室设计规范》图示05SFS10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《建筑给水排水设计规范》（GB50015-2003）（2009年版）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《建筑设计防火规范》（GB50016-2006）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《高层民用建筑设计防火规范》（GB50045-95）（2005年版）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《室外给水设计规范》（GB50013-2006）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《室外排水设计规范》（GB50014-2006）（2011年版）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《绿色建筑评价标准》（GB/T50378-2006）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《民用建筑节水设计标准》（GB50555-2010）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《城镇给水排水技术规范》（GB50788-2012）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《住宅设计规范》（GB50096-2011）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《住宅建筑设计规范》（GB50368-2005）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《建筑中水设计规范》（GB50336-2002）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《办公建筑设计规范》（JGJ67-2006）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《民用建筑太阳能热水系统应用技术规范》（GB50364-2005）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《建筑安装工程质量检验评定统一标准》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《建筑安装工程竣工工期及验收规范》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《建筑安装工程及验收规范》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怀来县建筑工程质量监督站《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2012年建筑工程质量监督要点》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怀来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·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中国低碳大厦施工图纸</w:t>
      </w: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kern w:val="0"/>
          <w:sz w:val="30"/>
          <w:szCs w:val="30"/>
          <w:lang w:val="en-US" w:eastAsia="zh-CN"/>
        </w:rPr>
        <w:t>二、工程概况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工程名称：怀来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·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中国低碳大厦给排水安装工程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结构形式：框剪结构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建筑面积：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本工程占地面积为1490.19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㎡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，总建筑面积为38408.44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㎡，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住宅部分建筑面积为35613.64m ,商业部分建筑面积2300.14m ,架空面积为494.66m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，</w:t>
      </w:r>
      <w:r>
        <w:rPr>
          <w:rFonts w:ascii="楷体" w:eastAsia="楷体" w:hAnsi="楷体" w:cs="楷体" w:hint="eastAsia"/>
          <w:b w:val="0"/>
          <w:bCs w:val="0"/>
          <w:sz w:val="28"/>
          <w:szCs w:val="28"/>
        </w:rPr>
        <w:t>其中1#楼建筑面积为7806㎡，框剪结构。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建筑层数：</w:t>
      </w:r>
      <w:r>
        <w:rPr>
          <w:rFonts w:ascii="楷体" w:eastAsia="楷体" w:hAnsi="楷体" w:cs="楷体" w:hint="eastAsia"/>
          <w:b w:val="0"/>
          <w:bCs w:val="0"/>
          <w:sz w:val="28"/>
          <w:szCs w:val="28"/>
        </w:rPr>
        <w:t>地下二层，地上三层</w:t>
      </w:r>
      <w:r>
        <w:rPr>
          <w:rFonts w:ascii="楷体" w:eastAsia="楷体" w:hAnsi="楷体" w:cs="楷体" w:hint="eastAsia"/>
          <w:b w:val="0"/>
          <w:bCs w:val="0"/>
          <w:sz w:val="28"/>
          <w:szCs w:val="28"/>
          <w:lang w:eastAsia="zh-CN"/>
        </w:rPr>
        <w:t>，</w:t>
      </w:r>
      <w:r>
        <w:rPr>
          <w:rFonts w:ascii="楷体" w:eastAsia="楷体" w:hAnsi="楷体" w:cs="楷体" w:hint="eastAsia"/>
          <w:b w:val="0"/>
          <w:bCs w:val="0"/>
          <w:sz w:val="28"/>
          <w:szCs w:val="28"/>
        </w:rPr>
        <w:t>檐口高度为22.9m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，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耐火等级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eastAsia="zh-CN"/>
        </w:rPr>
        <w:t>：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一级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本人防工程为常六级乙类防空地下室，依据平战结合的原则设计， 平常为地下停车场，战时用途为物资储备库，划分为三个防护单元。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人防区设置地下二层，局部设置在地下一层，人防顶板面标高分别为-5.40m和0.00m;室外地面最高标高-0.20m，人防结构顶板绝大多数低于室外地面，局部高于室外地面。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/>
          <w:bCs/>
          <w:kern w:val="0"/>
          <w:sz w:val="28"/>
          <w:szCs w:val="28"/>
        </w:rPr>
        <w:t>给水系统：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1.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水源：防空地下室战时由市政管网供应。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2.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防空地下室每个物资库防护单元内设置1个1立方米的人防水箱。供物资搬运过程洗手用。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3.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防空地下室的防毒通道内及密闭通道设置皮带冲洗龙头.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/>
          <w:bCs/>
          <w:kern w:val="0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kern w:val="0"/>
          <w:sz w:val="28"/>
          <w:szCs w:val="28"/>
        </w:rPr>
        <w:t>排水系统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1.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人防地下室战时利用平常集水坑及其排水管道排出战时生活污水，污水泵平常战时均适用。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2.隔绝防护时间内，人防地下室不得向外部排水。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3.人防地下室战时主要出入口防护门外的通道内，设置染毒水池，防毒通道及各密闭通道则设置防爆地漏将洗消废水排至染毒水池。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/>
          <w:bCs/>
          <w:kern w:val="0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kern w:val="0"/>
          <w:sz w:val="28"/>
          <w:szCs w:val="28"/>
          <w:lang w:val="en-US" w:eastAsia="zh-CN"/>
        </w:rPr>
        <w:t>防护设施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kern w:val="0"/>
          <w:sz w:val="28"/>
          <w:szCs w:val="28"/>
          <w:lang w:val="en-US" w:eastAsia="zh-CN"/>
        </w:rPr>
        <w:t xml:space="preserve"> 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穿越防护外墙及顶板的全部给排水管道，必需于防护外墙及顶板的内侧设置公称压力1.0MPa的铜芯闸阀作为防爆波阀，穿外墙及顶板处须作专用的防爆套管，在刚性防水套管基础上焊接，10厚200宽的挡板环,做法见大样。其他部位则设刚性密闭套管，详04FS02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 xml:space="preserve">  阀边缘距墙面或顶板内侧的距离不大于200mm。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/>
          <w:bCs/>
          <w:kern w:val="0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kern w:val="0"/>
          <w:sz w:val="28"/>
          <w:szCs w:val="28"/>
          <w:lang w:val="en-US" w:eastAsia="zh-CN"/>
        </w:rPr>
        <w:t>管材</w:t>
      </w:r>
    </w:p>
    <w:p>
      <w:pPr>
        <w:bidi w:val="0"/>
        <w:spacing w:line="500" w:lineRule="exact"/>
        <w:ind w:firstLine="56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给水管采纳钢塑复合管，压力排水管采纳热镀锌钢管，埋地排水管采纳排水铸铁管。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/>
          <w:bCs/>
          <w:kern w:val="0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kern w:val="0"/>
          <w:sz w:val="28"/>
          <w:szCs w:val="28"/>
          <w:lang w:val="en-US" w:eastAsia="zh-CN"/>
        </w:rPr>
        <w:t>其他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与战时无关的全部排水管道一律不得进入防空地下室。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本人防工程的给水引入管、排水出户管和防爆波地漏均须在工程施工、安装时一次完成.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标高以首层室内地面为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±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0.000计。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尺寸单位：标高以米计，其它均以毫米计。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管道标高法：图中所注标高，压力管道标高均为管中心标高，重力管为管内底标高。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为人防区预留的给排水进出水管从外到内施工到防爆波阀，并应有明显标记。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 xml:space="preserve"> 人防区域内全部阀门均采纳防爆阀门,防爆阀门安装详见GB04SF02。</w:t>
      </w:r>
    </w:p>
    <w:p>
      <w:pPr>
        <w:numPr>
          <w:ilvl w:val="0"/>
          <w:numId w:val="2"/>
        </w:num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>手摇泵、潜污泵、柔(刚)性密闭套管、水箱基础及固定安装详GB04FS02。</w:t>
      </w:r>
    </w:p>
    <w:p>
      <w:pPr>
        <w:numPr>
          <w:ilvl w:val="0"/>
          <w:numId w:val="0"/>
        </w:numPr>
        <w:autoSpaceDE w:val="0"/>
        <w:autoSpaceDN w:val="0"/>
        <w:bidi w:val="0"/>
        <w:adjustRightInd w:val="0"/>
        <w:spacing w:line="360" w:lineRule="auto"/>
        <w:rPr>
          <w:rFonts w:ascii="楷体" w:eastAsia="楷体" w:hAnsi="楷体" w:cs="楷体" w:hint="eastAsia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sz w:val="28"/>
          <w:szCs w:val="28"/>
        </w:rPr>
        <w:t>室内排水系统为</w:t>
      </w:r>
      <w:r>
        <w:rPr>
          <w:rFonts w:ascii="楷体" w:eastAsia="楷体" w:hAnsi="楷体" w:cs="楷体" w:hint="eastAsia"/>
          <w:sz w:val="28"/>
          <w:szCs w:val="28"/>
        </w:rPr>
        <w:t>：中水系统、热水系统</w:t>
      </w:r>
      <w:r>
        <w:rPr>
          <w:rFonts w:ascii="楷体" w:eastAsia="楷体" w:hAnsi="楷体" w:cs="楷体" w:hint="eastAsia"/>
          <w:sz w:val="28"/>
          <w:szCs w:val="28"/>
          <w:lang w:eastAsia="zh-CN"/>
        </w:rPr>
        <w:t>、</w:t>
      </w:r>
      <w:r>
        <w:rPr>
          <w:rFonts w:ascii="楷体" w:eastAsia="楷体" w:hAnsi="楷体" w:cs="楷体" w:hint="eastAsia"/>
          <w:sz w:val="28"/>
          <w:szCs w:val="28"/>
        </w:rPr>
        <w:t>生活污水排水系统、雨水排水系统</w:t>
      </w:r>
      <w:r>
        <w:rPr>
          <w:rFonts w:ascii="楷体" w:eastAsia="楷体" w:hAnsi="楷体" w:cs="楷体" w:hint="eastAsia"/>
          <w:sz w:val="28"/>
          <w:szCs w:val="28"/>
          <w:lang w:eastAsia="zh-CN"/>
        </w:rPr>
        <w:t>、生活废水排水系统。</w:t>
      </w:r>
    </w:p>
    <w:p>
      <w:pPr>
        <w:numPr>
          <w:ilvl w:val="0"/>
          <w:numId w:val="0"/>
        </w:numPr>
        <w:autoSpaceDE w:val="0"/>
        <w:autoSpaceDN w:val="0"/>
        <w:bidi w:val="0"/>
        <w:adjustRightInd w:val="0"/>
        <w:spacing w:line="360" w:lineRule="auto"/>
        <w:rPr>
          <w:rFonts w:ascii="楷体" w:eastAsia="楷体" w:hAnsi="楷体" w:cs="楷体" w:hint="eastAsia"/>
          <w:sz w:val="28"/>
          <w:szCs w:val="28"/>
        </w:rPr>
      </w:pPr>
      <w:r>
        <w:rPr>
          <w:rFonts w:ascii="楷体" w:eastAsia="楷体" w:hAnsi="楷体" w:cs="楷体" w:hint="eastAsia"/>
          <w:b/>
          <w:bCs/>
          <w:sz w:val="28"/>
          <w:szCs w:val="28"/>
        </w:rPr>
        <w:t>生活污水系统分为自流排及强排</w:t>
      </w:r>
      <w:r>
        <w:rPr>
          <w:rFonts w:ascii="楷体" w:eastAsia="楷体" w:hAnsi="楷体" w:cs="楷体" w:hint="eastAsia"/>
          <w:sz w:val="28"/>
          <w:szCs w:val="28"/>
        </w:rPr>
        <w:t>：一层以上污水废水自流排至室外；</w:t>
      </w:r>
    </w:p>
    <w:p>
      <w:pPr>
        <w:numPr>
          <w:ilvl w:val="0"/>
          <w:numId w:val="0"/>
        </w:numPr>
        <w:autoSpaceDE w:val="0"/>
        <w:autoSpaceDN w:val="0"/>
        <w:bidi w:val="0"/>
        <w:adjustRightInd w:val="0"/>
        <w:spacing w:line="360" w:lineRule="auto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楷体" w:eastAsia="楷体" w:hAnsi="楷体" w:cs="楷体" w:hint="eastAsia"/>
          <w:b/>
          <w:bCs/>
          <w:sz w:val="28"/>
          <w:szCs w:val="28"/>
        </w:rPr>
        <w:t>地下压力排水本工程</w:t>
      </w:r>
    </w:p>
    <w:p>
      <w:pPr>
        <w:numPr>
          <w:ilvl w:val="0"/>
          <w:numId w:val="0"/>
        </w:numPr>
        <w:autoSpaceDE w:val="0"/>
        <w:autoSpaceDN w:val="0"/>
        <w:bidi w:val="0"/>
        <w:adjustRightInd w:val="0"/>
        <w:spacing w:line="360" w:lineRule="auto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sz w:val="28"/>
          <w:szCs w:val="28"/>
        </w:rPr>
        <w:t>：室内排水采纳污废采纳合流制。地上部分的污废水重力自留排入室外检查井，地下室污废水采纳潜污泵提升至室外检查井。地下二层每个污废水集水池内均设置两台潜污泵，液位限制开启，交替运行。其安装按设计图纸规范进行安装，对产品质量进行检查，进场产品备有质量合格证等相应质量保证性文件，潜污泵的压力排水管道采纳PE管热熔连接。穿越防护分区的压力排水管在防护区内侧安装抗力＞1.0MPa的防护阀门，各抗力＞1.0MPa的阀门均设有明显的启闭标记，且防护阀门应满意工作压力下的承压要求。管材选用：穿越防护区的压力排水管采纳热镀锌钢管，丝接或法兰及管箍连接。压力排水管道上的阀门采纳铜芯球磨铸铁外壳闸阀，耐压不小于1.0MPa。潜污泵出水管采纳升降式排水止回阀。管道穿越钢筋混凝土墙，楼板，梁时应依据图中所标注的管道标高，位置协作土建施工预留孔洞或预埋套管，管道穿越地下室外墙，人</w:t>
      </w:r>
      <w:r>
        <w:rPr>
          <w:rFonts w:ascii="楷体" w:eastAsia="楷体" w:hAnsi="楷体" w:cs="楷体" w:hint="eastAsia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98.55pt;height:62.4pt;margin-top:-58pt;margin-left:370pt;mso-wrap-style:none;position:absolute;z-index:251659264" stroked="f">
            <o:lock v:ext="edit" aspectratio="f"/>
            <v:textbox style="mso-fit-shape-to-text:t" inset="0,0,0,0">
              <w:txbxContent>
                <w:p>
                  <w:pPr>
                    <w:bidi w:val="0"/>
                  </w:pPr>
                </w:p>
              </w:txbxContent>
            </v:textbox>
          </v:shape>
        </w:pict>
      </w:r>
      <w:r>
        <w:rPr>
          <w:rFonts w:ascii="楷体" w:eastAsia="楷体" w:hAnsi="楷体" w:cs="楷体" w:hint="eastAsia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width:326.25pt;height:45pt;margin-top:165pt;margin-left:124pt;mso-wrap-style:square;position:absolute;z-index:251658240" adj="10800" filled="f" stroked="t" strokecolor="#e6e6e6" strokeweight="0.1pt">
            <v:stroke dashstyle="dashDot" linestyle="single"/>
            <v:shadow color="#868686"/>
            <v:textpath style="font-family:'Arial Black';font-size:32pt;font-weight:bold;v-text-kern:t" trim="t" string="www.zhulong.com"/>
            <o:lock v:ext="edit" aspectratio="f"/>
          </v:shape>
        </w:pict>
      </w:r>
      <w:r>
        <w:rPr>
          <w:rFonts w:ascii="楷体" w:eastAsia="楷体" w:hAnsi="楷体" w:cs="楷体" w:hint="eastAsia"/>
          <w:sz w:val="28"/>
          <w:szCs w:val="28"/>
        </w:rPr>
        <w:t>防防护结构时，应按人防工程标准预埋防水套管。</w:t>
      </w: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p>
      <w:pPr>
        <w:bidi w:val="0"/>
        <w:spacing w:line="500" w:lineRule="exact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kern w:val="0"/>
          <w:sz w:val="30"/>
          <w:szCs w:val="30"/>
          <w:lang w:eastAsia="zh-CN"/>
        </w:rPr>
        <w:t>三、施工打算</w:t>
      </w:r>
    </w:p>
    <w:p>
      <w:pPr>
        <w:bidi w:val="0"/>
        <w:spacing w:line="500" w:lineRule="exact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  <w:lang w:val="en-US" w:eastAsia="zh-CN"/>
        </w:rPr>
        <w:t xml:space="preserve">  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1、临时设施</w:t>
      </w:r>
    </w:p>
    <w:p>
      <w:pPr>
        <w:bidi w:val="0"/>
        <w:spacing w:line="500" w:lineRule="exact"/>
        <w:ind w:firstLine="56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依据现有的临时的设施支配好人工的临时宿舍，选择好堆放材料与工具的仓库，依据现场电工的要求接好临时机械的用电。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2、劳动力支配</w:t>
      </w:r>
    </w:p>
    <w:p>
      <w:pPr>
        <w:bidi w:val="0"/>
        <w:spacing w:line="500" w:lineRule="exact"/>
        <w:ind w:firstLine="70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依据土建施工进度要求，合理支配的人员进场施工。 </w:t>
      </w:r>
    </w:p>
    <w:p>
      <w:pPr>
        <w:bidi w:val="0"/>
        <w:spacing w:line="500" w:lineRule="exact"/>
        <w:ind w:firstLine="56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3、 技术打算</w:t>
      </w:r>
    </w:p>
    <w:p>
      <w:pPr>
        <w:bidi w:val="0"/>
        <w:spacing w:line="500" w:lineRule="exact"/>
        <w:ind w:firstLine="42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①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、仔细学习、熟识施工图纸理解设计的意图、搞好图纸会审。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②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、编制施工方案和施工操作要点，对可能出现问题的部位和工序提出留意事项和措施，对关键工序有特地的单项施工方案。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③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、由公司工程部进行技术交底、图纸交底、施工组织设计交底、设计变更和洽商交底、分项工程技术交底，以明确施工意图，克服质量通病，确保工程优良。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④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、组织现场施工人员学习工程质量验收规范及ISO9001:2000  质量体系标准与作业指导书，实行专业技术培训，全面驾驭、熟 悉安装工程质量检验评定标准。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⑤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、建立各种规章制度、材料管理制度、平安责任制、施工现场用水用电平安制度、卫生值勤制度、出勤考核制度。</w:t>
      </w:r>
    </w:p>
    <w:p>
      <w:pPr>
        <w:bidi w:val="0"/>
        <w:spacing w:line="500" w:lineRule="exact"/>
        <w:ind w:firstLine="42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⑥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、对工人岗前进行平安教化与平安交底。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 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⑦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 xml:space="preserve">、材料设备进场要有资质的生产厂家的资质报告、检测报告、材质单、合格证、进市准用证（市人防站备案）; </w:t>
      </w:r>
    </w:p>
    <w:p>
      <w:pPr>
        <w:bidi w:val="0"/>
        <w:spacing w:line="500" w:lineRule="exact"/>
        <w:ind w:firstLine="280"/>
        <w:jc w:val="left"/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⑧</w:t>
      </w:r>
      <w:r>
        <w:rPr>
          <w:rFonts w:ascii="楷体" w:eastAsia="楷体" w:hAnsi="楷体" w:cs="楷体" w:hint="eastAsia"/>
          <w:b w:val="0"/>
          <w:bCs w:val="0"/>
          <w:kern w:val="0"/>
          <w:sz w:val="28"/>
          <w:szCs w:val="28"/>
        </w:rPr>
        <w:t>、防爆地漏、防爆清扫口、防爆波阀门用国家人防部门备案并取得准用证的生产厂家生产的，三证齐全。</w:t>
      </w:r>
    </w:p>
    <w:p>
      <w:pPr>
        <w:numPr>
          <w:ilvl w:val="0"/>
          <w:numId w:val="0"/>
        </w:numPr>
        <w:bidi w:val="0"/>
        <w:jc w:val="left"/>
        <w:rPr>
          <w:rFonts w:ascii="楷体" w:eastAsia="楷体" w:hAnsi="楷体" w:cs="楷体" w:hint="eastAsia"/>
          <w:b w:val="0"/>
          <w:bCs w:val="0"/>
          <w:sz w:val="28"/>
          <w:szCs w:val="28"/>
        </w:rPr>
      </w:pPr>
    </w:p>
    <w:p>
      <w:pPr>
        <w:autoSpaceDE w:val="0"/>
        <w:autoSpaceDN w:val="0"/>
        <w:bidi w:val="0"/>
        <w:adjustRightInd w:val="0"/>
        <w:jc w:val="center"/>
        <w:rPr>
          <w:rFonts w:ascii="楷体" w:eastAsia="楷体" w:hAnsi="楷体" w:cs="楷体" w:hint="eastAsia"/>
          <w:b/>
          <w:bCs/>
          <w:kern w:val="0"/>
          <w:sz w:val="30"/>
          <w:szCs w:val="30"/>
        </w:rPr>
      </w:pPr>
      <w:r>
        <w:rPr>
          <w:rFonts w:ascii="楷体" w:eastAsia="楷体" w:hAnsi="楷体" w:cs="楷体" w:hint="eastAsia"/>
          <w:b/>
          <w:bCs/>
          <w:sz w:val="30"/>
          <w:szCs w:val="30"/>
          <w:lang w:eastAsia="zh-CN"/>
        </w:rPr>
        <w:t>四、</w:t>
      </w:r>
      <w:r>
        <w:rPr>
          <w:rFonts w:ascii="楷体" w:eastAsia="楷体" w:hAnsi="楷体" w:cs="楷体" w:hint="eastAsia"/>
          <w:b/>
          <w:bCs/>
          <w:kern w:val="0"/>
          <w:sz w:val="30"/>
          <w:szCs w:val="30"/>
        </w:rPr>
        <w:t>主要施工方法与技术措施</w:t>
      </w:r>
    </w:p>
    <w:p>
      <w:pPr>
        <w:autoSpaceDE w:val="0"/>
        <w:autoSpaceDN w:val="0"/>
        <w:bidi w:val="0"/>
        <w:adjustRightInd w:val="0"/>
        <w:outlineLvl w:val="0"/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sz w:val="28"/>
          <w:szCs w:val="28"/>
          <w:lang w:eastAsia="zh-CN"/>
        </w:rPr>
        <w:t>（一）、</w:t>
      </w:r>
      <w:r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  <w:t>给水排水工程施工流程图</w:t>
      </w:r>
    </w:p>
    <w:p>
      <w:pPr>
        <w:autoSpaceDE w:val="0"/>
        <w:autoSpaceDN w:val="0"/>
        <w:bidi w:val="0"/>
        <w:adjustRightInd w:val="0"/>
        <w:ind w:firstLine="480"/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</w:pPr>
      <w:r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  <w:t>给水排水工程施工流程如图所示。</w:t>
      </w:r>
      <w:r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  <w:br/>
      </w:r>
      <w:r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https://d.book118.com/065300303021011103</w:t>
        </w:r>
      </w:hyperlink>
    </w:p>
    <w:p>
      <w:pPr>
        <w:autoSpaceDE w:val="0"/>
        <w:autoSpaceDN w:val="0"/>
        <w:bidi w:val="0"/>
        <w:adjustRightInd w:val="0"/>
        <w:ind w:firstLine="480"/>
        <w:rPr>
          <w:rFonts w:ascii="楷体" w:eastAsia="楷体" w:hAnsi="楷体" w:cs="楷体" w:hint="eastAsia"/>
          <w:b w:val="0"/>
          <w:bCs w:val="0"/>
          <w:color w:val="000000"/>
          <w:sz w:val="28"/>
          <w:szCs w:val="28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MS Sans Serif">
    <w:altName w:val="RomanS"/>
    <w:panose1 w:val="00000000000000000000"/>
    <w:charset w:val="00"/>
    <w:family w:val="swiss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lgerian">
    <w:panose1 w:val="04020705040A02060702"/>
    <w:charset w:val="00"/>
    <w:family w:val="decorative"/>
    <w:pitch w:val="default"/>
    <w:sig w:usb0="00000003" w:usb1="00000000" w:usb2="00000000" w:usb3="00000000" w:csb0="20000001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Vineta BT">
    <w:panose1 w:val="04020906050602070202"/>
    <w:charset w:val="00"/>
    <w:family w:val="auto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singleLevel"/>
    <w:tmpl w:val="0000000B"/>
    <w:lvl w:ilvl="0">
      <w:start w:val="4"/>
      <w:numFmt w:val="chineseCounting"/>
      <w:suff w:val="nothing"/>
      <w:lvlText w:val="（%1）"/>
      <w:lvlJc w:val="left"/>
    </w:lvl>
  </w:abstractNum>
  <w:abstractNum w:abstractNumId="2">
    <w:nsid w:val="0000000C"/>
    <w:multiLevelType w:val="multilevel"/>
    <w:tmpl w:val="0000000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000000D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000000E"/>
    <w:multiLevelType w:val="multilevel"/>
    <w:tmpl w:val="000000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0000010"/>
    <w:multiLevelType w:val="singleLevel"/>
    <w:tmpl w:val="00000010"/>
    <w:lvl w:ilvl="0">
      <w:start w:val="1"/>
      <w:numFmt w:val="chineseCounting"/>
      <w:suff w:val="nothing"/>
      <w:lvlText w:val="%1、"/>
      <w:lvlJc w:val="left"/>
    </w:lvl>
  </w:abstractNum>
  <w:abstractNum w:abstractNumId="6">
    <w:nsid w:val="5259F9A2"/>
    <w:multiLevelType w:val="singleLevel"/>
    <w:tmpl w:val="5259F9A2"/>
    <w:lvl w:ilvl="0">
      <w:start w:val="1"/>
      <w:numFmt w:val="decimal"/>
      <w:suff w:val="nothing"/>
      <w:lvlText w:val="%1.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wrapTrailSpaces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Indent">
    <w:name w:val="Body Text Indent"/>
    <w:basedOn w:val="Normal"/>
    <w:pPr>
      <w:autoSpaceDE w:val="0"/>
      <w:autoSpaceDN w:val="0"/>
      <w:adjustRightInd w:val="0"/>
      <w:ind w:firstLine="560"/>
    </w:pPr>
    <w:rPr>
      <w:rFonts w:ascii="仿宋_GB2312" w:eastAsia="仿宋_GB2312"/>
      <w:color w:val="000000"/>
      <w:sz w:val="28"/>
      <w:szCs w:val="20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Date">
    <w:name w:val="Date"/>
    <w:basedOn w:val="Normal"/>
    <w:next w:val="Normal"/>
    <w:rPr>
      <w:rFonts w:ascii="仿宋_GB2312" w:eastAsia="仿宋_GB2312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6530030302101110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地下室人防给排水施工专项方案</dc:title>
  <dc:creator>Miss.lau</dc:creator>
  <cp:lastModifiedBy>Miss.lau</cp:lastModifiedBy>
  <cp:revision>0</cp:revision>
  <dcterms:created xsi:type="dcterms:W3CDTF">2013-09-04T00:59:03Z</dcterms:created>
  <dcterms:modified xsi:type="dcterms:W3CDTF">2013-10-13T02:08:05Z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2052-9.1.0.4369</vt:lpwstr>
  </property>
</Properties>
</file>