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4705400</wp:posOffset>
            </wp:positionH>
            <wp:positionV relativeFrom="page">
              <wp:posOffset>10003433</wp:posOffset>
            </wp:positionV>
            <wp:extent cx="353910" cy="323621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910" cy="323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412" w:line="995" w:lineRule="exact"/>
        <w:ind w:left="868"/>
        <w:outlineLvl w:val="0"/>
        <w:rPr>
          <w:rFonts w:ascii="Microsoft YaHei" w:eastAsia="Microsoft YaHei" w:hAnsi="Microsoft YaHei" w:cs="Microsoft YaHei"/>
          <w:sz w:val="96"/>
          <w:szCs w:val="96"/>
        </w:rPr>
      </w:pPr>
      <w:r>
        <w:rPr>
          <w:rFonts w:ascii="Microsoft YaHei" w:eastAsia="Microsoft YaHei" w:hAnsi="Microsoft YaHei" w:cs="Microsoft YaHei"/>
          <w:b/>
          <w:bCs/>
          <w:color w:val="333333"/>
          <w:spacing w:val="-4"/>
          <w:position w:val="-3"/>
          <w:sz w:val="96"/>
          <w:szCs w:val="96"/>
        </w:rPr>
        <w:t>税务合规和</w:t>
      </w:r>
    </w:p>
    <w:p>
      <w:pPr>
        <w:spacing w:line="1003" w:lineRule="exact"/>
        <w:ind w:left="874" w:right="5295" w:firstLine="11"/>
        <w:outlineLvl w:val="0"/>
        <w:rPr>
          <w:rFonts w:ascii="Microsoft YaHei" w:eastAsia="Microsoft YaHei" w:hAnsi="Microsoft YaHei" w:cs="Microsoft YaHei"/>
          <w:sz w:val="96"/>
          <w:szCs w:val="96"/>
        </w:rPr>
      </w:pPr>
      <w:r>
        <w:rPr>
          <w:rFonts w:ascii="Microsoft YaHei" w:eastAsia="Microsoft YaHei" w:hAnsi="Microsoft YaHei" w:cs="Microsoft YaHei"/>
          <w:b/>
          <w:bCs/>
          <w:color w:val="333333"/>
          <w:spacing w:val="-6"/>
          <w:position w:val="-1"/>
          <w:sz w:val="96"/>
          <w:szCs w:val="96"/>
        </w:rPr>
        <w:t>法定财务报告</w:t>
      </w:r>
      <w:r>
        <w:rPr>
          <w:rFonts w:ascii="Microsoft YaHei" w:eastAsia="Microsoft YaHei" w:hAnsi="Microsoft YaHei" w:cs="Microsoft YaHei"/>
          <w:b/>
          <w:bCs/>
          <w:color w:val="333333"/>
          <w:position w:val="-1"/>
          <w:sz w:val="96"/>
          <w:szCs w:val="96"/>
        </w:rPr>
        <w:t xml:space="preserve"> </w:t>
      </w:r>
      <w:r>
        <w:rPr>
          <w:rFonts w:ascii="Microsoft YaHei" w:eastAsia="Microsoft YaHei" w:hAnsi="Microsoft YaHei" w:cs="Microsoft YaHei"/>
          <w:b/>
          <w:bCs/>
          <w:color w:val="F36E21"/>
          <w:spacing w:val="-5"/>
          <w:position w:val="-1"/>
          <w:sz w:val="96"/>
          <w:szCs w:val="96"/>
        </w:rPr>
        <w:t>数字化转型</w:t>
      </w:r>
    </w:p>
    <w:p>
      <w:pPr>
        <w:spacing w:before="1" w:line="178" w:lineRule="auto"/>
        <w:ind w:left="869"/>
        <w:rPr>
          <w:rFonts w:ascii="Microsoft YaHei" w:eastAsia="Microsoft YaHei" w:hAnsi="Microsoft YaHei" w:cs="Microsoft YaHei"/>
          <w:sz w:val="96"/>
          <w:szCs w:val="96"/>
        </w:rPr>
      </w:pPr>
      <w:r>
        <w:rPr>
          <w:rFonts w:ascii="Trebuchet MS" w:eastAsia="Trebuchet MS" w:hAnsi="Trebuchet MS" w:cs="Trebuchet MS"/>
          <w:b/>
          <w:bCs/>
          <w:color w:val="333333"/>
          <w:spacing w:val="-13"/>
          <w:sz w:val="96"/>
          <w:szCs w:val="96"/>
        </w:rPr>
        <w:t>2023</w:t>
      </w:r>
      <w:r>
        <w:rPr>
          <w:rFonts w:ascii="Microsoft YaHei" w:eastAsia="Microsoft YaHei" w:hAnsi="Microsoft YaHei" w:cs="Microsoft YaHei"/>
          <w:b/>
          <w:bCs/>
          <w:color w:val="333333"/>
          <w:spacing w:val="-13"/>
          <w:sz w:val="96"/>
          <w:szCs w:val="96"/>
        </w:rPr>
        <w:t>年调查报告</w:t>
      </w:r>
    </w:p>
    <w:p>
      <w:pPr>
        <w:spacing w:before="55" w:line="178" w:lineRule="auto"/>
        <w:ind w:left="860"/>
        <w:rPr>
          <w:rFonts w:ascii="Microsoft YaHei" w:eastAsia="Microsoft YaHei" w:hAnsi="Microsoft YaHei" w:cs="Microsoft YaHei"/>
          <w:sz w:val="32"/>
          <w:szCs w:val="32"/>
        </w:rPr>
      </w:pPr>
      <w:r>
        <w:rPr>
          <w:rFonts w:ascii="Microsoft YaHei" w:eastAsia="Microsoft YaHei" w:hAnsi="Microsoft YaHei" w:cs="Microsoft YaHei"/>
          <w:b/>
          <w:bCs/>
          <w:color w:val="404040"/>
          <w:spacing w:val="-13"/>
          <w:w w:val="98"/>
          <w:sz w:val="32"/>
          <w:szCs w:val="32"/>
        </w:rPr>
        <w:t>澳大利亚、印度、日本、中东和北非以及东南亚</w:t>
      </w:r>
    </w:p>
    <w:p>
      <w:pPr>
        <w:pStyle w:val="BodyText"/>
        <w:spacing w:line="281" w:lineRule="auto"/>
      </w:pPr>
    </w:p>
    <w:p>
      <w:pPr>
        <w:spacing w:before="155" w:line="163" w:lineRule="auto"/>
        <w:ind w:left="1187"/>
        <w:rPr>
          <w:rFonts w:ascii="Microsoft YaHei" w:eastAsia="Microsoft YaHei" w:hAnsi="Microsoft YaHei" w:cs="Microsoft YaHei"/>
          <w:sz w:val="36"/>
          <w:szCs w:val="3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575997</wp:posOffset>
            </wp:positionH>
            <wp:positionV relativeFrom="paragraph">
              <wp:posOffset>31333</wp:posOffset>
            </wp:positionV>
            <wp:extent cx="648004" cy="622846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4" cy="62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bCs/>
          <w:color w:val="333333"/>
          <w:spacing w:val="-6"/>
          <w:position w:val="-4"/>
          <w:sz w:val="20"/>
          <w:szCs w:val="20"/>
        </w:rPr>
        <w:t xml:space="preserve">PART          </w:t>
      </w:r>
      <w:r>
        <w:rPr>
          <w:rFonts w:ascii="Microsoft YaHei" w:eastAsia="Microsoft YaHei" w:hAnsi="Microsoft YaHei" w:cs="Microsoft YaHei"/>
          <w:b/>
          <w:bCs/>
          <w:color w:val="FFFFFF"/>
          <w:spacing w:val="-6"/>
          <w:sz w:val="36"/>
          <w:szCs w:val="36"/>
        </w:rPr>
        <w:t>数字化议项：2024年税务合规</w:t>
      </w:r>
    </w:p>
    <w:p>
      <w:pPr>
        <w:spacing w:line="184" w:lineRule="auto"/>
        <w:ind w:left="1205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Trebuchet MS" w:eastAsia="Trebuchet MS" w:hAnsi="Trebuchet MS" w:cs="Trebuchet MS"/>
          <w:b/>
          <w:bCs/>
          <w:color w:val="333333"/>
          <w:position w:val="18"/>
          <w:sz w:val="20"/>
          <w:szCs w:val="20"/>
        </w:rPr>
        <w:t>TWO</w:t>
      </w:r>
      <w:r>
        <w:rPr>
          <w:rFonts w:ascii="Trebuchet MS" w:eastAsia="Trebuchet MS" w:hAnsi="Trebuchet MS" w:cs="Trebuchet MS"/>
          <w:b/>
          <w:bCs/>
          <w:color w:val="333333"/>
          <w:spacing w:val="3"/>
          <w:position w:val="18"/>
          <w:sz w:val="20"/>
          <w:szCs w:val="20"/>
        </w:rPr>
        <w:t xml:space="preserve">          </w:t>
      </w:r>
      <w:r>
        <w:rPr>
          <w:rFonts w:ascii="Microsoft YaHei" w:eastAsia="Microsoft YaHei" w:hAnsi="Microsoft YaHei" w:cs="Microsoft YaHei"/>
          <w:b/>
          <w:bCs/>
          <w:color w:val="FFFFFF"/>
          <w:spacing w:val="3"/>
          <w:sz w:val="36"/>
          <w:szCs w:val="36"/>
        </w:rPr>
        <w:t>和财务部门领导该如何准备</w:t>
      </w: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  <w:sectPr>
          <w:headerReference w:type="default" r:id="rId6"/>
          <w:pgSz w:w="11906" w:h="16838"/>
          <w:pgMar w:top="400" w:right="0" w:bottom="0" w:left="0" w:header="0" w:footer="0" w:gutter="0"/>
          <w:cols w:space="708"/>
        </w:sectPr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" w:line="215" w:lineRule="exact"/>
        <w:ind w:firstLine="8095"/>
      </w:pPr>
      <w:r>
        <w:rPr>
          <w:position w:val="-4"/>
        </w:rPr>
        <w:drawing>
          <wp:inline distT="0" distB="0" distL="0" distR="0">
            <wp:extent cx="1941690" cy="136321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1690" cy="13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5" w:lineRule="exact"/>
        <w:sectPr>
          <w:headerReference w:type="default" r:id="rId8"/>
          <w:type w:val="nextPage"/>
          <w:pgSz w:w="11906" w:h="16838"/>
          <w:pgMar w:top="400" w:right="0" w:bottom="0" w:left="0" w:header="0" w:footer="0" w:gutter="0"/>
          <w:pgNumType w:start="2"/>
          <w:cols w:space="708"/>
          <w:titlePg w:val="0"/>
        </w:sectPr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spacing w:before="257" w:line="181" w:lineRule="auto"/>
        <w:ind w:left="1728"/>
        <w:outlineLvl w:val="0"/>
        <w:rPr>
          <w:rFonts w:ascii="Microsoft YaHei" w:eastAsia="Microsoft YaHei" w:hAnsi="Microsoft YaHei" w:cs="Microsoft YaHei"/>
          <w:sz w:val="60"/>
          <w:szCs w:val="6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12</wp:posOffset>
            </wp:positionH>
            <wp:positionV relativeFrom="paragraph">
              <wp:posOffset>-2399202</wp:posOffset>
            </wp:positionV>
            <wp:extent cx="4451972" cy="3562197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972" cy="356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1"/>
      <w:bookmarkEnd w:id="0"/>
      <w:r>
        <w:rPr>
          <w:rFonts w:ascii="Microsoft YaHei" w:eastAsia="Microsoft YaHei" w:hAnsi="Microsoft YaHei" w:cs="Microsoft YaHei"/>
          <w:b/>
          <w:bCs/>
          <w:color w:val="404040"/>
          <w:spacing w:val="-7"/>
          <w:sz w:val="60"/>
          <w:szCs w:val="60"/>
        </w:rPr>
        <w:t>前言</w:t>
      </w:r>
    </w:p>
    <w:p>
      <w:pPr>
        <w:spacing w:before="227" w:line="198" w:lineRule="auto"/>
        <w:ind w:left="1712" w:right="171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2"/>
          <w:sz w:val="22"/>
          <w:szCs w:val="22"/>
        </w:rPr>
        <w:t>本人欣然向各位介绍我司 2023 年首个税务合规和法定报告数字化转型调查</w:t>
      </w:r>
      <w:r>
        <w:rPr>
          <w:rFonts w:ascii="Microsoft YaHei" w:eastAsia="Microsoft YaHei" w:hAnsi="Microsoft YaHei" w:cs="Microsoft YaHei"/>
          <w:color w:val="404040"/>
          <w:spacing w:val="-3"/>
          <w:sz w:val="22"/>
          <w:szCs w:val="22"/>
        </w:rPr>
        <w:t>报告。税务合</w:t>
      </w:r>
      <w:r>
        <w:rPr>
          <w:rFonts w:ascii="Microsoft YaHei" w:eastAsia="Microsoft YaHei" w:hAnsi="Microsoft YaHei" w:cs="Microsoft YaHei"/>
          <w:color w:val="40404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2"/>
          <w:sz w:val="22"/>
          <w:szCs w:val="22"/>
        </w:rPr>
        <w:t>规和法定报告专业人员正面临各种压力，而应对压力则需要适应力和创新力。</w:t>
      </w:r>
    </w:p>
    <w:p>
      <w:pPr>
        <w:spacing w:before="228" w:line="203" w:lineRule="auto"/>
        <w:ind w:left="1720" w:right="1756" w:hanging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9"/>
          <w:sz w:val="22"/>
          <w:szCs w:val="22"/>
        </w:rPr>
        <w:t>根据过往经验，诸如提升效率、提升价值、确保适时合规等传统意义上的期望，都</w:t>
      </w:r>
      <w:r>
        <w:rPr>
          <w:rFonts w:ascii="Microsoft YaHei" w:eastAsia="Microsoft YaHei" w:hAnsi="Microsoft YaHei" w:cs="Microsoft YaHei"/>
          <w:color w:val="404040"/>
          <w:spacing w:val="-10"/>
          <w:sz w:val="22"/>
          <w:szCs w:val="22"/>
        </w:rPr>
        <w:t>会推动更</w:t>
      </w:r>
      <w:r>
        <w:rPr>
          <w:rFonts w:ascii="Microsoft YaHei" w:eastAsia="Microsoft YaHei" w:hAnsi="Microsoft YaHei" w:cs="Microsoft YaHei"/>
          <w:color w:val="40404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7"/>
          <w:sz w:val="22"/>
          <w:szCs w:val="22"/>
        </w:rPr>
        <w:t>多使用技术工具。而当下监管环境不断变化，全球经济风云变幻，更进一步拓宽了创新空</w:t>
      </w:r>
      <w:r>
        <w:rPr>
          <w:rFonts w:ascii="Microsoft YaHei" w:eastAsia="Microsoft YaHei" w:hAnsi="Microsoft YaHei" w:cs="Microsoft YaHei"/>
          <w:color w:val="404040"/>
          <w:spacing w:val="2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color w:val="404040"/>
          <w:spacing w:val="-12"/>
          <w:sz w:val="22"/>
          <w:szCs w:val="22"/>
        </w:rPr>
        <w:t>间。</w:t>
      </w:r>
    </w:p>
    <w:p>
      <w:pPr>
        <w:spacing w:before="231" w:line="196" w:lineRule="auto"/>
        <w:ind w:left="1719" w:right="1758" w:hanging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4"/>
          <w:sz w:val="22"/>
          <w:szCs w:val="22"/>
        </w:rPr>
        <w:t>数字化转型正是这一演变的核心所在。数字化转型包括利用数字技术的进步，在组织的战</w:t>
      </w:r>
      <w:r>
        <w:rPr>
          <w:rFonts w:ascii="Microsoft YaHei" w:eastAsia="Microsoft YaHei" w:hAnsi="Microsoft YaHei" w:cs="Microsoft YaHei"/>
          <w:color w:val="404040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7"/>
          <w:sz w:val="22"/>
          <w:szCs w:val="22"/>
        </w:rPr>
        <w:t>略、流程和技术方面作出深刻转变。</w:t>
      </w:r>
    </w:p>
    <w:p>
      <w:pPr>
        <w:spacing w:before="234" w:line="203" w:lineRule="auto"/>
        <w:ind w:left="1709" w:right="1758" w:firstLine="3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4"/>
          <w:sz w:val="22"/>
          <w:szCs w:val="22"/>
        </w:rPr>
        <w:t>数字化转型可以归纳为自动化流程和集成工具，利用内容驱动类专业知识，并配合人工智</w:t>
      </w:r>
      <w:r>
        <w:rPr>
          <w:rFonts w:ascii="Microsoft YaHei" w:eastAsia="Microsoft YaHei" w:hAnsi="Microsoft YaHei" w:cs="Microsoft YaHei"/>
          <w:color w:val="404040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4"/>
          <w:sz w:val="22"/>
          <w:szCs w:val="22"/>
        </w:rPr>
        <w:t>能和机器人等尖端技术。企业的专业人士可借助数字化转型打破人工流程的限制，使效率</w:t>
      </w:r>
      <w:r>
        <w:rPr>
          <w:rFonts w:ascii="Microsoft YaHei" w:eastAsia="Microsoft YaHei" w:hAnsi="Microsoft YaHei" w:cs="Microsoft YaHei"/>
          <w:color w:val="404040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1"/>
          <w:sz w:val="22"/>
          <w:szCs w:val="22"/>
        </w:rPr>
        <w:t>和灵活性达到新层次。</w:t>
      </w:r>
    </w:p>
    <w:p>
      <w:pPr>
        <w:spacing w:before="230" w:line="203" w:lineRule="auto"/>
        <w:ind w:left="1712" w:right="1758" w:hanging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4"/>
          <w:sz w:val="22"/>
          <w:szCs w:val="22"/>
        </w:rPr>
        <w:t>鉴于全球范围内对实时数据的巨大需求，这促使决策者加快数字化策略的实施步伐。某些</w:t>
      </w:r>
      <w:r>
        <w:rPr>
          <w:rFonts w:ascii="Microsoft YaHei" w:eastAsia="Microsoft YaHei" w:hAnsi="Microsoft YaHei" w:cs="Microsoft YaHei"/>
          <w:color w:val="404040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7"/>
          <w:sz w:val="22"/>
          <w:szCs w:val="22"/>
        </w:rPr>
        <w:t>组织甚至力求打造优于政府、金融监管机构和税务机构的技术能力。除了合规之外，具有</w:t>
      </w:r>
      <w:r>
        <w:rPr>
          <w:rFonts w:ascii="Microsoft YaHei" w:eastAsia="Microsoft YaHei" w:hAnsi="Microsoft YaHei" w:cs="Microsoft YaHei"/>
          <w:color w:val="404040"/>
          <w:spacing w:val="7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color w:val="404040"/>
          <w:spacing w:val="1"/>
          <w:sz w:val="22"/>
          <w:szCs w:val="22"/>
        </w:rPr>
        <w:t>开拓精神的企业决策者正力图突破税务技术的极限。</w:t>
      </w:r>
    </w:p>
    <w:p>
      <w:pPr>
        <w:spacing w:before="235" w:line="197" w:lineRule="auto"/>
        <w:ind w:left="1709" w:right="1714" w:firstLine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2"/>
          <w:sz w:val="22"/>
          <w:szCs w:val="22"/>
        </w:rPr>
        <w:t>在此背景下，2023 年税务合规和法定报告数字化转型调查报告 系列内容将</w:t>
      </w:r>
      <w:r>
        <w:rPr>
          <w:rFonts w:ascii="Microsoft YaHei" w:eastAsia="Microsoft YaHei" w:hAnsi="Microsoft YaHei" w:cs="Microsoft YaHei"/>
          <w:color w:val="404040"/>
          <w:spacing w:val="-3"/>
          <w:sz w:val="22"/>
          <w:szCs w:val="22"/>
        </w:rPr>
        <w:t>展示税务合规</w:t>
      </w:r>
      <w:r>
        <w:rPr>
          <w:rFonts w:ascii="Microsoft YaHei" w:eastAsia="Microsoft YaHei" w:hAnsi="Microsoft YaHei" w:cs="Microsoft YaHei"/>
          <w:color w:val="40404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2"/>
          <w:sz w:val="22"/>
          <w:szCs w:val="22"/>
        </w:rPr>
        <w:t>和法定报告专业人士拥抱数字化变革的历程，为企业提供宝贵的内容资源。</w:t>
      </w:r>
    </w:p>
    <w:p>
      <w:pPr>
        <w:spacing w:before="228" w:line="204" w:lineRule="auto"/>
        <w:ind w:left="1711" w:right="1758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5"/>
          <w:sz w:val="22"/>
          <w:szCs w:val="22"/>
        </w:rPr>
        <w:t xml:space="preserve">报告调查结果将提供当前实践、方案和未来 12 个月优先事项等相关的宝贵见解。上述专  </w:t>
      </w:r>
      <w:r>
        <w:rPr>
          <w:rFonts w:ascii="Microsoft YaHei" w:eastAsia="Microsoft YaHei" w:hAnsi="Microsoft YaHei" w:cs="Microsoft YaHei"/>
          <w:color w:val="404040"/>
          <w:spacing w:val="-4"/>
          <w:sz w:val="22"/>
          <w:szCs w:val="22"/>
        </w:rPr>
        <w:t>业人士将推动税务技术路线图的创建，开创具有透明度的行业未来。该类数字化转型将带</w:t>
      </w:r>
      <w:r>
        <w:rPr>
          <w:rFonts w:ascii="Microsoft YaHei" w:eastAsia="Microsoft YaHei" w:hAnsi="Microsoft YaHei" w:cs="Microsoft YaHei"/>
          <w:color w:val="404040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color w:val="404040"/>
          <w:spacing w:val="-6"/>
          <w:sz w:val="22"/>
          <w:szCs w:val="22"/>
        </w:rPr>
        <w:t>来诸多益处，包括成就更紧密的监管关系、打造更高的品牌声誉等。</w:t>
      </w:r>
    </w:p>
    <w:p>
      <w:pPr>
        <w:pStyle w:val="BodyText"/>
        <w:spacing w:line="325" w:lineRule="auto"/>
      </w:pPr>
    </w:p>
    <w:p>
      <w:pPr>
        <w:pStyle w:val="BodyText"/>
        <w:spacing w:line="325" w:lineRule="auto"/>
      </w:pPr>
    </w:p>
    <w:p>
      <w:pPr>
        <w:spacing w:before="96" w:line="177" w:lineRule="auto"/>
        <w:ind w:left="17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3"/>
          <w:sz w:val="22"/>
          <w:szCs w:val="22"/>
        </w:rPr>
        <w:t>Carl Olson</w:t>
      </w:r>
    </w:p>
    <w:p>
      <w:pPr>
        <w:spacing w:before="50" w:line="176" w:lineRule="auto"/>
        <w:ind w:left="17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z w:val="22"/>
          <w:szCs w:val="22"/>
        </w:rPr>
        <w:t>提案部门副总裁</w:t>
      </w:r>
    </w:p>
    <w:p>
      <w:pPr>
        <w:spacing w:before="64" w:line="176" w:lineRule="auto"/>
        <w:ind w:left="171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color w:val="404040"/>
          <w:spacing w:val="-3"/>
          <w:sz w:val="22"/>
          <w:szCs w:val="22"/>
        </w:rPr>
        <w:t>汤森路透 - 亚洲和新兴市场</w:t>
      </w:r>
    </w:p>
    <w:p>
      <w:pPr>
        <w:pStyle w:val="BodyText"/>
        <w:spacing w:line="243" w:lineRule="auto"/>
        <w:sectPr>
          <w:headerReference w:type="default" r:id="rId10"/>
          <w:pgSz w:w="11906" w:h="16838"/>
          <w:pgMar w:top="400" w:right="0" w:bottom="0" w:left="0" w:header="0" w:footer="0" w:gutter="0"/>
          <w:pgNumType w:start="3"/>
          <w:cols w:space="708"/>
        </w:sectPr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77" w:line="175" w:lineRule="auto"/>
        <w:ind w:left="8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Segoe Script" w:eastAsia="Segoe Script" w:hAnsi="Segoe Script" w:cs="Segoe Script"/>
          <w:color w:val="AFAFAF"/>
          <w:spacing w:val="-8"/>
          <w:sz w:val="18"/>
          <w:szCs w:val="18"/>
        </w:rPr>
        <w:t>2</w:t>
      </w:r>
      <w:r>
        <w:rPr>
          <w:rFonts w:ascii="Segoe Script" w:eastAsia="Segoe Script" w:hAnsi="Segoe Script" w:cs="Segoe Script"/>
          <w:color w:val="AFAFAF"/>
          <w:spacing w:val="33"/>
          <w:sz w:val="18"/>
          <w:szCs w:val="18"/>
        </w:rPr>
        <w:t xml:space="preserve">  </w:t>
      </w:r>
      <w:r>
        <w:rPr>
          <w:rFonts w:ascii="Segoe Script" w:eastAsia="Segoe Script" w:hAnsi="Segoe Script" w:cs="Segoe Script"/>
          <w:color w:val="AFAFAF"/>
          <w:spacing w:val="-8"/>
          <w:sz w:val="18"/>
          <w:szCs w:val="18"/>
        </w:rPr>
        <w:t>PART</w:t>
      </w:r>
      <w:r>
        <w:rPr>
          <w:rFonts w:ascii="Segoe Script" w:eastAsia="Segoe Script" w:hAnsi="Segoe Script" w:cs="Segoe Script"/>
          <w:color w:val="AFAFAF"/>
          <w:spacing w:val="-23"/>
          <w:sz w:val="18"/>
          <w:szCs w:val="18"/>
        </w:rPr>
        <w:t xml:space="preserve"> </w:t>
      </w:r>
      <w:r>
        <w:rPr>
          <w:rFonts w:ascii="Segoe Script" w:eastAsia="Segoe Script" w:hAnsi="Segoe Script" w:cs="Segoe Script"/>
          <w:color w:val="AFAFAF"/>
          <w:spacing w:val="-8"/>
          <w:sz w:val="18"/>
          <w:szCs w:val="18"/>
        </w:rPr>
        <w:t>TWO:</w:t>
      </w:r>
      <w:r>
        <w:rPr>
          <w:rFonts w:ascii="Segoe Script" w:eastAsia="Segoe Script" w:hAnsi="Segoe Script" w:cs="Segoe Script"/>
          <w:color w:val="AFAFAF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color w:val="AFAFAF"/>
          <w:spacing w:val="-8"/>
          <w:sz w:val="18"/>
          <w:szCs w:val="18"/>
        </w:rPr>
        <w:t>数字化议项：2024 年税务合规和财务部门领导该如何准备</w:t>
      </w:r>
    </w:p>
    <w:p>
      <w:pPr>
        <w:spacing w:line="175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br/>
      </w:r>
      <w:r>
        <w:rPr>
          <w:rFonts w:ascii="Microsoft YaHei" w:eastAsia="Microsoft YaHei" w:hAnsi="Microsoft YaHei" w:cs="Microsoft YaHei"/>
          <w:sz w:val="18"/>
          <w:szCs w:val="1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https://d.book118.com/066043134051010033</w:t>
        </w:r>
      </w:hyperlink>
    </w:p>
    <w:p>
      <w:pPr>
        <w:spacing w:line="175" w:lineRule="auto"/>
        <w:rPr>
          <w:rFonts w:ascii="Microsoft YaHei" w:eastAsia="Microsoft YaHei" w:hAnsi="Microsoft YaHei" w:cs="Microsoft YaHei"/>
          <w:sz w:val="18"/>
          <w:szCs w:val="18"/>
        </w:rPr>
      </w:pPr>
    </w:p>
    <w:sectPr>
      <w:headerReference w:type="default" r:id="rId12"/>
      <w:type w:val="nextPage"/>
      <w:pgSz w:w="11906" w:h="16838"/>
      <w:pgMar w:top="400" w:right="0" w:bottom="0" w:left="0" w:header="0" w:footer="0" w:gutter="0"/>
      <w:pgNumType w:start="4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130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309" cy="1069213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2" o:spid="_x0000_s2049" style="width:595.3pt;height:841.9pt;margin-top:0;margin-left:0;mso-position-horizontal-relative:page;mso-position-vertical-relative:page;mso-wrap-distance-bottom:0;mso-wrap-distance-left:0;mso-wrap-distance-right:0;mso-wrap-distance-top:0;position:absolute;v-text-anchor:top;z-index:-251658240" o:allowincell="f" fillcolor="#e6e6e6" stroked="f"/>
          </w:pict>
        </mc:Fallback>
      </mc:AlternateContent>
    </w: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521999</wp:posOffset>
          </wp:positionH>
          <wp:positionV relativeFrom="page">
            <wp:posOffset>0</wp:posOffset>
          </wp:positionV>
          <wp:extent cx="7038006" cy="9571265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038006" cy="957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692130"/>
              <wp:effectExtent l="0" t="0" r="0" b="0"/>
              <wp:wrapNone/>
              <wp:docPr id="360927210" name="Rec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309" cy="1069213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2" o:spid="_x0000_s2050" style="width:595.3pt;height:841.9pt;margin-top:0;margin-left:0;mso-position-horizontal-relative:page;mso-position-vertical-relative:page;mso-wrap-distance-bottom:0;mso-wrap-distance-left:0;mso-wrap-distance-right:0;mso-wrap-distance-top:0;position:absolute;v-text-anchor:top;z-index:-251655168" o:allowincell="f" fillcolor="#e6e6e6" stroked="f"/>
          </w:pict>
        </mc:Fallback>
      </mc:AlternateContent>
    </w:r>
    <w: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521999</wp:posOffset>
          </wp:positionH>
          <wp:positionV relativeFrom="page">
            <wp:posOffset>0</wp:posOffset>
          </wp:positionV>
          <wp:extent cx="7038006" cy="9571265"/>
          <wp:effectExtent l="0" t="0" r="0" b="0"/>
          <wp:wrapNone/>
          <wp:docPr id="1863548418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48418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038006" cy="957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rect id="_x0000_s2051" style="width:595.3pt;height:841.9pt;margin-top:0;margin-left:0;mso-position-horizontal-relative:page;mso-position-vertical-relative:page;position:absolute;z-index:251664384" o:allowincell="f" filled="t" fillcolor="#e6e6e6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rect id="_x0000_s2052" style="width:595.3pt;height:841.9pt;margin-top:0;margin-left:0;mso-position-horizontal-relative:page;mso-position-vertical-relative:page;position:absolute;z-index:251665408" o:allowincell="f" filled="t" fillcolor="#e6e6e6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yperlink" Target="https://d.book118.com/066043134051010033" TargetMode="External" /><Relationship Id="rId12" Type="http://schemas.openxmlformats.org/officeDocument/2006/relationships/header" Target="head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image" Target="media/image4.png" /><Relationship Id="rId8" Type="http://schemas.openxmlformats.org/officeDocument/2006/relationships/header" Target="header2.xml" /><Relationship Id="rId9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Two: 数字化议项：2024 年税务合规和财务部门领导该如何准备</dc:title>
  <dc:creator>Thomson Reuters</dc:creator>
  <cp:revision>0</cp:revision>
  <dcterms:created xsi:type="dcterms:W3CDTF">2024-01-11T17:42:39Z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2024-01-11T17:50:57Z</vt:filetime>
  </property>
  <property fmtid="{D5CDD505-2E9C-101B-9397-08002B2CF9AE}" pid="3" name="CRO">
    <vt:lpwstr>wqlLaW5nc29mdCBQREYgdG8gV1BTIDkw</vt:lpwstr>
  </property>
</Properties>
</file>