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2018-2023年山西省财政税务专科学校高职单招（数学／语文／英语）历年常考试题库含答案解析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《论毅力》本文贯穿始终的论证方法是（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《米龙老爹》小说中米龙老爹的身份是（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A.法国军人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B.雇工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C.诺曼底农庄主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D.普鲁士军官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老舍最成功的话剧作品是（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A.《月牙儿》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C.《二马》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《种树郭橐驼传》采用的主要写作手法是（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A.类比方法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C.讽刺手法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《炉中煤》中，诗人用煤的燃烧来抒写自己的无私奉献精神，这种表现手法是（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A.托物言志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C.对比反衬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D.象征暗示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属于唐宋八大家的是（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B.刘禹锡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《张中丞传后叙》主要采用____的写法来补记许远的事迹（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《日出》的主题是（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A.偏重写人性的悲剧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B.写家庭悲剧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C.偏重对社会悲剧的揭示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D.写性格悲剧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抗战时期，郭沫若写有历史剧（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A.《蔡文姬》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D.《星空》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辛弃疾在《水龙吟（登建康赏心亭）》中自称（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A.塞上长城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C.千骑拥高牙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D.龙城飞将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艾青的成名作是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《氓》选自《诗经·国风》中的（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B.秦风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C.卫风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D.郑风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《我爱这土地》中诗人着力刻画的一个象征形象是（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A.土地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B.暴风雨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D.温柔的黎明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https://d.book118.com/066050203230010052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066050203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