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07A0D">
      <w:pPr>
        <w:jc w:val="center"/>
        <w:rPr>
          <w:rFonts w:ascii="宋体" w:hAnsi="宋体" w:cs="黑体"/>
          <w:sz w:val="44"/>
          <w:szCs w:val="44"/>
        </w:rPr>
      </w:pPr>
      <w:bookmarkStart w:id="0" w:name="_GoBack"/>
      <w:bookmarkEnd w:id="0"/>
      <w:r>
        <w:rPr>
          <w:rFonts w:ascii="宋体" w:hAnsi="宋体" w:cs="黑体" w:hint="eastAsia"/>
          <w:sz w:val="44"/>
          <w:szCs w:val="44"/>
        </w:rPr>
        <w:t>德商高速</w:t>
      </w:r>
      <w:r>
        <w:rPr>
          <w:rFonts w:ascii="宋体" w:hAnsi="宋体" w:cs="黑体" w:hint="eastAsia"/>
          <w:sz w:val="44"/>
          <w:szCs w:val="44"/>
        </w:rPr>
        <w:t>马路</w:t>
      </w:r>
      <w:r>
        <w:rPr>
          <w:rFonts w:ascii="宋体" w:hAnsi="宋体" w:cs="黑体" w:hint="eastAsia"/>
          <w:sz w:val="44"/>
          <w:szCs w:val="44"/>
        </w:rPr>
        <w:t>夏津至聊城段工程</w:t>
      </w:r>
    </w:p>
    <w:p w:rsidR="00507A0D">
      <w:pPr>
        <w:jc w:val="center"/>
        <w:rPr>
          <w:rFonts w:ascii="宋体" w:hAnsi="宋体" w:cs="黑体"/>
          <w:sz w:val="84"/>
          <w:szCs w:val="84"/>
        </w:rPr>
      </w:pPr>
    </w:p>
    <w:p w:rsidR="00507A0D">
      <w:pPr>
        <w:jc w:val="center"/>
        <w:rPr>
          <w:rFonts w:ascii="宋体" w:hAnsi="宋体" w:cs="黑体"/>
          <w:sz w:val="84"/>
          <w:szCs w:val="84"/>
        </w:rPr>
      </w:pPr>
    </w:p>
    <w:p w:rsidR="00507A0D">
      <w:pPr>
        <w:jc w:val="center"/>
        <w:rPr>
          <w:rFonts w:ascii="宋体" w:hAnsi="宋体" w:cs="黑体"/>
          <w:sz w:val="84"/>
          <w:szCs w:val="84"/>
        </w:rPr>
      </w:pPr>
      <w:r>
        <w:rPr>
          <w:rFonts w:ascii="宋体" w:hAnsi="宋体" w:cs="黑体" w:hint="eastAsia"/>
          <w:sz w:val="84"/>
          <w:szCs w:val="84"/>
        </w:rPr>
        <w:t>小型预制件施工标准化技术指南</w:t>
      </w:r>
    </w:p>
    <w:p w:rsidR="00507A0D">
      <w:pPr>
        <w:jc w:val="center"/>
        <w:rPr>
          <w:rFonts w:ascii="宋体" w:hAnsi="宋体" w:cs="黑体"/>
          <w:sz w:val="84"/>
          <w:szCs w:val="84"/>
        </w:rPr>
      </w:pPr>
    </w:p>
    <w:p w:rsidR="00507A0D">
      <w:pPr>
        <w:jc w:val="center"/>
        <w:rPr>
          <w:rFonts w:ascii="宋体" w:hAnsi="宋体" w:cs="黑体"/>
          <w:sz w:val="84"/>
          <w:szCs w:val="84"/>
        </w:rPr>
      </w:pPr>
    </w:p>
    <w:p w:rsidR="00507A0D">
      <w:pPr>
        <w:jc w:val="center"/>
        <w:rPr>
          <w:rFonts w:ascii="宋体" w:hAnsi="宋体" w:cs="黑体"/>
          <w:sz w:val="84"/>
          <w:szCs w:val="84"/>
        </w:rPr>
      </w:pPr>
    </w:p>
    <w:p w:rsidR="00507A0D">
      <w:pPr>
        <w:jc w:val="center"/>
        <w:rPr>
          <w:rFonts w:ascii="宋体" w:hAnsi="宋体" w:cs="黑体"/>
          <w:sz w:val="84"/>
          <w:szCs w:val="84"/>
        </w:rPr>
      </w:pPr>
    </w:p>
    <w:p w:rsidR="00507A0D">
      <w:pPr>
        <w:jc w:val="center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山东省交通工程监理</w:t>
      </w:r>
      <w:r>
        <w:rPr>
          <w:rFonts w:ascii="宋体" w:hAnsi="宋体" w:cs="宋体" w:hint="eastAsia"/>
          <w:sz w:val="32"/>
          <w:szCs w:val="32"/>
        </w:rPr>
        <w:t>询问</w:t>
      </w:r>
      <w:r>
        <w:rPr>
          <w:rFonts w:ascii="宋体" w:hAnsi="宋体" w:cs="宋体" w:hint="eastAsia"/>
          <w:sz w:val="32"/>
          <w:szCs w:val="32"/>
        </w:rPr>
        <w:t>公司</w:t>
      </w:r>
    </w:p>
    <w:p w:rsidR="00507A0D">
      <w:pPr>
        <w:pStyle w:val="TOC1"/>
        <w:rPr>
          <w:rFonts w:cs="宋体"/>
          <w:sz w:val="32"/>
          <w:szCs w:val="32"/>
        </w:rPr>
      </w:pPr>
      <w:r>
        <w:rPr>
          <w:rFonts w:cs="宋体" w:hint="eastAsia"/>
          <w:sz w:val="32"/>
          <w:szCs w:val="32"/>
        </w:rPr>
        <w:t>德商高速</w:t>
      </w:r>
      <w:r>
        <w:rPr>
          <w:rFonts w:cs="宋体" w:hint="eastAsia"/>
          <w:sz w:val="32"/>
          <w:szCs w:val="32"/>
        </w:rPr>
        <w:t>马路</w:t>
      </w:r>
      <w:r>
        <w:rPr>
          <w:rFonts w:cs="宋体" w:hint="eastAsia"/>
          <w:sz w:val="32"/>
          <w:szCs w:val="32"/>
        </w:rPr>
        <w:t xml:space="preserve">工程总监理工程办公室 </w:t>
      </w:r>
    </w:p>
    <w:p w:rsidR="00507A0D">
      <w:pPr>
        <w:pStyle w:val="TOC1"/>
        <w:rPr>
          <w:rFonts w:cs="宋体"/>
          <w:sz w:val="32"/>
          <w:szCs w:val="32"/>
        </w:rPr>
      </w:pPr>
      <w:r>
        <w:rPr>
          <w:rFonts w:cs="宋体" w:hint="eastAsia"/>
          <w:sz w:val="32"/>
          <w:szCs w:val="32"/>
        </w:rPr>
        <w:t>2014年9月</w:t>
      </w:r>
    </w:p>
    <w:p w:rsidR="00507A0D">
      <w:pPr>
        <w:pStyle w:val="TOC1"/>
        <w:rPr>
          <w:rFonts w:ascii="仿宋_GB2312" w:eastAsia="仿宋_GB2312"/>
          <w:sz w:val="30"/>
          <w:szCs w:val="30"/>
        </w:rPr>
      </w:pPr>
    </w:p>
    <w:p w:rsidR="00507A0D">
      <w:pPr>
        <w:pStyle w:val="TOC1"/>
        <w:jc w:val="both"/>
        <w:rPr>
          <w:rFonts w:ascii="仿宋_GB2312" w:eastAsia="仿宋_GB2312"/>
          <w:sz w:val="30"/>
          <w:szCs w:val="30"/>
        </w:rPr>
      </w:pPr>
    </w:p>
    <w:p w:rsidR="00507A0D">
      <w:pPr>
        <w:pStyle w:val="TOC1"/>
        <w:rPr>
          <w:rFonts w:ascii="仿宋_GB2312" w:eastAsia="仿宋_GB2312"/>
          <w:sz w:val="30"/>
          <w:szCs w:val="30"/>
        </w:rPr>
        <w:sectPr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12"/>
        </w:sectPr>
      </w:pPr>
    </w:p>
    <w:p w:rsidR="00507A0D">
      <w:pPr>
        <w:pStyle w:val="TOC1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</w:t>
      </w:r>
      <w:bookmarkStart w:id="1" w:name="_Toc320037615"/>
      <w:bookmarkStart w:id="2" w:name="_Toc320300318"/>
      <w:r>
        <w:rPr>
          <w:rFonts w:ascii="仿宋_GB2312" w:eastAsia="仿宋_GB2312" w:hint="eastAsia"/>
          <w:sz w:val="30"/>
          <w:szCs w:val="30"/>
        </w:rPr>
        <w:t>目 录</w:t>
      </w:r>
    </w:p>
    <w:p w:rsidR="00507A0D">
      <w:pPr>
        <w:pStyle w:val="TOC1"/>
        <w:spacing w:line="3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fldChar w:fldCharType="begin"/>
      </w:r>
      <w:r>
        <w:rPr>
          <w:rFonts w:ascii="仿宋_GB2312" w:eastAsia="仿宋_GB2312" w:hint="eastAsia"/>
          <w:sz w:val="30"/>
          <w:szCs w:val="30"/>
        </w:rPr>
        <w:instrText xml:space="preserve"> TOC \o "1-3" \h \z \u </w:instrText>
      </w:r>
      <w:r>
        <w:rPr>
          <w:rFonts w:ascii="仿宋_GB2312" w:eastAsia="仿宋_GB2312" w:hint="eastAsia"/>
          <w:sz w:val="30"/>
          <w:szCs w:val="30"/>
        </w:rPr>
        <w:fldChar w:fldCharType="separate"/>
      </w:r>
    </w:p>
    <w:p w:rsidR="00507A0D">
      <w:pPr>
        <w:pStyle w:val="TOC1"/>
        <w:spacing w:line="360" w:lineRule="exact"/>
        <w:rPr>
          <w:rFonts w:ascii="仿宋_GB2312" w:eastAsia="仿宋_GB2312"/>
          <w:sz w:val="30"/>
          <w:szCs w:val="30"/>
        </w:rPr>
      </w:pPr>
      <w:hyperlink w:anchor="_Toc321905704" w:history="1">
        <w:r w:rsidR="009D196D">
          <w:rPr>
            <w:rStyle w:val="Hyperlink"/>
            <w:rFonts w:ascii="仿宋_GB2312" w:eastAsia="仿宋_GB2312" w:hint="eastAsia"/>
            <w:sz w:val="30"/>
            <w:szCs w:val="30"/>
          </w:rPr>
          <w:t>第一章 施工</w:t>
        </w:r>
        <w:r w:rsidR="009D196D">
          <w:rPr>
            <w:rStyle w:val="Hyperlink"/>
            <w:rFonts w:ascii="仿宋_GB2312" w:eastAsia="仿宋_GB2312" w:hint="eastAsia"/>
            <w:sz w:val="30"/>
            <w:szCs w:val="30"/>
          </w:rPr>
          <w:t>打算</w:t>
        </w:r>
        <w:r w:rsidR="009D196D">
          <w:rPr>
            <w:rFonts w:ascii="仿宋_GB2312" w:eastAsia="仿宋_GB2312" w:hint="eastAsia"/>
            <w:sz w:val="30"/>
            <w:szCs w:val="30"/>
          </w:rPr>
          <w:tab/>
          <w:t>1</w:t>
        </w:r>
      </w:hyperlink>
    </w:p>
    <w:p w:rsidR="00507A0D">
      <w:pPr>
        <w:pStyle w:val="TOC2"/>
        <w:tabs>
          <w:tab w:val="right" w:leader="dot" w:pos="8296"/>
        </w:tabs>
        <w:spacing w:line="360" w:lineRule="exact"/>
        <w:rPr>
          <w:rFonts w:ascii="仿宋_GB2312" w:eastAsia="仿宋_GB2312" w:hAnsi="宋体"/>
          <w:sz w:val="30"/>
          <w:szCs w:val="30"/>
        </w:rPr>
      </w:pPr>
      <w:hyperlink w:anchor="_Toc321905705" w:history="1"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1.1工程概况</w:t>
        </w:r>
        <w:r w:rsidR="009D196D">
          <w:rPr>
            <w:rFonts w:ascii="仿宋_GB2312" w:eastAsia="仿宋_GB2312" w:hAnsi="宋体" w:hint="eastAsia"/>
            <w:sz w:val="30"/>
            <w:szCs w:val="30"/>
          </w:rPr>
          <w:tab/>
          <w:t>1</w:t>
        </w:r>
      </w:hyperlink>
    </w:p>
    <w:p w:rsidR="00507A0D">
      <w:pPr>
        <w:pStyle w:val="TOC2"/>
        <w:tabs>
          <w:tab w:val="right" w:leader="dot" w:pos="8296"/>
        </w:tabs>
        <w:spacing w:line="360" w:lineRule="exact"/>
        <w:rPr>
          <w:rFonts w:ascii="仿宋_GB2312" w:eastAsia="仿宋_GB2312" w:hAnsi="宋体"/>
          <w:sz w:val="30"/>
          <w:szCs w:val="30"/>
        </w:rPr>
      </w:pPr>
      <w:hyperlink w:anchor="_Toc321905706" w:history="1"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1.2施工场地建设</w:t>
        </w:r>
        <w:r w:rsidR="009D196D">
          <w:rPr>
            <w:rFonts w:ascii="仿宋_GB2312" w:eastAsia="仿宋_GB2312" w:hAnsi="宋体" w:hint="eastAsia"/>
            <w:sz w:val="30"/>
            <w:szCs w:val="30"/>
          </w:rPr>
          <w:tab/>
        </w:r>
        <w:r w:rsidR="009D196D">
          <w:rPr>
            <w:rFonts w:ascii="仿宋_GB2312" w:eastAsia="仿宋_GB2312" w:hAnsi="宋体" w:hint="eastAsia"/>
            <w:sz w:val="30"/>
            <w:szCs w:val="30"/>
          </w:rPr>
          <w:fldChar w:fldCharType="begin"/>
        </w:r>
        <w:r w:rsidR="009D196D">
          <w:rPr>
            <w:rFonts w:ascii="仿宋_GB2312" w:eastAsia="仿宋_GB2312" w:hAnsi="宋体" w:hint="eastAsia"/>
            <w:sz w:val="30"/>
            <w:szCs w:val="30"/>
          </w:rPr>
          <w:instrText xml:space="preserve"> PAGEREF _Toc321905706 \h </w:instrText>
        </w:r>
        <w:r w:rsidR="009D196D">
          <w:rPr>
            <w:rFonts w:ascii="仿宋_GB2312" w:eastAsia="仿宋_GB2312" w:hAnsi="宋体" w:hint="eastAsia"/>
            <w:sz w:val="30"/>
            <w:szCs w:val="30"/>
          </w:rPr>
          <w:fldChar w:fldCharType="separate"/>
        </w:r>
        <w:r w:rsidR="009D196D">
          <w:rPr>
            <w:rFonts w:ascii="仿宋_GB2312" w:eastAsia="仿宋_GB2312" w:hAnsi="宋体"/>
            <w:sz w:val="30"/>
            <w:szCs w:val="30"/>
          </w:rPr>
          <w:t>1</w:t>
        </w:r>
        <w:r w:rsidR="009D196D">
          <w:rPr>
            <w:rFonts w:ascii="仿宋_GB2312" w:eastAsia="仿宋_GB2312" w:hAnsi="宋体" w:hint="eastAsia"/>
            <w:sz w:val="30"/>
            <w:szCs w:val="30"/>
          </w:rPr>
          <w:fldChar w:fldCharType="end"/>
        </w:r>
      </w:hyperlink>
    </w:p>
    <w:p w:rsidR="00507A0D">
      <w:pPr>
        <w:pStyle w:val="TOC2"/>
        <w:tabs>
          <w:tab w:val="right" w:leader="dot" w:pos="8296"/>
        </w:tabs>
        <w:spacing w:line="360" w:lineRule="exact"/>
        <w:rPr>
          <w:rFonts w:ascii="仿宋_GB2312" w:eastAsia="仿宋_GB2312" w:hAnsi="宋体"/>
          <w:sz w:val="30"/>
          <w:szCs w:val="30"/>
        </w:rPr>
      </w:pPr>
      <w:hyperlink w:anchor="_Toc321905707" w:history="1"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1.3主要材料</w:t>
        </w:r>
        <w:r w:rsidR="009D196D">
          <w:rPr>
            <w:rFonts w:ascii="仿宋_GB2312" w:eastAsia="仿宋_GB2312" w:hAnsi="宋体" w:hint="eastAsia"/>
            <w:sz w:val="30"/>
            <w:szCs w:val="30"/>
          </w:rPr>
          <w:tab/>
        </w:r>
      </w:hyperlink>
      <w:r w:rsidR="009D196D">
        <w:rPr>
          <w:rFonts w:ascii="仿宋_GB2312" w:eastAsia="仿宋_GB2312" w:hAnsi="宋体" w:hint="eastAsia"/>
          <w:sz w:val="30"/>
          <w:szCs w:val="30"/>
        </w:rPr>
        <w:t>2</w:t>
      </w:r>
    </w:p>
    <w:p w:rsidR="00507A0D">
      <w:pPr>
        <w:pStyle w:val="TOC1"/>
        <w:spacing w:line="360" w:lineRule="exact"/>
        <w:rPr>
          <w:rFonts w:ascii="仿宋_GB2312" w:eastAsia="仿宋_GB2312"/>
          <w:sz w:val="30"/>
          <w:szCs w:val="30"/>
        </w:rPr>
      </w:pPr>
      <w:hyperlink w:anchor="_Toc321905708" w:history="1">
        <w:r w:rsidR="009D196D">
          <w:rPr>
            <w:rStyle w:val="Hyperlink"/>
            <w:rFonts w:ascii="仿宋_GB2312" w:eastAsia="仿宋_GB2312" w:hint="eastAsia"/>
            <w:sz w:val="30"/>
            <w:szCs w:val="30"/>
          </w:rPr>
          <w:t>其次</w:t>
        </w:r>
        <w:r w:rsidR="009D196D">
          <w:rPr>
            <w:rStyle w:val="Hyperlink"/>
            <w:rFonts w:ascii="仿宋_GB2312" w:eastAsia="仿宋_GB2312" w:hint="eastAsia"/>
            <w:sz w:val="30"/>
            <w:szCs w:val="30"/>
          </w:rPr>
          <w:t>章 小型预制构件施工工艺</w:t>
        </w:r>
        <w:r w:rsidR="009D196D">
          <w:rPr>
            <w:rFonts w:ascii="仿宋_GB2312" w:eastAsia="仿宋_GB2312" w:hint="eastAsia"/>
            <w:sz w:val="30"/>
            <w:szCs w:val="30"/>
          </w:rPr>
          <w:tab/>
          <w:t>9</w:t>
        </w:r>
      </w:hyperlink>
    </w:p>
    <w:p w:rsidR="00507A0D">
      <w:pPr>
        <w:pStyle w:val="TOC2"/>
        <w:tabs>
          <w:tab w:val="right" w:leader="dot" w:pos="8296"/>
        </w:tabs>
        <w:spacing w:line="360" w:lineRule="exact"/>
        <w:rPr>
          <w:rFonts w:ascii="仿宋_GB2312" w:eastAsia="仿宋_GB2312" w:hAnsi="宋体"/>
          <w:sz w:val="30"/>
          <w:szCs w:val="30"/>
        </w:rPr>
      </w:pPr>
      <w:hyperlink w:anchor="_Toc321905709" w:history="1"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2.1施工工艺流程</w:t>
        </w:r>
        <w:r w:rsidR="009D196D">
          <w:rPr>
            <w:rFonts w:ascii="仿宋_GB2312" w:eastAsia="仿宋_GB2312" w:hAnsi="宋体" w:hint="eastAsia"/>
            <w:sz w:val="30"/>
            <w:szCs w:val="30"/>
          </w:rPr>
          <w:tab/>
          <w:t>9</w:t>
        </w:r>
      </w:hyperlink>
    </w:p>
    <w:p w:rsidR="00507A0D">
      <w:pPr>
        <w:pStyle w:val="TOC2"/>
        <w:tabs>
          <w:tab w:val="right" w:leader="dot" w:pos="8296"/>
        </w:tabs>
        <w:spacing w:line="360" w:lineRule="exact"/>
        <w:rPr>
          <w:rFonts w:ascii="仿宋_GB2312" w:eastAsia="仿宋_GB2312" w:hAnsi="宋体"/>
          <w:sz w:val="30"/>
          <w:szCs w:val="30"/>
        </w:rPr>
      </w:pPr>
      <w:hyperlink w:anchor="_Toc321905710" w:history="1"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2.2砼的拌制</w:t>
        </w:r>
        <w:r w:rsidR="009D196D">
          <w:rPr>
            <w:rFonts w:ascii="仿宋_GB2312" w:eastAsia="仿宋_GB2312" w:hAnsi="宋体" w:hint="eastAsia"/>
            <w:sz w:val="30"/>
            <w:szCs w:val="30"/>
          </w:rPr>
          <w:tab/>
          <w:t>9</w:t>
        </w:r>
      </w:hyperlink>
    </w:p>
    <w:p w:rsidR="00507A0D">
      <w:pPr>
        <w:pStyle w:val="TOC2"/>
        <w:tabs>
          <w:tab w:val="right" w:leader="dot" w:pos="8296"/>
        </w:tabs>
        <w:spacing w:line="360" w:lineRule="exact"/>
        <w:rPr>
          <w:rFonts w:ascii="仿宋_GB2312" w:eastAsia="仿宋_GB2312" w:hAnsi="宋体"/>
          <w:sz w:val="30"/>
          <w:szCs w:val="30"/>
        </w:rPr>
      </w:pPr>
      <w:hyperlink w:anchor="_Toc321905711" w:history="1"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2.3小型预制构件的浇筑</w:t>
        </w:r>
        <w:r w:rsidR="009D196D">
          <w:rPr>
            <w:rFonts w:ascii="仿宋_GB2312" w:eastAsia="仿宋_GB2312" w:hAnsi="宋体" w:hint="eastAsia"/>
            <w:sz w:val="30"/>
            <w:szCs w:val="30"/>
          </w:rPr>
          <w:tab/>
          <w:t>10</w:t>
        </w:r>
      </w:hyperlink>
    </w:p>
    <w:p w:rsidR="00507A0D">
      <w:pPr>
        <w:pStyle w:val="TOC2"/>
        <w:tabs>
          <w:tab w:val="right" w:leader="dot" w:pos="8296"/>
        </w:tabs>
        <w:spacing w:line="360" w:lineRule="exact"/>
        <w:rPr>
          <w:rFonts w:ascii="仿宋_GB2312" w:eastAsia="仿宋_GB2312" w:hAnsi="宋体"/>
          <w:sz w:val="30"/>
          <w:szCs w:val="30"/>
        </w:rPr>
      </w:pPr>
      <w:hyperlink w:anchor="_Toc321905712" w:history="1"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2.4养护</w:t>
        </w:r>
        <w:r w:rsidR="009D196D">
          <w:rPr>
            <w:rFonts w:ascii="仿宋_GB2312" w:eastAsia="仿宋_GB2312" w:hAnsi="宋体" w:hint="eastAsia"/>
            <w:sz w:val="30"/>
            <w:szCs w:val="30"/>
          </w:rPr>
          <w:tab/>
          <w:t>12</w:t>
        </w:r>
      </w:hyperlink>
    </w:p>
    <w:p w:rsidR="00507A0D">
      <w:pPr>
        <w:pStyle w:val="TOC2"/>
        <w:tabs>
          <w:tab w:val="right" w:leader="dot" w:pos="8296"/>
        </w:tabs>
        <w:spacing w:line="360" w:lineRule="exact"/>
        <w:rPr>
          <w:rFonts w:ascii="仿宋_GB2312" w:eastAsia="仿宋_GB2312" w:hAnsi="宋体"/>
          <w:sz w:val="30"/>
          <w:szCs w:val="30"/>
        </w:rPr>
      </w:pPr>
      <w:hyperlink w:anchor="_Toc321905713" w:history="1"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2.5小型预制构件脱模和打包</w:t>
        </w:r>
        <w:r w:rsidR="009D196D">
          <w:rPr>
            <w:rFonts w:ascii="仿宋_GB2312" w:eastAsia="仿宋_GB2312" w:hAnsi="宋体" w:hint="eastAsia"/>
            <w:sz w:val="30"/>
            <w:szCs w:val="30"/>
          </w:rPr>
          <w:tab/>
          <w:t>12</w:t>
        </w:r>
      </w:hyperlink>
    </w:p>
    <w:p w:rsidR="00507A0D">
      <w:pPr>
        <w:pStyle w:val="TOC2"/>
        <w:tabs>
          <w:tab w:val="right" w:leader="dot" w:pos="8296"/>
        </w:tabs>
        <w:spacing w:line="360" w:lineRule="exact"/>
        <w:rPr>
          <w:rFonts w:ascii="仿宋_GB2312" w:eastAsia="仿宋_GB2312" w:hAnsi="宋体"/>
          <w:sz w:val="30"/>
          <w:szCs w:val="30"/>
        </w:rPr>
      </w:pPr>
      <w:hyperlink w:anchor="_Toc321905715" w:history="1"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2.6小型预制构件验收</w:t>
        </w:r>
        <w:r w:rsidR="009D196D">
          <w:rPr>
            <w:rFonts w:ascii="仿宋_GB2312" w:eastAsia="仿宋_GB2312" w:hAnsi="宋体" w:hint="eastAsia"/>
            <w:sz w:val="30"/>
            <w:szCs w:val="30"/>
          </w:rPr>
          <w:tab/>
          <w:t>14</w:t>
        </w:r>
      </w:hyperlink>
    </w:p>
    <w:p w:rsidR="00507A0D">
      <w:pPr>
        <w:pStyle w:val="TOC2"/>
        <w:tabs>
          <w:tab w:val="right" w:leader="dot" w:pos="8296"/>
        </w:tabs>
        <w:spacing w:line="360" w:lineRule="exact"/>
        <w:rPr>
          <w:rFonts w:ascii="仿宋_GB2312" w:eastAsia="仿宋_GB2312" w:hAnsi="宋体"/>
          <w:sz w:val="30"/>
          <w:szCs w:val="30"/>
        </w:rPr>
      </w:pPr>
      <w:hyperlink w:anchor="_Toc321905716" w:history="1"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2.7运输</w:t>
        </w:r>
        <w:r w:rsidR="009D196D">
          <w:rPr>
            <w:rFonts w:ascii="仿宋_GB2312" w:eastAsia="仿宋_GB2312" w:hAnsi="宋体" w:hint="eastAsia"/>
            <w:sz w:val="30"/>
            <w:szCs w:val="30"/>
          </w:rPr>
          <w:tab/>
          <w:t>15</w:t>
        </w:r>
      </w:hyperlink>
    </w:p>
    <w:p w:rsidR="00507A0D">
      <w:pPr>
        <w:pStyle w:val="TOC2"/>
        <w:tabs>
          <w:tab w:val="right" w:leader="dot" w:pos="8296"/>
        </w:tabs>
        <w:spacing w:line="360" w:lineRule="exact"/>
        <w:rPr>
          <w:rFonts w:ascii="仿宋_GB2312" w:eastAsia="仿宋_GB2312" w:hAnsi="宋体"/>
          <w:sz w:val="30"/>
          <w:szCs w:val="30"/>
        </w:rPr>
      </w:pPr>
      <w:hyperlink w:anchor="_Toc321905716" w:history="1"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2.8小型构件安装</w:t>
        </w:r>
        <w:r w:rsidR="009D196D">
          <w:rPr>
            <w:rFonts w:ascii="仿宋_GB2312" w:eastAsia="仿宋_GB2312" w:hAnsi="宋体" w:hint="eastAsia"/>
            <w:sz w:val="30"/>
            <w:szCs w:val="30"/>
          </w:rPr>
          <w:tab/>
          <w:t>15</w:t>
        </w:r>
      </w:hyperlink>
    </w:p>
    <w:p w:rsidR="00507A0D">
      <w:pPr>
        <w:pStyle w:val="TOC1"/>
        <w:spacing w:line="360" w:lineRule="exact"/>
        <w:rPr>
          <w:rFonts w:ascii="仿宋_GB2312" w:eastAsia="仿宋_GB2312"/>
          <w:sz w:val="30"/>
          <w:szCs w:val="30"/>
        </w:rPr>
      </w:pPr>
      <w:hyperlink w:anchor="_Toc321905731" w:history="1">
        <w:r w:rsidR="009D196D">
          <w:rPr>
            <w:rStyle w:val="Hyperlink"/>
            <w:rFonts w:ascii="仿宋_GB2312" w:eastAsia="仿宋_GB2312" w:hint="eastAsia"/>
            <w:sz w:val="30"/>
            <w:szCs w:val="30"/>
          </w:rPr>
          <w:t>第三章 质量管理措施</w:t>
        </w:r>
        <w:r w:rsidR="009D196D">
          <w:rPr>
            <w:rFonts w:ascii="仿宋_GB2312" w:eastAsia="仿宋_GB2312" w:hint="eastAsia"/>
            <w:sz w:val="30"/>
            <w:szCs w:val="30"/>
          </w:rPr>
          <w:tab/>
        </w:r>
        <w:r w:rsidR="009D196D">
          <w:rPr>
            <w:rFonts w:ascii="仿宋_GB2312" w:eastAsia="仿宋_GB2312" w:hint="eastAsia"/>
            <w:sz w:val="30"/>
            <w:szCs w:val="30"/>
          </w:rPr>
          <w:fldChar w:fldCharType="begin"/>
        </w:r>
        <w:r w:rsidR="009D196D">
          <w:rPr>
            <w:rFonts w:ascii="仿宋_GB2312" w:eastAsia="仿宋_GB2312" w:hint="eastAsia"/>
            <w:sz w:val="30"/>
            <w:szCs w:val="30"/>
          </w:rPr>
          <w:instrText xml:space="preserve"> PAGEREF _Toc321905731 \h </w:instrText>
        </w:r>
        <w:r w:rsidR="009D196D">
          <w:rPr>
            <w:rFonts w:ascii="仿宋_GB2312" w:eastAsia="仿宋_GB2312" w:hint="eastAsia"/>
            <w:sz w:val="30"/>
            <w:szCs w:val="30"/>
          </w:rPr>
          <w:fldChar w:fldCharType="separate"/>
        </w:r>
        <w:r w:rsidR="009D196D">
          <w:rPr>
            <w:rFonts w:ascii="仿宋_GB2312" w:eastAsia="仿宋_GB2312"/>
            <w:sz w:val="30"/>
            <w:szCs w:val="30"/>
          </w:rPr>
          <w:t>1</w:t>
        </w:r>
        <w:r w:rsidR="009D196D">
          <w:rPr>
            <w:rFonts w:ascii="仿宋_GB2312" w:eastAsia="仿宋_GB2312" w:hint="eastAsia"/>
            <w:sz w:val="30"/>
            <w:szCs w:val="30"/>
          </w:rPr>
          <w:t>7</w:t>
        </w:r>
        <w:r w:rsidR="009D196D">
          <w:rPr>
            <w:rFonts w:ascii="仿宋_GB2312" w:eastAsia="仿宋_GB2312" w:hint="eastAsia"/>
            <w:sz w:val="30"/>
            <w:szCs w:val="30"/>
          </w:rPr>
          <w:fldChar w:fldCharType="end"/>
        </w:r>
      </w:hyperlink>
    </w:p>
    <w:p w:rsidR="00507A0D">
      <w:pPr>
        <w:pStyle w:val="TOC1"/>
        <w:spacing w:line="360" w:lineRule="exact"/>
        <w:rPr>
          <w:rFonts w:ascii="仿宋_GB2312" w:eastAsia="仿宋_GB2312"/>
          <w:sz w:val="30"/>
          <w:szCs w:val="30"/>
        </w:rPr>
      </w:pPr>
      <w:hyperlink w:anchor="_Toc321905732" w:history="1">
        <w:r w:rsidR="009D196D">
          <w:rPr>
            <w:rStyle w:val="Hyperlink"/>
            <w:rFonts w:ascii="仿宋_GB2312" w:eastAsia="仿宋_GB2312" w:hint="eastAsia"/>
            <w:sz w:val="30"/>
            <w:szCs w:val="30"/>
          </w:rPr>
          <w:t xml:space="preserve">第四章 </w:t>
        </w:r>
        <w:r w:rsidR="009D196D">
          <w:rPr>
            <w:rStyle w:val="Hyperlink"/>
            <w:rFonts w:ascii="仿宋_GB2312" w:eastAsia="仿宋_GB2312" w:hint="eastAsia"/>
            <w:sz w:val="30"/>
            <w:szCs w:val="30"/>
          </w:rPr>
          <w:t>平安</w:t>
        </w:r>
        <w:r w:rsidR="009D196D">
          <w:rPr>
            <w:rStyle w:val="Hyperlink"/>
            <w:rFonts w:ascii="仿宋_GB2312" w:eastAsia="仿宋_GB2312" w:hint="eastAsia"/>
            <w:sz w:val="30"/>
            <w:szCs w:val="30"/>
          </w:rPr>
          <w:t>生产、文明施工</w:t>
        </w:r>
        <w:r w:rsidR="009D196D">
          <w:rPr>
            <w:rFonts w:ascii="仿宋_GB2312" w:eastAsia="仿宋_GB2312" w:hint="eastAsia"/>
            <w:sz w:val="30"/>
            <w:szCs w:val="30"/>
          </w:rPr>
          <w:tab/>
        </w:r>
        <w:r w:rsidR="009D196D">
          <w:rPr>
            <w:rFonts w:ascii="仿宋_GB2312" w:eastAsia="仿宋_GB2312" w:hint="eastAsia"/>
            <w:sz w:val="30"/>
            <w:szCs w:val="30"/>
          </w:rPr>
          <w:fldChar w:fldCharType="begin"/>
        </w:r>
        <w:r w:rsidR="009D196D">
          <w:rPr>
            <w:rFonts w:ascii="仿宋_GB2312" w:eastAsia="仿宋_GB2312" w:hint="eastAsia"/>
            <w:sz w:val="30"/>
            <w:szCs w:val="30"/>
          </w:rPr>
          <w:instrText xml:space="preserve"> PAGEREF _Toc321905732 \h </w:instrText>
        </w:r>
        <w:r w:rsidR="009D196D">
          <w:rPr>
            <w:rFonts w:ascii="仿宋_GB2312" w:eastAsia="仿宋_GB2312" w:hint="eastAsia"/>
            <w:sz w:val="30"/>
            <w:szCs w:val="30"/>
          </w:rPr>
          <w:fldChar w:fldCharType="separate"/>
        </w:r>
        <w:r w:rsidR="009D196D">
          <w:rPr>
            <w:rFonts w:ascii="仿宋_GB2312" w:eastAsia="仿宋_GB2312"/>
            <w:sz w:val="30"/>
            <w:szCs w:val="30"/>
          </w:rPr>
          <w:t>1</w:t>
        </w:r>
        <w:r w:rsidR="009D196D">
          <w:rPr>
            <w:rFonts w:ascii="仿宋_GB2312" w:eastAsia="仿宋_GB2312" w:hint="eastAsia"/>
            <w:sz w:val="30"/>
            <w:szCs w:val="30"/>
          </w:rPr>
          <w:t>8</w:t>
        </w:r>
        <w:r w:rsidR="009D196D">
          <w:rPr>
            <w:rFonts w:ascii="仿宋_GB2312" w:eastAsia="仿宋_GB2312" w:hint="eastAsia"/>
            <w:sz w:val="30"/>
            <w:szCs w:val="30"/>
          </w:rPr>
          <w:fldChar w:fldCharType="end"/>
        </w:r>
      </w:hyperlink>
    </w:p>
    <w:p w:rsidR="00507A0D">
      <w:pPr>
        <w:pStyle w:val="TOC2"/>
        <w:tabs>
          <w:tab w:val="right" w:leader="dot" w:pos="8296"/>
        </w:tabs>
        <w:spacing w:line="360" w:lineRule="exact"/>
        <w:rPr>
          <w:rFonts w:ascii="仿宋_GB2312" w:eastAsia="仿宋_GB2312" w:hAnsi="宋体"/>
          <w:sz w:val="30"/>
          <w:szCs w:val="30"/>
        </w:rPr>
      </w:pPr>
      <w:hyperlink w:anchor="_Toc321905733" w:history="1"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4.1施工现场</w:t>
        </w:r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平安</w:t>
        </w:r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限制</w:t>
        </w:r>
        <w:r w:rsidR="009D196D">
          <w:rPr>
            <w:rFonts w:ascii="仿宋_GB2312" w:eastAsia="仿宋_GB2312" w:hAnsi="宋体" w:hint="eastAsia"/>
            <w:sz w:val="30"/>
            <w:szCs w:val="30"/>
          </w:rPr>
          <w:tab/>
        </w:r>
        <w:r w:rsidR="009D196D">
          <w:rPr>
            <w:rFonts w:ascii="仿宋_GB2312" w:eastAsia="仿宋_GB2312" w:hAnsi="宋体" w:hint="eastAsia"/>
            <w:sz w:val="30"/>
            <w:szCs w:val="30"/>
          </w:rPr>
          <w:fldChar w:fldCharType="begin"/>
        </w:r>
        <w:r w:rsidR="009D196D">
          <w:rPr>
            <w:rFonts w:ascii="仿宋_GB2312" w:eastAsia="仿宋_GB2312" w:hAnsi="宋体" w:hint="eastAsia"/>
            <w:sz w:val="30"/>
            <w:szCs w:val="30"/>
          </w:rPr>
          <w:instrText xml:space="preserve"> PAGEREF _Toc321905733 \h </w:instrText>
        </w:r>
        <w:r w:rsidR="009D196D">
          <w:rPr>
            <w:rFonts w:ascii="仿宋_GB2312" w:eastAsia="仿宋_GB2312" w:hAnsi="宋体" w:hint="eastAsia"/>
            <w:sz w:val="30"/>
            <w:szCs w:val="30"/>
          </w:rPr>
          <w:fldChar w:fldCharType="separate"/>
        </w:r>
        <w:r w:rsidR="009D196D">
          <w:rPr>
            <w:rFonts w:ascii="仿宋_GB2312" w:eastAsia="仿宋_GB2312" w:hAnsi="宋体"/>
            <w:sz w:val="30"/>
            <w:szCs w:val="30"/>
          </w:rPr>
          <w:t>1</w:t>
        </w:r>
        <w:r w:rsidR="009D196D">
          <w:rPr>
            <w:rFonts w:ascii="仿宋_GB2312" w:eastAsia="仿宋_GB2312" w:hAnsi="宋体" w:hint="eastAsia"/>
            <w:sz w:val="30"/>
            <w:szCs w:val="30"/>
          </w:rPr>
          <w:t>8</w:t>
        </w:r>
        <w:r w:rsidR="009D196D">
          <w:rPr>
            <w:rFonts w:ascii="仿宋_GB2312" w:eastAsia="仿宋_GB2312" w:hAnsi="宋体" w:hint="eastAsia"/>
            <w:sz w:val="30"/>
            <w:szCs w:val="30"/>
          </w:rPr>
          <w:fldChar w:fldCharType="end"/>
        </w:r>
      </w:hyperlink>
    </w:p>
    <w:p w:rsidR="00507A0D">
      <w:pPr>
        <w:pStyle w:val="TOC2"/>
        <w:tabs>
          <w:tab w:val="right" w:leader="dot" w:pos="8296"/>
        </w:tabs>
        <w:spacing w:line="360" w:lineRule="exact"/>
        <w:rPr>
          <w:rFonts w:ascii="仿宋_GB2312" w:eastAsia="仿宋_GB2312" w:hAnsi="宋体"/>
          <w:sz w:val="30"/>
          <w:szCs w:val="30"/>
        </w:rPr>
      </w:pPr>
      <w:hyperlink w:anchor="_Toc321905734" w:history="1"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4.2生活区</w:t>
        </w:r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平安</w:t>
        </w:r>
        <w:r w:rsidR="009D196D">
          <w:rPr>
            <w:rFonts w:ascii="仿宋_GB2312" w:eastAsia="仿宋_GB2312" w:hAnsi="宋体" w:hint="eastAsia"/>
            <w:sz w:val="30"/>
            <w:szCs w:val="30"/>
          </w:rPr>
          <w:tab/>
          <w:t>20</w:t>
        </w:r>
      </w:hyperlink>
    </w:p>
    <w:p w:rsidR="00507A0D">
      <w:pPr>
        <w:pStyle w:val="TOC2"/>
        <w:tabs>
          <w:tab w:val="right" w:leader="dot" w:pos="8296"/>
        </w:tabs>
        <w:spacing w:line="360" w:lineRule="exact"/>
        <w:rPr>
          <w:rFonts w:ascii="仿宋_GB2312" w:eastAsia="仿宋_GB2312" w:hAnsi="宋体"/>
          <w:sz w:val="30"/>
          <w:szCs w:val="30"/>
        </w:rPr>
      </w:pPr>
      <w:hyperlink w:anchor="_Toc321905735" w:history="1"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4.3加强</w:t>
        </w:r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平安</w:t>
        </w:r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教化</w:t>
        </w:r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与</w:t>
        </w:r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平安</w:t>
        </w:r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宣扬</w:t>
        </w:r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力度</w:t>
        </w:r>
        <w:r w:rsidR="009D196D">
          <w:rPr>
            <w:rFonts w:ascii="仿宋_GB2312" w:eastAsia="仿宋_GB2312" w:hAnsi="宋体" w:hint="eastAsia"/>
            <w:sz w:val="30"/>
            <w:szCs w:val="30"/>
          </w:rPr>
          <w:tab/>
          <w:t>20</w:t>
        </w:r>
      </w:hyperlink>
    </w:p>
    <w:p w:rsidR="00507A0D">
      <w:pPr>
        <w:pStyle w:val="TOC2"/>
        <w:tabs>
          <w:tab w:val="right" w:leader="dot" w:pos="8296"/>
        </w:tabs>
        <w:spacing w:line="360" w:lineRule="exact"/>
        <w:rPr>
          <w:rStyle w:val="Hyperlink"/>
          <w:rFonts w:ascii="仿宋_GB2312" w:eastAsia="仿宋_GB2312" w:hAnsi="宋体"/>
          <w:sz w:val="30"/>
          <w:szCs w:val="30"/>
        </w:rPr>
      </w:pPr>
      <w:hyperlink w:anchor="_Toc321905736" w:history="1">
        <w:r w:rsidR="009D196D">
          <w:rPr>
            <w:rStyle w:val="Hyperlink"/>
            <w:rFonts w:ascii="仿宋_GB2312" w:eastAsia="仿宋_GB2312" w:hAnsi="宋体" w:hint="eastAsia"/>
            <w:sz w:val="30"/>
            <w:szCs w:val="30"/>
          </w:rPr>
          <w:t>4.4文明施工</w:t>
        </w:r>
        <w:r w:rsidR="009D196D">
          <w:rPr>
            <w:rFonts w:ascii="仿宋_GB2312" w:eastAsia="仿宋_GB2312" w:hAnsi="宋体" w:hint="eastAsia"/>
            <w:sz w:val="30"/>
            <w:szCs w:val="30"/>
          </w:rPr>
          <w:tab/>
          <w:t>2</w:t>
        </w:r>
        <w:r w:rsidR="009D196D">
          <w:rPr>
            <w:rFonts w:ascii="仿宋_GB2312" w:eastAsia="仿宋_GB2312" w:hAnsi="宋体" w:hint="eastAsia"/>
            <w:sz w:val="30"/>
            <w:szCs w:val="30"/>
          </w:rPr>
          <w:fldChar w:fldCharType="begin"/>
        </w:r>
        <w:r w:rsidR="009D196D">
          <w:rPr>
            <w:rFonts w:ascii="仿宋_GB2312" w:eastAsia="仿宋_GB2312" w:hAnsi="宋体" w:hint="eastAsia"/>
            <w:sz w:val="30"/>
            <w:szCs w:val="30"/>
          </w:rPr>
          <w:instrText xml:space="preserve"> PAGEREF _Toc321905736 \h </w:instrText>
        </w:r>
        <w:r w:rsidR="009D196D">
          <w:rPr>
            <w:rFonts w:ascii="仿宋_GB2312" w:eastAsia="仿宋_GB2312" w:hAnsi="宋体" w:hint="eastAsia"/>
            <w:sz w:val="30"/>
            <w:szCs w:val="30"/>
          </w:rPr>
          <w:fldChar w:fldCharType="separate"/>
        </w:r>
        <w:r w:rsidR="009D196D">
          <w:rPr>
            <w:rFonts w:ascii="仿宋_GB2312" w:eastAsia="仿宋_GB2312" w:hAnsi="宋体"/>
            <w:sz w:val="30"/>
            <w:szCs w:val="30"/>
          </w:rPr>
          <w:t>1</w:t>
        </w:r>
        <w:r w:rsidR="009D196D">
          <w:rPr>
            <w:rFonts w:ascii="仿宋_GB2312" w:eastAsia="仿宋_GB2312" w:hAnsi="宋体" w:hint="eastAsia"/>
            <w:sz w:val="30"/>
            <w:szCs w:val="30"/>
          </w:rPr>
          <w:fldChar w:fldCharType="end"/>
        </w:r>
      </w:hyperlink>
    </w:p>
    <w:p w:rsidR="00507A0D">
      <w:pPr>
        <w:rPr>
          <w:rFonts w:ascii="仿宋_GB2312" w:eastAsia="仿宋_GB2312"/>
          <w:sz w:val="30"/>
          <w:szCs w:val="30"/>
        </w:rPr>
      </w:pPr>
    </w:p>
    <w:p w:rsidR="00507A0D">
      <w:pPr>
        <w:rPr>
          <w:rFonts w:ascii="仿宋_GB2312" w:eastAsia="仿宋_GB2312"/>
          <w:sz w:val="30"/>
          <w:szCs w:val="30"/>
        </w:rPr>
      </w:pPr>
    </w:p>
    <w:p w:rsidR="00507A0D">
      <w:pPr>
        <w:rPr>
          <w:rFonts w:ascii="仿宋_GB2312" w:eastAsia="仿宋_GB2312"/>
          <w:sz w:val="30"/>
          <w:szCs w:val="30"/>
        </w:rPr>
      </w:pPr>
    </w:p>
    <w:p w:rsidR="00507A0D">
      <w:pPr>
        <w:rPr>
          <w:rFonts w:ascii="仿宋_GB2312" w:eastAsia="仿宋_GB2312"/>
          <w:sz w:val="30"/>
          <w:szCs w:val="30"/>
        </w:rPr>
      </w:pPr>
    </w:p>
    <w:p w:rsidR="00507A0D">
      <w:pPr>
        <w:rPr>
          <w:rFonts w:ascii="仿宋_GB2312" w:eastAsia="仿宋_GB2312"/>
          <w:sz w:val="30"/>
          <w:szCs w:val="30"/>
        </w:rPr>
      </w:pPr>
    </w:p>
    <w:p w:rsidR="00507A0D">
      <w:pPr>
        <w:rPr>
          <w:rFonts w:ascii="仿宋_GB2312" w:eastAsia="仿宋_GB2312"/>
          <w:sz w:val="30"/>
          <w:szCs w:val="30"/>
        </w:rPr>
      </w:pPr>
    </w:p>
    <w:p w:rsidR="00507A0D">
      <w:pPr>
        <w:rPr>
          <w:rFonts w:ascii="仿宋_GB2312" w:eastAsia="仿宋_GB2312"/>
          <w:sz w:val="30"/>
          <w:szCs w:val="30"/>
        </w:rPr>
      </w:pPr>
    </w:p>
    <w:p w:rsidR="00507A0D">
      <w:pPr>
        <w:pStyle w:val="Heading1"/>
        <w:sectPr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12"/>
        </w:sectPr>
      </w:pPr>
    </w:p>
    <w:p w:rsidR="00507A0D">
      <w:pPr>
        <w:pStyle w:val="Heading1"/>
        <w:jc w:val="center"/>
        <w:rPr>
          <w:rFonts w:ascii="仿宋_GB2312" w:eastAsia="仿宋_GB2312"/>
        </w:rPr>
      </w:pPr>
      <w:r>
        <w:rPr>
          <w:rFonts w:hint="eastAsia"/>
        </w:rPr>
        <w:fldChar w:fldCharType="end"/>
      </w:r>
      <w:bookmarkStart w:id="3" w:name="_Toc320037619"/>
      <w:bookmarkStart w:id="4" w:name="_Toc320300322"/>
      <w:bookmarkStart w:id="5" w:name="_Toc321905704"/>
      <w:bookmarkEnd w:id="1"/>
      <w:bookmarkEnd w:id="2"/>
      <w:r>
        <w:rPr>
          <w:rFonts w:ascii="仿宋_GB2312" w:eastAsia="仿宋_GB2312" w:hint="eastAsia"/>
        </w:rPr>
        <w:t xml:space="preserve">   第一章 </w:t>
      </w:r>
      <w:bookmarkEnd w:id="3"/>
      <w:bookmarkEnd w:id="4"/>
      <w:bookmarkEnd w:id="5"/>
      <w:r>
        <w:rPr>
          <w:rFonts w:ascii="仿宋_GB2312" w:eastAsia="仿宋_GB2312" w:hint="eastAsia"/>
        </w:rPr>
        <w:t>施工</w:t>
      </w:r>
      <w:r>
        <w:rPr>
          <w:rFonts w:ascii="仿宋_GB2312" w:eastAsia="仿宋_GB2312" w:hint="eastAsia"/>
        </w:rPr>
        <w:t>打算</w:t>
      </w:r>
    </w:p>
    <w:p w:rsidR="00507A0D">
      <w:pPr>
        <w:pStyle w:val="Heading2"/>
        <w:rPr>
          <w:rFonts w:ascii="仿宋_GB2312" w:eastAsia="仿宋_GB2312"/>
          <w:sz w:val="30"/>
          <w:szCs w:val="30"/>
        </w:rPr>
      </w:pPr>
      <w:bookmarkStart w:id="6" w:name="_Toc321905705"/>
      <w:r>
        <w:rPr>
          <w:rFonts w:ascii="仿宋_GB2312" w:eastAsia="仿宋_GB2312" w:hint="eastAsia"/>
          <w:sz w:val="30"/>
          <w:szCs w:val="30"/>
        </w:rPr>
        <w:t>1.1</w:t>
      </w:r>
      <w:bookmarkEnd w:id="6"/>
      <w:r>
        <w:rPr>
          <w:rFonts w:ascii="仿宋_GB2312" w:eastAsia="仿宋_GB2312" w:hint="eastAsia"/>
          <w:sz w:val="30"/>
          <w:szCs w:val="30"/>
        </w:rPr>
        <w:t>工程概况</w:t>
      </w:r>
    </w:p>
    <w:p w:rsidR="00507A0D">
      <w:pPr>
        <w:spacing w:line="360" w:lineRule="auto"/>
        <w:ind w:firstLine="600" w:firstLineChars="2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德州至商丘高速</w:t>
      </w:r>
      <w:r>
        <w:rPr>
          <w:rFonts w:ascii="仿宋_GB2312" w:eastAsia="仿宋_GB2312" w:hAnsi="宋体" w:hint="eastAsia"/>
          <w:sz w:val="30"/>
          <w:szCs w:val="30"/>
        </w:rPr>
        <w:t>马路</w:t>
      </w:r>
      <w:r>
        <w:rPr>
          <w:rFonts w:ascii="仿宋_GB2312" w:eastAsia="仿宋_GB2312" w:hAnsi="宋体" w:hint="eastAsia"/>
          <w:sz w:val="30"/>
          <w:szCs w:val="30"/>
        </w:rPr>
        <w:t>夏津至聊城段位于山东省西部德州市和聊城市境内，</w:t>
      </w:r>
      <w:r>
        <w:rPr>
          <w:rFonts w:ascii="仿宋_GB2312" w:eastAsia="仿宋_GB2312" w:hAnsi="宋体" w:hint="eastAsia"/>
          <w:sz w:val="30"/>
          <w:szCs w:val="30"/>
        </w:rPr>
        <w:t>路途</w:t>
      </w:r>
      <w:r>
        <w:rPr>
          <w:rFonts w:ascii="仿宋_GB2312" w:eastAsia="仿宋_GB2312" w:hAnsi="宋体" w:hint="eastAsia"/>
          <w:sz w:val="30"/>
          <w:szCs w:val="30"/>
        </w:rPr>
        <w:t>成北南走向，北起青银高速夏津枢纽互通，与规划建设的德商高速</w:t>
      </w:r>
      <w:r>
        <w:rPr>
          <w:rFonts w:ascii="仿宋_GB2312" w:eastAsia="仿宋_GB2312" w:hAnsi="宋体" w:hint="eastAsia"/>
          <w:sz w:val="30"/>
          <w:szCs w:val="30"/>
        </w:rPr>
        <w:t>马路</w:t>
      </w:r>
      <w:r>
        <w:rPr>
          <w:rFonts w:ascii="仿宋_GB2312" w:eastAsia="仿宋_GB2312" w:hAnsi="宋体" w:hint="eastAsia"/>
          <w:sz w:val="30"/>
          <w:szCs w:val="30"/>
        </w:rPr>
        <w:t>德州（鲁冀界）至夏津段相接，经德州市夏津县西、聊城临清市东，至聊城东昌府区济聊馆高速</w:t>
      </w:r>
      <w:r>
        <w:rPr>
          <w:rFonts w:ascii="仿宋_GB2312" w:eastAsia="仿宋_GB2312" w:hAnsi="宋体" w:hint="eastAsia"/>
          <w:sz w:val="30"/>
          <w:szCs w:val="30"/>
        </w:rPr>
        <w:t>马路</w:t>
      </w:r>
      <w:r>
        <w:rPr>
          <w:rFonts w:ascii="仿宋_GB2312" w:eastAsia="仿宋_GB2312" w:hAnsi="宋体" w:hint="eastAsia"/>
          <w:sz w:val="30"/>
          <w:szCs w:val="30"/>
        </w:rPr>
        <w:t>聊城西枢纽互通，与规划建设的德商高速</w:t>
      </w:r>
      <w:r>
        <w:rPr>
          <w:rFonts w:ascii="仿宋_GB2312" w:eastAsia="仿宋_GB2312" w:hAnsi="宋体" w:hint="eastAsia"/>
          <w:sz w:val="30"/>
          <w:szCs w:val="30"/>
        </w:rPr>
        <w:t>马路</w:t>
      </w:r>
      <w:r>
        <w:rPr>
          <w:rFonts w:ascii="仿宋_GB2312" w:eastAsia="仿宋_GB2312" w:hAnsi="宋体" w:hint="eastAsia"/>
          <w:sz w:val="30"/>
          <w:szCs w:val="30"/>
        </w:rPr>
        <w:t>聊城至范县（鲁豫界）段相接，</w:t>
      </w:r>
      <w:r>
        <w:rPr>
          <w:rFonts w:ascii="仿宋_GB2312" w:eastAsia="仿宋_GB2312" w:hAnsi="宋体" w:hint="eastAsia"/>
          <w:sz w:val="30"/>
          <w:szCs w:val="30"/>
        </w:rPr>
        <w:t>路途</w:t>
      </w:r>
      <w:r>
        <w:rPr>
          <w:rFonts w:ascii="仿宋_GB2312" w:eastAsia="仿宋_GB2312" w:hAnsi="宋体" w:hint="eastAsia"/>
          <w:sz w:val="30"/>
          <w:szCs w:val="30"/>
        </w:rPr>
        <w:t>全长62.128km。设计行车速度为120公里/小时，建设标准为双向四车道高速</w:t>
      </w:r>
      <w:r>
        <w:rPr>
          <w:rFonts w:ascii="仿宋_GB2312" w:eastAsia="仿宋_GB2312" w:hAnsi="宋体" w:hint="eastAsia"/>
          <w:sz w:val="30"/>
          <w:szCs w:val="30"/>
        </w:rPr>
        <w:t>马路</w:t>
      </w:r>
      <w:r>
        <w:rPr>
          <w:rFonts w:ascii="仿宋_GB2312" w:eastAsia="仿宋_GB2312" w:hAnsi="宋体" w:hint="eastAsia"/>
          <w:sz w:val="30"/>
          <w:szCs w:val="30"/>
        </w:rPr>
        <w:t>，全线路基</w:t>
      </w:r>
      <w:r>
        <w:rPr>
          <w:rFonts w:ascii="仿宋_GB2312" w:eastAsia="仿宋_GB2312" w:hAnsi="宋体" w:hint="eastAsia"/>
          <w:sz w:val="30"/>
          <w:szCs w:val="30"/>
        </w:rPr>
        <w:t>采纳</w:t>
      </w:r>
      <w:r>
        <w:rPr>
          <w:rFonts w:ascii="仿宋_GB2312" w:eastAsia="仿宋_GB2312" w:hAnsi="宋体" w:hint="eastAsia"/>
          <w:sz w:val="30"/>
          <w:szCs w:val="30"/>
        </w:rPr>
        <w:t>整体式断面，路基宽度为28米，桥涵设计汽车荷载等级为</w:t>
      </w:r>
      <w:r>
        <w:rPr>
          <w:rFonts w:ascii="仿宋_GB2312" w:eastAsia="仿宋_GB2312" w:hAnsi="宋体" w:hint="eastAsia"/>
          <w:sz w:val="30"/>
          <w:szCs w:val="30"/>
        </w:rPr>
        <w:t>马路</w:t>
      </w:r>
      <w:r>
        <w:rPr>
          <w:rFonts w:ascii="仿宋_GB2312" w:eastAsia="仿宋_GB2312" w:hAnsi="宋体" w:hint="eastAsia"/>
          <w:sz w:val="30"/>
          <w:szCs w:val="30"/>
        </w:rPr>
        <w:t>-Ⅰ级。</w:t>
      </w:r>
    </w:p>
    <w:p w:rsidR="00507A0D">
      <w:pPr>
        <w:spacing w:line="360" w:lineRule="auto"/>
        <w:ind w:firstLine="600" w:firstLineChars="2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本项目小型构件</w:t>
      </w:r>
      <w:r>
        <w:rPr>
          <w:rFonts w:ascii="仿宋_GB2312" w:eastAsia="仿宋_GB2312" w:hAnsi="宋体" w:hint="eastAsia"/>
          <w:sz w:val="30"/>
          <w:szCs w:val="30"/>
        </w:rPr>
        <w:t>运用</w:t>
      </w:r>
      <w:r>
        <w:rPr>
          <w:rFonts w:ascii="仿宋_GB2312" w:eastAsia="仿宋_GB2312" w:hAnsi="宋体" w:hint="eastAsia"/>
          <w:sz w:val="30"/>
          <w:szCs w:val="30"/>
        </w:rPr>
        <w:t>部位主要有：路基防护拱形骨架预制块、横向管出水口预制块、路基路面排水混凝土排水沟预制块、盖板涵、土路肩U型缘石、</w:t>
      </w:r>
      <w:r>
        <w:rPr>
          <w:rFonts w:ascii="仿宋_GB2312" w:eastAsia="仿宋_GB2312" w:hAnsi="宋体" w:hint="eastAsia"/>
          <w:sz w:val="30"/>
          <w:szCs w:val="30"/>
        </w:rPr>
        <w:t>中心</w:t>
      </w:r>
      <w:r>
        <w:rPr>
          <w:rFonts w:ascii="仿宋_GB2312" w:eastAsia="仿宋_GB2312" w:hAnsi="宋体" w:hint="eastAsia"/>
          <w:sz w:val="30"/>
          <w:szCs w:val="30"/>
        </w:rPr>
        <w:t>分隔带路缘石、超高路面</w:t>
      </w:r>
      <w:r>
        <w:rPr>
          <w:rFonts w:ascii="仿宋_GB2312" w:eastAsia="仿宋_GB2312" w:hAnsi="宋体" w:hint="eastAsia"/>
          <w:sz w:val="30"/>
          <w:szCs w:val="30"/>
        </w:rPr>
        <w:t>中心</w:t>
      </w:r>
      <w:r>
        <w:rPr>
          <w:rFonts w:ascii="仿宋_GB2312" w:eastAsia="仿宋_GB2312" w:hAnsi="宋体" w:hint="eastAsia"/>
          <w:sz w:val="30"/>
          <w:szCs w:val="30"/>
        </w:rPr>
        <w:t>分隔带排水明沟盖板，其中配筋的有路基路面排水盖板涵及路基路面排水超过路面</w:t>
      </w:r>
      <w:r>
        <w:rPr>
          <w:rFonts w:ascii="仿宋_GB2312" w:eastAsia="仿宋_GB2312" w:hAnsi="宋体" w:hint="eastAsia"/>
          <w:sz w:val="30"/>
          <w:szCs w:val="30"/>
        </w:rPr>
        <w:t>中心</w:t>
      </w:r>
      <w:r>
        <w:rPr>
          <w:rFonts w:ascii="仿宋_GB2312" w:eastAsia="仿宋_GB2312" w:hAnsi="宋体" w:hint="eastAsia"/>
          <w:sz w:val="30"/>
          <w:szCs w:val="30"/>
        </w:rPr>
        <w:t>分隔带排水明沟盖板。</w:t>
      </w:r>
    </w:p>
    <w:p w:rsidR="00507A0D">
      <w:pPr>
        <w:pStyle w:val="Heading2"/>
        <w:spacing w:line="415" w:lineRule="auto"/>
        <w:rPr>
          <w:rFonts w:ascii="仿宋_GB2312" w:eastAsia="仿宋_GB2312"/>
          <w:sz w:val="30"/>
          <w:szCs w:val="30"/>
        </w:rPr>
      </w:pPr>
      <w:bookmarkStart w:id="7" w:name="_Toc308328221"/>
      <w:bookmarkStart w:id="8" w:name="_Toc321905706"/>
      <w:r>
        <w:rPr>
          <w:rFonts w:ascii="仿宋_GB2312" w:eastAsia="仿宋_GB2312" w:hint="eastAsia"/>
          <w:sz w:val="30"/>
          <w:szCs w:val="30"/>
        </w:rPr>
        <w:t>1.2施工</w:t>
      </w:r>
      <w:bookmarkEnd w:id="7"/>
      <w:bookmarkEnd w:id="8"/>
      <w:r>
        <w:rPr>
          <w:rFonts w:ascii="仿宋_GB2312" w:eastAsia="仿宋_GB2312" w:hint="eastAsia"/>
          <w:sz w:val="30"/>
          <w:szCs w:val="30"/>
        </w:rPr>
        <w:t>场地建设</w:t>
      </w:r>
    </w:p>
    <w:p w:rsidR="00507A0D">
      <w:pPr>
        <w:autoSpaceDE w:val="0"/>
        <w:autoSpaceDN w:val="0"/>
        <w:adjustRightInd w:val="0"/>
        <w:spacing w:line="360" w:lineRule="auto"/>
        <w:ind w:firstLine="600" w:firstLineChars="200"/>
        <w:jc w:val="left"/>
        <w:rPr>
          <w:rFonts w:ascii="仿宋_GB2312" w:eastAsia="仿宋_GB2312" w:hAnsi="仿宋_GB2312" w:cs="AdobeSongStd-Light"/>
          <w:kern w:val="0"/>
          <w:sz w:val="30"/>
          <w:szCs w:val="30"/>
        </w:rPr>
      </w:pPr>
      <w:r>
        <w:rPr>
          <w:rFonts w:ascii="仿宋_GB2312" w:eastAsia="仿宋_GB2312" w:hAnsi="仿宋_GB2312" w:cs="宋体" w:hint="eastAsia"/>
          <w:kern w:val="0"/>
          <w:sz w:val="30"/>
          <w:szCs w:val="30"/>
        </w:rPr>
        <w:t>①</w:t>
      </w:r>
      <w:r>
        <w:rPr>
          <w:rFonts w:ascii="仿宋_GB2312" w:eastAsia="仿宋_GB2312" w:hAnsi="仿宋_GB2312" w:cs="AdobeSongStd-Light" w:hint="eastAsia"/>
          <w:kern w:val="0"/>
          <w:sz w:val="30"/>
          <w:szCs w:val="30"/>
        </w:rPr>
        <w:t>预制场位置及规模应</w:t>
      </w:r>
      <w:r>
        <w:rPr>
          <w:rFonts w:ascii="仿宋_GB2312" w:eastAsia="仿宋_GB2312" w:hAnsi="仿宋_GB2312" w:cs="AdobeSongStd-Light" w:hint="eastAsia"/>
          <w:kern w:val="0"/>
          <w:sz w:val="30"/>
          <w:szCs w:val="30"/>
        </w:rPr>
        <w:t>依据</w:t>
      </w:r>
      <w:r>
        <w:rPr>
          <w:rFonts w:ascii="仿宋_GB2312" w:eastAsia="仿宋_GB2312" w:hAnsi="仿宋_GB2312" w:cs="AdobeSongStd-Light" w:hint="eastAsia"/>
          <w:kern w:val="0"/>
          <w:sz w:val="30"/>
          <w:szCs w:val="30"/>
        </w:rPr>
        <w:t>预制件需求量、预存量、施工条件等因素，经技术经济比选确定，现场平面规划应尽量</w:t>
      </w:r>
      <w:r>
        <w:rPr>
          <w:rFonts w:ascii="仿宋_GB2312" w:eastAsia="仿宋_GB2312" w:hAnsi="仿宋_GB2312" w:cs="AdobeSongStd-Light" w:hint="eastAsia"/>
          <w:kern w:val="0"/>
          <w:sz w:val="30"/>
          <w:szCs w:val="30"/>
        </w:rPr>
        <w:t>削减</w:t>
      </w:r>
      <w:r>
        <w:rPr>
          <w:rFonts w:ascii="仿宋_GB2312" w:eastAsia="仿宋_GB2312" w:hAnsi="仿宋_GB2312" w:cs="AdobeSongStd-Light" w:hint="eastAsia"/>
          <w:kern w:val="0"/>
          <w:sz w:val="30"/>
          <w:szCs w:val="30"/>
        </w:rPr>
        <w:t>施工临时用地，降低现场临建费用；</w:t>
      </w:r>
    </w:p>
    <w:p w:rsidR="00507A0D">
      <w:pPr>
        <w:autoSpaceDE w:val="0"/>
        <w:autoSpaceDN w:val="0"/>
        <w:adjustRightInd w:val="0"/>
        <w:spacing w:line="360" w:lineRule="auto"/>
        <w:ind w:firstLine="600" w:firstLineChars="200"/>
        <w:jc w:val="left"/>
        <w:rPr>
          <w:rFonts w:ascii="仿宋_GB2312" w:eastAsia="仿宋_GB2312" w:hAnsi="仿宋_GB2312" w:cs="AdobeSongStd-Light"/>
          <w:kern w:val="0"/>
          <w:sz w:val="30"/>
          <w:szCs w:val="30"/>
        </w:rPr>
        <w:sectPr>
          <w:pgSz w:w="11906" w:h="16838"/>
          <w:pgMar w:top="1440" w:right="1800" w:bottom="1440" w:left="1800" w:header="851" w:footer="992" w:gutter="0"/>
          <w:pgNumType w:fmt="numberInDash" w:start="1"/>
          <w:cols w:space="425"/>
          <w:titlePg/>
          <w:docGrid w:type="lines" w:linePitch="312"/>
        </w:sectPr>
      </w:pPr>
      <w:r>
        <w:rPr>
          <w:rFonts w:ascii="仿宋_GB2312" w:eastAsia="仿宋_GB2312" w:hAnsi="仿宋_GB2312" w:cs="宋体" w:hint="eastAsia"/>
          <w:kern w:val="0"/>
          <w:sz w:val="30"/>
          <w:szCs w:val="30"/>
        </w:rPr>
        <w:t>②</w:t>
      </w:r>
      <w:r>
        <w:rPr>
          <w:rFonts w:ascii="仿宋_GB2312" w:eastAsia="仿宋_GB2312" w:hAnsi="仿宋_GB2312" w:cs="AdobeSongStd-Light" w:hint="eastAsia"/>
          <w:kern w:val="0"/>
          <w:sz w:val="30"/>
          <w:szCs w:val="30"/>
        </w:rPr>
        <w:t>加工场实行封闭管理，办公、生活、生产场区</w:t>
      </w:r>
      <w:r>
        <w:rPr>
          <w:rFonts w:ascii="仿宋_GB2312" w:eastAsia="仿宋_GB2312" w:hAnsi="仿宋_GB2312" w:cs="AdobeSongStd-Light" w:hint="eastAsia"/>
          <w:kern w:val="0"/>
          <w:sz w:val="30"/>
          <w:szCs w:val="30"/>
        </w:rPr>
        <w:t>实行</w:t>
      </w:r>
    </w:p>
    <w:p w:rsidR="00507A0D">
      <w:pPr>
        <w:autoSpaceDE w:val="0"/>
        <w:autoSpaceDN w:val="0"/>
        <w:adjustRightInd w:val="0"/>
        <w:spacing w:line="360" w:lineRule="auto"/>
        <w:ind w:firstLine="600" w:firstLineChars="200"/>
        <w:jc w:val="left"/>
        <w:rPr>
          <w:rFonts w:ascii="仿宋_GB2312" w:eastAsia="仿宋_GB2312" w:hAnsi="仿宋_GB2312" w:cs="AdobeSongStd-Light"/>
          <w:kern w:val="0"/>
          <w:sz w:val="30"/>
          <w:szCs w:val="30"/>
        </w:rPr>
      </w:pPr>
      <w:r>
        <w:rPr>
          <w:rFonts w:ascii="仿宋_GB2312" w:eastAsia="仿宋_GB2312" w:hAnsi="仿宋_GB2312" w:cs="AdobeSongStd-Light" w:hint="eastAsia"/>
          <w:kern w:val="0"/>
          <w:sz w:val="30"/>
          <w:szCs w:val="30"/>
        </w:rPr>
        <w:t>2m的砖砌围墙或围挡封闭；</w:t>
      </w:r>
    </w:p>
    <w:p w:rsidR="00507A0D">
      <w:pPr>
        <w:autoSpaceDE w:val="0"/>
        <w:autoSpaceDN w:val="0"/>
        <w:adjustRightInd w:val="0"/>
        <w:spacing w:line="360" w:lineRule="auto"/>
        <w:ind w:firstLine="600" w:firstLineChars="200"/>
        <w:jc w:val="left"/>
        <w:rPr>
          <w:rFonts w:ascii="仿宋_GB2312" w:eastAsia="仿宋_GB2312" w:hAnsi="仿宋_GB2312" w:cs="AdobeSongStd-Light"/>
          <w:kern w:val="0"/>
          <w:sz w:val="30"/>
          <w:szCs w:val="30"/>
        </w:rPr>
      </w:pPr>
      <w:r>
        <w:rPr>
          <w:rFonts w:ascii="仿宋_GB2312" w:eastAsia="仿宋_GB2312" w:hAnsi="仿宋_GB2312" w:cs="宋体" w:hint="eastAsia"/>
          <w:kern w:val="0"/>
          <w:sz w:val="30"/>
          <w:szCs w:val="30"/>
        </w:rPr>
        <w:t>③</w:t>
      </w:r>
      <w:r>
        <w:rPr>
          <w:rFonts w:ascii="仿宋_GB2312" w:eastAsia="仿宋_GB2312" w:hAnsi="仿宋_GB2312" w:cs="AdobeSongStd-Light" w:hint="eastAsia"/>
          <w:kern w:val="0"/>
          <w:sz w:val="30"/>
          <w:szCs w:val="30"/>
        </w:rPr>
        <w:t>办公区在醒目位置悬挂管理组织机构图、</w:t>
      </w:r>
      <w:r>
        <w:rPr>
          <w:rFonts w:ascii="仿宋_GB2312" w:eastAsia="仿宋_GB2312" w:hAnsi="仿宋_GB2312" w:cs="AdobeSongStd-Light" w:hint="eastAsia"/>
          <w:kern w:val="0"/>
          <w:sz w:val="30"/>
          <w:szCs w:val="30"/>
        </w:rPr>
        <w:t>平安</w:t>
      </w:r>
      <w:r>
        <w:rPr>
          <w:rFonts w:ascii="仿宋_GB2312" w:eastAsia="仿宋_GB2312" w:hAnsi="仿宋_GB2312" w:cs="AdobeSongStd-Light" w:hint="eastAsia"/>
          <w:kern w:val="0"/>
          <w:sz w:val="30"/>
          <w:szCs w:val="30"/>
        </w:rPr>
        <w:t>目标及保证措施、质量目标及保证措施、环保目标及保证措施；办公、会议室整体布设协调统一、美观大方；</w:t>
      </w:r>
    </w:p>
    <w:p w:rsidR="00507A0D">
      <w:pPr>
        <w:autoSpaceDE w:val="0"/>
        <w:autoSpaceDN w:val="0"/>
        <w:adjustRightInd w:val="0"/>
        <w:spacing w:line="360" w:lineRule="auto"/>
        <w:ind w:firstLine="600" w:firstLineChars="200"/>
        <w:jc w:val="left"/>
        <w:rPr>
          <w:rFonts w:ascii="仿宋_GB2312" w:eastAsia="仿宋_GB2312" w:hAnsi="仿宋_GB2312" w:cs="AdobeSongStd-Light"/>
          <w:kern w:val="0"/>
          <w:sz w:val="30"/>
          <w:szCs w:val="30"/>
        </w:rPr>
      </w:pPr>
      <w:r>
        <w:rPr>
          <w:rFonts w:ascii="仿宋_GB2312" w:eastAsia="仿宋_GB2312" w:hAnsi="仿宋_GB2312" w:cs="宋体" w:hint="eastAsia"/>
          <w:kern w:val="0"/>
          <w:sz w:val="30"/>
          <w:szCs w:val="30"/>
        </w:rPr>
        <w:t>④</w:t>
      </w:r>
      <w:r>
        <w:rPr>
          <w:rFonts w:ascii="仿宋_GB2312" w:eastAsia="仿宋_GB2312" w:hAnsi="仿宋_GB2312" w:cs="AdobeSongStd-Light" w:hint="eastAsia"/>
          <w:kern w:val="0"/>
          <w:sz w:val="30"/>
          <w:szCs w:val="30"/>
        </w:rPr>
        <w:t>在场内醒目位置设置公示栏、</w:t>
      </w:r>
      <w:r>
        <w:rPr>
          <w:rFonts w:ascii="仿宋_GB2312" w:eastAsia="仿宋_GB2312" w:hAnsi="仿宋_GB2312" w:cs="AdobeSongStd-Light" w:hint="eastAsia"/>
          <w:kern w:val="0"/>
          <w:sz w:val="30"/>
          <w:szCs w:val="30"/>
        </w:rPr>
        <w:t>宣扬</w:t>
      </w:r>
      <w:r>
        <w:rPr>
          <w:rFonts w:ascii="仿宋_GB2312" w:eastAsia="仿宋_GB2312" w:hAnsi="仿宋_GB2312" w:cs="AdobeSongStd-Light" w:hint="eastAsia"/>
          <w:kern w:val="0"/>
          <w:sz w:val="30"/>
          <w:szCs w:val="30"/>
        </w:rPr>
        <w:t>栏、标语条幅；</w:t>
      </w:r>
    </w:p>
    <w:p w:rsidR="00507A0D">
      <w:pPr>
        <w:topLinePunct/>
        <w:adjustRightInd w:val="0"/>
        <w:spacing w:line="360" w:lineRule="auto"/>
        <w:ind w:firstLine="200"/>
        <w:jc w:val="left"/>
        <w:outlineLvl w:val="0"/>
        <w:rPr>
          <w:rFonts w:ascii="仿宋_GB2312" w:eastAsia="仿宋_GB2312" w:hAnsi="仿宋_GB2312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 xml:space="preserve">   ⑤</w:t>
      </w:r>
      <w:r>
        <w:rPr>
          <w:rFonts w:ascii="仿宋_GB2312" w:eastAsia="仿宋_GB2312" w:hAnsi="仿宋_GB2312" w:hint="eastAsia"/>
          <w:sz w:val="30"/>
          <w:szCs w:val="30"/>
        </w:rPr>
        <w:t>依据</w:t>
      </w:r>
      <w:r>
        <w:rPr>
          <w:rFonts w:ascii="仿宋_GB2312" w:eastAsia="仿宋_GB2312" w:hAnsi="仿宋_GB2312" w:hint="eastAsia"/>
          <w:sz w:val="30"/>
          <w:szCs w:val="30"/>
        </w:rPr>
        <w:t>场地的大小及生产规模对其进行平整、混凝土硬化，划定材料区、混凝土拌合区、预制件制作区、养生区、存放区，材料区修建时，</w:t>
      </w:r>
      <w:r>
        <w:rPr>
          <w:rFonts w:ascii="仿宋_GB2312" w:eastAsia="仿宋_GB2312" w:hAnsi="仿宋_GB2312" w:hint="eastAsia"/>
          <w:sz w:val="30"/>
          <w:szCs w:val="30"/>
        </w:rPr>
        <w:t>采纳</w:t>
      </w:r>
      <w:r>
        <w:rPr>
          <w:rFonts w:ascii="仿宋_GB2312" w:eastAsia="仿宋_GB2312" w:hAnsi="仿宋_GB2312" w:hint="eastAsia"/>
          <w:sz w:val="30"/>
          <w:szCs w:val="30"/>
        </w:rPr>
        <w:t>红砖砌筑将料仓进行隔离，每个料仓应搭建顶棚，</w:t>
      </w:r>
      <w:r>
        <w:rPr>
          <w:rFonts w:ascii="仿宋_GB2312" w:eastAsia="仿宋_GB2312" w:hAnsi="仿宋_GB2312" w:hint="eastAsia"/>
          <w:sz w:val="30"/>
          <w:szCs w:val="30"/>
        </w:rPr>
        <w:t>采纳</w:t>
      </w:r>
      <w:r>
        <w:rPr>
          <w:rFonts w:ascii="仿宋_GB2312" w:eastAsia="仿宋_GB2312" w:hAnsi="仿宋_GB2312" w:hint="eastAsia"/>
          <w:sz w:val="30"/>
          <w:szCs w:val="30"/>
        </w:rPr>
        <w:t>彩钢瓦遮盖。不设混凝土拌合区的，预制用砼</w:t>
      </w:r>
      <w:r>
        <w:rPr>
          <w:rFonts w:ascii="仿宋_GB2312" w:eastAsia="仿宋_GB2312" w:hAnsi="仿宋_GB2312" w:hint="eastAsia"/>
          <w:sz w:val="30"/>
          <w:szCs w:val="30"/>
        </w:rPr>
        <w:t>必需</w:t>
      </w:r>
      <w:r>
        <w:rPr>
          <w:rFonts w:ascii="仿宋_GB2312" w:eastAsia="仿宋_GB2312" w:hAnsi="仿宋_GB2312" w:hint="eastAsia"/>
          <w:sz w:val="30"/>
          <w:szCs w:val="30"/>
        </w:rPr>
        <w:t>从就近拌合站运输。</w:t>
      </w:r>
    </w:p>
    <w:p w:rsidR="00507A0D">
      <w:pPr>
        <w:pStyle w:val="Heading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" o:spid="_x0000_i1025" type="#_x0000_t75" style="width:415.5pt;height:116.25pt">
            <v:imagedata r:id="rId5" o:title=""/>
          </v:shape>
        </w:pict>
      </w:r>
    </w:p>
    <w:p w:rsidR="00507A0D">
      <w:pPr>
        <w:spacing w:line="360" w:lineRule="auto"/>
      </w:pPr>
      <w:bookmarkStart w:id="9" w:name="_Toc308328224"/>
      <w:bookmarkStart w:id="10" w:name="_Toc321905709"/>
      <w:r>
        <w:rPr>
          <w:rFonts w:ascii="仿宋_GB2312" w:eastAsia="仿宋_GB2312" w:hint="eastAsia"/>
          <w:sz w:val="30"/>
          <w:szCs w:val="30"/>
        </w:rPr>
        <w:t>1.3</w:t>
      </w:r>
      <w:bookmarkStart w:id="11" w:name="_Toc308328227"/>
      <w:bookmarkStart w:id="12" w:name="_Toc321905713"/>
      <w:bookmarkEnd w:id="9"/>
      <w:bookmarkEnd w:id="10"/>
      <w:r>
        <w:rPr>
          <w:rFonts w:ascii="仿宋_GB2312" w:eastAsia="仿宋_GB2312" w:hint="eastAsia"/>
          <w:sz w:val="30"/>
          <w:szCs w:val="30"/>
        </w:rPr>
        <w:t>主要材料</w:t>
      </w:r>
      <w:bookmarkEnd w:id="11"/>
      <w:bookmarkEnd w:id="12"/>
    </w:p>
    <w:p w:rsidR="00507A0D">
      <w:pPr>
        <w:spacing w:line="360" w:lineRule="auto"/>
        <w:ind w:firstLine="600" w:firstLineChars="2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依据</w:t>
      </w:r>
      <w:r>
        <w:rPr>
          <w:rFonts w:ascii="仿宋_GB2312" w:eastAsia="仿宋_GB2312" w:hAnsi="宋体" w:hint="eastAsia"/>
          <w:sz w:val="30"/>
          <w:szCs w:val="30"/>
        </w:rPr>
        <w:t>现场施工组织</w:t>
      </w:r>
      <w:r>
        <w:rPr>
          <w:rFonts w:ascii="仿宋_GB2312" w:eastAsia="仿宋_GB2312" w:hAnsi="宋体" w:hint="eastAsia"/>
          <w:sz w:val="30"/>
          <w:szCs w:val="30"/>
        </w:rPr>
        <w:t>状况</w:t>
      </w:r>
      <w:r>
        <w:rPr>
          <w:rFonts w:ascii="仿宋_GB2312" w:eastAsia="仿宋_GB2312" w:hAnsi="宋体" w:hint="eastAsia"/>
          <w:sz w:val="30"/>
          <w:szCs w:val="30"/>
        </w:rPr>
        <w:t>，在施工前将所需水泥、砂石等材料提前</w:t>
      </w:r>
      <w:r>
        <w:rPr>
          <w:rFonts w:ascii="仿宋_GB2312" w:eastAsia="仿宋_GB2312" w:hAnsi="宋体" w:hint="eastAsia"/>
          <w:sz w:val="30"/>
          <w:szCs w:val="30"/>
        </w:rPr>
        <w:t>运输</w:t>
      </w:r>
      <w:r>
        <w:rPr>
          <w:rFonts w:ascii="仿宋_GB2312" w:eastAsia="仿宋_GB2312" w:hAnsi="宋体" w:hint="eastAsia"/>
          <w:sz w:val="30"/>
          <w:szCs w:val="30"/>
        </w:rPr>
        <w:t>至现场，</w:t>
      </w:r>
      <w:r>
        <w:rPr>
          <w:rFonts w:ascii="仿宋_GB2312" w:eastAsia="仿宋_GB2312" w:hAnsi="宋体" w:hint="eastAsia"/>
          <w:sz w:val="30"/>
          <w:szCs w:val="30"/>
        </w:rPr>
        <w:t>全部</w:t>
      </w:r>
      <w:r>
        <w:rPr>
          <w:rFonts w:ascii="仿宋_GB2312" w:eastAsia="仿宋_GB2312" w:hAnsi="宋体" w:hint="eastAsia"/>
          <w:sz w:val="30"/>
          <w:szCs w:val="30"/>
        </w:rPr>
        <w:t>进场材料均应经过试验室检验，并</w:t>
      </w:r>
      <w:r>
        <w:rPr>
          <w:rFonts w:ascii="仿宋_GB2312" w:eastAsia="仿宋_GB2312" w:hAnsi="宋体" w:hint="eastAsia"/>
          <w:sz w:val="30"/>
          <w:szCs w:val="30"/>
        </w:rPr>
        <w:t>满意</w:t>
      </w:r>
      <w:r>
        <w:rPr>
          <w:rFonts w:ascii="仿宋_GB2312" w:eastAsia="仿宋_GB2312" w:hAnsi="宋体" w:hint="eastAsia"/>
          <w:sz w:val="30"/>
          <w:szCs w:val="30"/>
        </w:rPr>
        <w:t>招投标文件对原材料各项指标的要求。</w:t>
      </w:r>
    </w:p>
    <w:p w:rsidR="00507A0D">
      <w:pPr>
        <w:spacing w:line="360" w:lineRule="auto"/>
        <w:ind w:firstLine="600" w:firstLineChars="200"/>
        <w:rPr>
          <w:rFonts w:ascii="仿宋_GB2312" w:eastAsia="仿宋_GB2312" w:hAnsi="宋体"/>
          <w:sz w:val="30"/>
          <w:szCs w:val="30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2"/>
          <w:cols w:space="425"/>
          <w:titlePg w:val="0"/>
          <w:docGrid w:type="lines" w:linePitch="312"/>
        </w:sectPr>
      </w:pPr>
      <w:r>
        <w:rPr>
          <w:rFonts w:ascii="仿宋_GB2312" w:eastAsia="仿宋_GB2312" w:hAnsi="宋体" w:hint="eastAsia"/>
          <w:sz w:val="30"/>
          <w:szCs w:val="30"/>
        </w:rPr>
        <w:t>依据</w:t>
      </w:r>
      <w:r>
        <w:rPr>
          <w:rFonts w:ascii="仿宋_GB2312" w:eastAsia="仿宋_GB2312" w:hAnsi="宋体" w:hint="eastAsia"/>
          <w:sz w:val="30"/>
          <w:szCs w:val="30"/>
        </w:rPr>
        <w:t>设计图纸要求，预制构件为为C20和C30混凝土，</w:t>
      </w:r>
      <w:r>
        <w:rPr>
          <w:rFonts w:ascii="仿宋_GB2312" w:eastAsia="仿宋_GB2312" w:hAnsi="宋体" w:hint="eastAsia"/>
          <w:sz w:val="30"/>
          <w:szCs w:val="30"/>
        </w:rPr>
        <w:t>协作</w:t>
      </w:r>
      <w:r>
        <w:rPr>
          <w:rFonts w:ascii="仿宋_GB2312" w:eastAsia="仿宋_GB2312" w:hAnsi="宋体" w:hint="eastAsia"/>
          <w:sz w:val="30"/>
          <w:szCs w:val="30"/>
        </w:rPr>
        <w:t>比设计经中心试验室验证符合要求。水泥、碎石、砂等原材进场数量</w:t>
      </w:r>
      <w:r>
        <w:rPr>
          <w:rFonts w:ascii="仿宋_GB2312" w:eastAsia="仿宋_GB2312" w:hAnsi="宋体" w:hint="eastAsia"/>
          <w:sz w:val="30"/>
          <w:szCs w:val="30"/>
        </w:rPr>
        <w:t>满意</w:t>
      </w:r>
      <w:r>
        <w:rPr>
          <w:rFonts w:ascii="仿宋_GB2312" w:eastAsia="仿宋_GB2312" w:hAnsi="宋体" w:hint="eastAsia"/>
          <w:sz w:val="30"/>
          <w:szCs w:val="30"/>
        </w:rPr>
        <w:t>施工</w:t>
      </w:r>
      <w:r>
        <w:rPr>
          <w:rFonts w:ascii="仿宋_GB2312" w:eastAsia="仿宋_GB2312" w:hAnsi="宋体" w:hint="eastAsia"/>
          <w:sz w:val="30"/>
          <w:szCs w:val="30"/>
        </w:rPr>
        <w:t>须要</w:t>
      </w:r>
      <w:r>
        <w:rPr>
          <w:rFonts w:ascii="仿宋_GB2312" w:eastAsia="仿宋_GB2312" w:hAnsi="宋体" w:hint="eastAsia"/>
          <w:sz w:val="30"/>
          <w:szCs w:val="30"/>
        </w:rPr>
        <w:t>，存放方式符合规范要求，并设有</w:t>
      </w:r>
      <w:r>
        <w:rPr>
          <w:rFonts w:ascii="仿宋_GB2312" w:eastAsia="仿宋_GB2312" w:hAnsi="宋体" w:hint="eastAsia"/>
          <w:sz w:val="30"/>
          <w:szCs w:val="30"/>
        </w:rPr>
        <w:t>标记</w:t>
      </w:r>
    </w:p>
    <w:p w:rsidR="00507A0D">
      <w:pPr>
        <w:spacing w:line="360" w:lineRule="auto"/>
        <w:ind w:firstLine="600" w:firstLineChars="2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牌，其中进场水泥、碎石、砂经试验室自检、监理抽检均合格。</w:t>
      </w:r>
    </w:p>
    <w:p w:rsidR="00507A0D">
      <w:pPr>
        <w:spacing w:line="360" w:lineRule="auto"/>
        <w:ind w:firstLine="600" w:firstLineChars="2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1.3.</w:t>
      </w:r>
      <w:r>
        <w:rPr>
          <w:rFonts w:ascii="仿宋_GB2312" w:eastAsia="仿宋_GB2312" w:hAnsi="宋体" w:hint="eastAsia"/>
          <w:sz w:val="30"/>
          <w:szCs w:val="30"/>
        </w:rPr>
        <w:t>1、集料：工程施工中的集料应</w:t>
      </w:r>
      <w:r>
        <w:rPr>
          <w:rFonts w:ascii="仿宋_GB2312" w:eastAsia="仿宋_GB2312" w:hAnsi="宋体" w:hint="eastAsia"/>
          <w:sz w:val="30"/>
          <w:szCs w:val="30"/>
        </w:rPr>
        <w:t>采纳</w:t>
      </w:r>
      <w:r>
        <w:rPr>
          <w:rFonts w:ascii="仿宋_GB2312" w:eastAsia="仿宋_GB2312" w:hAnsi="宋体" w:hint="eastAsia"/>
          <w:sz w:val="30"/>
          <w:szCs w:val="30"/>
        </w:rPr>
        <w:t>坚硬的卵石或碎石，应按产地、类别、加工方法和规格等不同</w:t>
      </w:r>
      <w:r>
        <w:rPr>
          <w:rFonts w:ascii="仿宋_GB2312" w:eastAsia="仿宋_GB2312" w:hAnsi="宋体" w:hint="eastAsia"/>
          <w:sz w:val="30"/>
          <w:szCs w:val="30"/>
        </w:rPr>
        <w:t>状况</w:t>
      </w:r>
      <w:r>
        <w:rPr>
          <w:rFonts w:ascii="仿宋_GB2312" w:eastAsia="仿宋_GB2312" w:hAnsi="宋体" w:hint="eastAsia"/>
          <w:sz w:val="30"/>
          <w:szCs w:val="30"/>
        </w:rPr>
        <w:t>，分批进行检验。骨料的试验按现行《</w:t>
      </w:r>
      <w:r>
        <w:rPr>
          <w:rFonts w:ascii="仿宋_GB2312" w:eastAsia="仿宋_GB2312" w:hAnsi="宋体" w:hint="eastAsia"/>
          <w:sz w:val="30"/>
          <w:szCs w:val="30"/>
        </w:rPr>
        <w:t>马路</w:t>
      </w:r>
      <w:r>
        <w:rPr>
          <w:rFonts w:ascii="仿宋_GB2312" w:eastAsia="仿宋_GB2312" w:hAnsi="宋体" w:hint="eastAsia"/>
          <w:sz w:val="30"/>
          <w:szCs w:val="30"/>
        </w:rPr>
        <w:t>工程集料试验规程》（JTJ058）执行。</w:t>
      </w:r>
    </w:p>
    <w:p w:rsidR="00507A0D">
      <w:pPr>
        <w:spacing w:line="360" w:lineRule="exact"/>
        <w:jc w:val="center"/>
        <w:rPr>
          <w:rFonts w:ascii="仿宋_GB2312" w:eastAsia="仿宋_GB2312" w:hAnsi="宋体"/>
          <w:b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集料的技术要求</w:t>
      </w:r>
    </w:p>
    <w:tbl>
      <w:tblPr>
        <w:tblStyle w:val="TableNormal"/>
        <w:tblW w:w="852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70"/>
        <w:gridCol w:w="1238"/>
        <w:gridCol w:w="1238"/>
        <w:gridCol w:w="1238"/>
        <w:gridCol w:w="1238"/>
      </w:tblGrid>
      <w:tr>
        <w:tblPrEx>
          <w:tblW w:w="8522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c>
          <w:tcPr>
            <w:tcW w:w="3570" w:type="dxa"/>
            <w:vMerge w:val="restart"/>
            <w:vAlign w:val="center"/>
          </w:tcPr>
          <w:p w:rsidR="00507A0D">
            <w:pPr>
              <w:spacing w:line="36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项目</w:t>
            </w:r>
          </w:p>
        </w:tc>
        <w:tc>
          <w:tcPr>
            <w:tcW w:w="4952" w:type="dxa"/>
            <w:gridSpan w:val="4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混凝土强度等级</w:t>
            </w:r>
          </w:p>
        </w:tc>
      </w:tr>
      <w:tr>
        <w:tblPrEx>
          <w:tblW w:w="8522" w:type="dxa"/>
          <w:tblInd w:w="108" w:type="dxa"/>
          <w:tblLayout w:type="fixed"/>
          <w:tblLook w:val="04A0"/>
        </w:tblPrEx>
        <w:tc>
          <w:tcPr>
            <w:tcW w:w="3570" w:type="dxa"/>
            <w:vMerge/>
          </w:tcPr>
          <w:p w:rsidR="00507A0D">
            <w:pPr>
              <w:spacing w:line="36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C55～C40</w:t>
            </w: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≤C35</w:t>
            </w: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≥C30</w:t>
            </w: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≤C30</w:t>
            </w:r>
          </w:p>
        </w:tc>
      </w:tr>
      <w:tr>
        <w:tblPrEx>
          <w:tblW w:w="8522" w:type="dxa"/>
          <w:tblInd w:w="108" w:type="dxa"/>
          <w:tblLayout w:type="fixed"/>
          <w:tblLook w:val="04A0"/>
        </w:tblPrEx>
        <w:tc>
          <w:tcPr>
            <w:tcW w:w="3570" w:type="dxa"/>
          </w:tcPr>
          <w:p w:rsidR="00507A0D">
            <w:pPr>
              <w:spacing w:line="36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石料压碎指标值（%）</w:t>
            </w: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≤12</w:t>
            </w: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≤16</w:t>
            </w: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W w:w="8522" w:type="dxa"/>
          <w:tblInd w:w="108" w:type="dxa"/>
          <w:tblLayout w:type="fixed"/>
          <w:tblLook w:val="04A0"/>
        </w:tblPrEx>
        <w:tc>
          <w:tcPr>
            <w:tcW w:w="3570" w:type="dxa"/>
          </w:tcPr>
          <w:p w:rsidR="00507A0D">
            <w:pPr>
              <w:spacing w:line="36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针片状颗粒含量（%）</w:t>
            </w: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-≤15</w:t>
            </w: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≤25</w:t>
            </w: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W w:w="8522" w:type="dxa"/>
          <w:tblInd w:w="108" w:type="dxa"/>
          <w:tblLayout w:type="fixed"/>
          <w:tblLook w:val="04A0"/>
        </w:tblPrEx>
        <w:tc>
          <w:tcPr>
            <w:tcW w:w="3570" w:type="dxa"/>
          </w:tcPr>
          <w:p w:rsidR="00507A0D">
            <w:pPr>
              <w:spacing w:line="36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含泥量（按质量计）（%）</w:t>
            </w: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≤1.0</w:t>
            </w: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≤2.0</w:t>
            </w:r>
          </w:p>
        </w:tc>
      </w:tr>
      <w:tr>
        <w:tblPrEx>
          <w:tblW w:w="8522" w:type="dxa"/>
          <w:tblInd w:w="108" w:type="dxa"/>
          <w:tblLayout w:type="fixed"/>
          <w:tblLook w:val="04A0"/>
        </w:tblPrEx>
        <w:tc>
          <w:tcPr>
            <w:tcW w:w="3570" w:type="dxa"/>
          </w:tcPr>
          <w:p w:rsidR="00507A0D">
            <w:pPr>
              <w:spacing w:line="36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泥块含量（按质量计）（%）</w:t>
            </w: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≤0.5</w:t>
            </w: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≤0.7</w:t>
            </w:r>
          </w:p>
        </w:tc>
      </w:tr>
      <w:tr>
        <w:tblPrEx>
          <w:tblW w:w="8522" w:type="dxa"/>
          <w:tblInd w:w="108" w:type="dxa"/>
          <w:tblLayout w:type="fixed"/>
          <w:tblLook w:val="04A0"/>
        </w:tblPrEx>
        <w:tc>
          <w:tcPr>
            <w:tcW w:w="3570" w:type="dxa"/>
          </w:tcPr>
          <w:p w:rsidR="00507A0D">
            <w:pPr>
              <w:spacing w:line="36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小于2.5mm的颗粒含量按质量计（%）</w:t>
            </w: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≤5</w:t>
            </w: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≤5</w:t>
            </w: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≤5</w:t>
            </w:r>
          </w:p>
        </w:tc>
        <w:tc>
          <w:tcPr>
            <w:tcW w:w="1238" w:type="dxa"/>
          </w:tcPr>
          <w:p w:rsidR="00507A0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≤5</w:t>
            </w:r>
          </w:p>
        </w:tc>
      </w:tr>
    </w:tbl>
    <w:p w:rsidR="00507A0D">
      <w:pPr>
        <w:spacing w:line="360" w:lineRule="auto"/>
        <w:ind w:firstLine="600" w:firstLineChars="2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1.3.</w:t>
      </w:r>
      <w:r>
        <w:rPr>
          <w:rFonts w:ascii="仿宋_GB2312" w:eastAsia="仿宋_GB2312" w:hAnsi="宋体" w:hint="eastAsia"/>
          <w:sz w:val="30"/>
          <w:szCs w:val="30"/>
        </w:rPr>
        <w:t>2、水泥：</w:t>
      </w:r>
    </w:p>
    <w:p w:rsidR="00507A0D">
      <w:pPr>
        <w:spacing w:line="360" w:lineRule="auto"/>
        <w:ind w:firstLine="600" w:firstLineChars="2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（1）选用水泥时，应</w:t>
      </w:r>
      <w:r>
        <w:rPr>
          <w:rFonts w:ascii="仿宋_GB2312" w:eastAsia="仿宋_GB2312" w:hAnsi="宋体" w:hint="eastAsia"/>
          <w:sz w:val="30"/>
          <w:szCs w:val="30"/>
        </w:rPr>
        <w:t>留意</w:t>
      </w:r>
      <w:r>
        <w:rPr>
          <w:rFonts w:ascii="仿宋_GB2312" w:eastAsia="仿宋_GB2312" w:hAnsi="宋体" w:hint="eastAsia"/>
          <w:sz w:val="30"/>
          <w:szCs w:val="30"/>
        </w:rPr>
        <w:t>其特性对水泥混凝土结构强度、耐久性和</w:t>
      </w:r>
      <w:r>
        <w:rPr>
          <w:rFonts w:ascii="仿宋_GB2312" w:eastAsia="仿宋_GB2312" w:hAnsi="宋体" w:hint="eastAsia"/>
          <w:sz w:val="30"/>
          <w:szCs w:val="30"/>
        </w:rPr>
        <w:t>运用</w:t>
      </w:r>
      <w:r>
        <w:rPr>
          <w:rFonts w:ascii="仿宋_GB2312" w:eastAsia="仿宋_GB2312" w:hAnsi="宋体" w:hint="eastAsia"/>
          <w:sz w:val="30"/>
          <w:szCs w:val="30"/>
        </w:rPr>
        <w:t>条件是否有不利影响。</w:t>
      </w:r>
    </w:p>
    <w:p w:rsidR="00507A0D">
      <w:pPr>
        <w:spacing w:line="360" w:lineRule="auto"/>
        <w:ind w:firstLine="600" w:firstLineChars="2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（2）选用水泥时，应以能使所配制的混凝土强度达到要求、收缩小、和易性好和节约水泥为原则。</w:t>
      </w:r>
    </w:p>
    <w:p w:rsidR="00507A0D">
      <w:pPr>
        <w:spacing w:line="360" w:lineRule="auto"/>
        <w:ind w:firstLine="600" w:firstLineChars="2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（3）水泥应符合现行国家标准，并附有制造厂的水泥品质试验报告等合格证明文件。水泥进场后，应按其品种、强度、证明文件以及出厂时间等</w:t>
      </w:r>
      <w:r>
        <w:rPr>
          <w:rFonts w:ascii="仿宋_GB2312" w:eastAsia="仿宋_GB2312" w:hAnsi="宋体" w:hint="eastAsia"/>
          <w:sz w:val="30"/>
          <w:szCs w:val="30"/>
        </w:rPr>
        <w:t>状况</w:t>
      </w:r>
      <w:r>
        <w:rPr>
          <w:rFonts w:ascii="仿宋_GB2312" w:eastAsia="仿宋_GB2312" w:hAnsi="宋体" w:hint="eastAsia"/>
          <w:sz w:val="30"/>
          <w:szCs w:val="30"/>
        </w:rPr>
        <w:t>进行检查验收。</w:t>
      </w:r>
    </w:p>
    <w:p w:rsidR="00507A0D">
      <w:pPr>
        <w:spacing w:line="360" w:lineRule="auto"/>
        <w:ind w:firstLine="600" w:firstLineChars="2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（4）袋装水泥在运输和储存室应防止受潮，堆垛高度不宜超过10袋。不同强度等级、品种和出厂日期的水泥应分别堆放。</w:t>
      </w:r>
    </w:p>
    <w:p w:rsidR="00507A0D">
      <w:pPr>
        <w:spacing w:line="360" w:lineRule="auto"/>
        <w:ind w:firstLine="600" w:firstLineChars="2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（5）散装水泥的储存，应尽可能</w:t>
      </w:r>
      <w:r>
        <w:rPr>
          <w:rFonts w:ascii="仿宋_GB2312" w:eastAsia="仿宋_GB2312" w:hAnsi="宋体" w:hint="eastAsia"/>
          <w:sz w:val="30"/>
          <w:szCs w:val="30"/>
        </w:rPr>
        <w:t>采纳</w:t>
      </w:r>
      <w:r>
        <w:rPr>
          <w:rFonts w:ascii="仿宋_GB2312" w:eastAsia="仿宋_GB2312" w:hAnsi="宋体" w:hint="eastAsia"/>
          <w:sz w:val="30"/>
          <w:szCs w:val="30"/>
        </w:rPr>
        <w:t>水泥罐或散袋水泥仓库。</w:t>
      </w:r>
      <w:r>
        <w:rPr>
          <w:rFonts w:ascii="仿宋_GB2312" w:eastAsia="仿宋_GB2312" w:hAnsi="宋体"/>
          <w:sz w:val="30"/>
          <w:szCs w:val="30"/>
        </w:rPr>
        <w:br/>
      </w:r>
      <w:r>
        <w:rPr>
          <w:rFonts w:ascii="仿宋_GB2312" w:eastAsia="仿宋_GB2312" w:hAnsi="宋体"/>
          <w:sz w:val="30"/>
          <w:szCs w:val="3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https://d.book118.com/066125151212010043</w:t>
        </w:r>
      </w:hyperlink>
    </w:p>
    <w:p w:rsidR="00507A0D">
      <w:pPr>
        <w:spacing w:line="360" w:lineRule="auto"/>
        <w:ind w:firstLine="600" w:firstLineChars="200"/>
        <w:rPr>
          <w:rFonts w:ascii="仿宋_GB2312" w:eastAsia="仿宋_GB2312" w:hAnsi="宋体"/>
          <w:sz w:val="30"/>
          <w:szCs w:val="30"/>
        </w:rPr>
      </w:pPr>
    </w:p>
    <w:sectPr>
      <w:type w:val="nextPage"/>
      <w:pgSz w:w="11906" w:h="16838"/>
      <w:pgMar w:top="1440" w:right="1800" w:bottom="1440" w:left="1800" w:header="851" w:footer="992" w:gutter="0"/>
      <w:pgNumType w:fmt="numberInDash"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AdobeSongStd-Light">
    <w:altName w:val="宋体"/>
    <w:charset w:val="86"/>
    <w:family w:val="auto"/>
    <w:pitch w:val="default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507A0D"/>
    <w:rsid w:val="009D19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pPr>
      <w:tabs>
        <w:tab w:val="right" w:leader="dot" w:pos="8296"/>
      </w:tabs>
      <w:jc w:val="center"/>
    </w:pPr>
    <w:rPr>
      <w:rFonts w:ascii="宋体" w:hAnsi="宋体"/>
      <w:sz w:val="28"/>
      <w:szCs w:val="28"/>
    </w:rPr>
  </w:style>
  <w:style w:type="paragraph" w:styleId="TOC2">
    <w:name w:val="toc 2"/>
    <w:basedOn w:val="Normal"/>
    <w:next w:val="Normal"/>
    <w:uiPriority w:val="39"/>
    <w:unhideWhenUsed/>
    <w:pPr>
      <w:ind w:left="420" w:leftChars="200"/>
    </w:p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customStyle="1" w:styleId="1">
    <w:name w:val="无间隔1"/>
    <w:next w:val="Normal"/>
    <w:qFormat/>
    <w:pPr>
      <w:widowControl w:val="0"/>
      <w:jc w:val="center"/>
    </w:pPr>
    <w:rPr>
      <w:b/>
      <w:bCs/>
      <w:kern w:val="2"/>
      <w:sz w:val="21"/>
      <w:szCs w:val="21"/>
    </w:rPr>
  </w:style>
  <w:style w:type="paragraph" w:customStyle="1" w:styleId="10">
    <w:name w:val="列出段落1"/>
    <w:basedOn w:val="Normal"/>
    <w:uiPriority w:val="34"/>
    <w:qFormat/>
    <w:pPr>
      <w:ind w:firstLine="420" w:firstLineChars="200"/>
    </w:pPr>
  </w:style>
  <w:style w:type="character" w:customStyle="1" w:styleId="Char">
    <w:name w:val="页眉 Char"/>
    <w:basedOn w:val="DefaultParagraphFont"/>
    <w:link w:val="Header"/>
    <w:uiPriority w:val="99"/>
    <w:semiHidden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2Char">
    <w:name w:val="标题 2 Char"/>
    <w:basedOn w:val="DefaultParagraphFont"/>
    <w:link w:val="Heading2"/>
    <w:uiPriority w:val="9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Pr>
      <w:rFonts w:ascii="Calibri" w:eastAsia="宋体" w:hAnsi="Calibri" w:cs="Times New Roman"/>
      <w:b/>
      <w:bCs/>
      <w:sz w:val="32"/>
      <w:szCs w:val="32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character" w:customStyle="1" w:styleId="1Char">
    <w:name w:val="标题 1 Char"/>
    <w:basedOn w:val="DefaultParagraphFont"/>
    <w:link w:val="Heading1"/>
    <w:uiPriority w:val="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yperlink" Target="https://d.book118.com/066125151212010043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 textRotate="1"/>
    <customShpInfo spid="_x0000_s1026" textRotate="1"/>
    <customShpInfo spid="_x0000_s1027" textRotate="1"/>
    <customShpInfo spid="_x0000_s102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1353</Words>
  <Characters>7715</Characters>
  <Application>Microsoft Office Word</Application>
  <DocSecurity>0</DocSecurity>
  <Lines>64</Lines>
  <Paragraphs>18</Paragraphs>
  <ScaleCrop>false</ScaleCrop>
  <Company>微软中国</Company>
  <LinksUpToDate>false</LinksUpToDate>
  <CharactersWithSpaces>9050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lenovo-pc</dc:creator>
  <cp:lastModifiedBy>JonMMx 2000</cp:lastModifiedBy>
  <cp:revision>1</cp:revision>
  <dcterms:created xsi:type="dcterms:W3CDTF">2014-03-09T06:47:00Z</dcterms:created>
  <dcterms:modified xsi:type="dcterms:W3CDTF">2020-01-21T18:01:00Z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2052-9.1.0.4843</vt:lpwstr>
  </property>
</Properties>
</file>