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Title"/>
      </w:pPr>
      <w:r>
        <w:rPr>
          <w:spacing w:val="-2"/>
        </w:rPr>
        <w:t>弃土场施工方案</w:t>
      </w:r>
    </w:p>
    <w:p>
      <w:pPr>
        <w:pStyle w:val="BodyText"/>
        <w:spacing w:before="5"/>
        <w:ind w:left="0"/>
        <w:rPr>
          <w:rFonts w:ascii="黑体"/>
          <w:sz w:val="69"/>
        </w:rPr>
      </w:pPr>
    </w:p>
    <w:p>
      <w:pPr>
        <w:pStyle w:val="BodyText"/>
        <w:tabs>
          <w:tab w:val="left" w:pos="5932"/>
        </w:tabs>
        <w:ind w:left="2508"/>
        <w:rPr>
          <w:rFonts w:ascii="Times New Roman" w:eastAsia="Times New Roman"/>
        </w:rPr>
      </w:pPr>
      <w:r>
        <w:t>批准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1"/>
        </w:rPr>
      </w:pPr>
    </w:p>
    <w:p>
      <w:pPr>
        <w:pStyle w:val="BodyText"/>
        <w:tabs>
          <w:tab w:val="left" w:pos="5932"/>
        </w:tabs>
        <w:spacing w:before="69"/>
        <w:ind w:left="2508"/>
        <w:rPr>
          <w:rFonts w:ascii="Times New Roman" w:eastAsia="Times New Roman"/>
        </w:rPr>
      </w:pPr>
      <w:r>
        <w:t>核定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8"/>
        <w:ind w:left="0"/>
        <w:rPr>
          <w:rFonts w:ascii="Times New Roman"/>
          <w:sz w:val="16"/>
        </w:rPr>
      </w:pPr>
    </w:p>
    <w:p>
      <w:pPr>
        <w:pStyle w:val="BodyText"/>
        <w:tabs>
          <w:tab w:val="left" w:pos="5932"/>
        </w:tabs>
        <w:spacing w:before="70"/>
        <w:ind w:left="2508"/>
        <w:rPr>
          <w:rFonts w:ascii="Times New Roman" w:eastAsia="Times New Roman"/>
        </w:rPr>
      </w:pPr>
      <w:r>
        <w:t>校核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7"/>
        <w:ind w:left="0"/>
        <w:rPr>
          <w:rFonts w:ascii="Times New Roman"/>
          <w:sz w:val="16"/>
        </w:rPr>
      </w:pPr>
    </w:p>
    <w:p>
      <w:pPr>
        <w:pStyle w:val="BodyText"/>
        <w:tabs>
          <w:tab w:val="left" w:pos="5932"/>
        </w:tabs>
        <w:spacing w:before="70"/>
        <w:ind w:left="2508"/>
        <w:rPr>
          <w:rFonts w:ascii="Times New Roman" w:eastAsia="Times New Roman"/>
        </w:rPr>
      </w:pPr>
      <w:r>
        <w:t>编制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175"/>
        <w:ind w:left="0" w:right="245"/>
        <w:jc w:val="center"/>
        <w:rPr>
          <w:rFonts w:ascii="宋体"/>
        </w:rPr>
      </w:pPr>
      <w:r>
        <w:rPr>
          <w:rFonts w:ascii="宋体"/>
        </w:rPr>
        <w:t>X</w:t>
      </w:r>
    </w:p>
    <w:p>
      <w:pPr>
        <w:pStyle w:val="BodyText"/>
        <w:tabs>
          <w:tab w:val="left" w:pos="593"/>
          <w:tab w:val="left" w:pos="1153"/>
        </w:tabs>
        <w:spacing w:before="178"/>
        <w:ind w:left="34"/>
        <w:jc w:val="center"/>
      </w:pP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>
      <w:pPr>
        <w:spacing w:after="0"/>
        <w:jc w:val="center"/>
        <w:sectPr>
          <w:type w:val="continuous"/>
          <w:pgSz w:w="11910" w:h="16840"/>
          <w:pgMar w:top="1920" w:right="1100" w:bottom="280" w:left="1460" w:header="708" w:footer="708"/>
          <w:cols w:space="708"/>
        </w:sectPr>
      </w:pPr>
    </w:p>
    <w:p>
      <w:pPr>
        <w:pStyle w:val="BodyText"/>
        <w:spacing w:before="4"/>
        <w:ind w:left="0"/>
        <w:rPr>
          <w:sz w:val="13"/>
        </w:rPr>
      </w:pPr>
    </w:p>
    <w:p>
      <w:pPr>
        <w:pStyle w:val="BodyText"/>
        <w:spacing w:before="61"/>
        <w:ind w:left="3205" w:right="2891"/>
        <w:jc w:val="center"/>
      </w:pPr>
      <w:r>
        <w:rPr>
          <w:spacing w:val="-5"/>
        </w:rPr>
        <w:t>目录</w:t>
      </w:r>
    </w:p>
    <w:p>
      <w:pPr>
        <w:spacing w:after="0"/>
        <w:jc w:val="center"/>
        <w:sectPr>
          <w:pgSz w:w="11910" w:h="16840"/>
          <w:pgMar w:top="1920" w:right="1100" w:bottom="2289" w:left="1460" w:header="708" w:footer="708"/>
          <w:pgNumType w:start="2"/>
          <w:cols w:space="708"/>
        </w:sectPr>
      </w:pPr>
    </w:p>
    <w:sdt>
      <w:sdtPr>
        <w:id w:val="131755222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971"/>
            </w:tabs>
            <w:spacing w:before="201"/>
          </w:pPr>
          <w:hyperlink w:anchor="_TOC_250011" w:history="1">
            <w:r>
              <w:t>一、工程概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2"/>
            <w:tabs>
              <w:tab w:val="right" w:leader="dot" w:pos="8971"/>
            </w:tabs>
            <w:spacing w:before="82"/>
          </w:pPr>
          <w:r>
            <w:t>（一）工程简</w:t>
          </w:r>
          <w:r>
            <w:rPr>
              <w:spacing w:val="-10"/>
            </w:rPr>
            <w:t>介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1</w:t>
          </w:r>
        </w:p>
        <w:p>
          <w:pPr>
            <w:pStyle w:val="TOC2"/>
            <w:tabs>
              <w:tab w:val="right" w:leader="dot" w:pos="8971"/>
            </w:tabs>
          </w:pPr>
          <w:r>
            <w:t>（二）地形地</w:t>
          </w:r>
          <w:r>
            <w:rPr>
              <w:spacing w:val="-10"/>
            </w:rPr>
            <w:t>貌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1</w:t>
          </w:r>
        </w:p>
        <w:p>
          <w:pPr>
            <w:pStyle w:val="TOC2"/>
            <w:tabs>
              <w:tab w:val="right" w:leader="dot" w:pos="8971"/>
            </w:tabs>
          </w:pPr>
          <w:r>
            <w:t>（三）气候、水文特</w:t>
          </w:r>
          <w:r>
            <w:rPr>
              <w:spacing w:val="-10"/>
            </w:rPr>
            <w:t>征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1</w:t>
          </w:r>
        </w:p>
        <w:p>
          <w:pPr>
            <w:pStyle w:val="TOC2"/>
            <w:tabs>
              <w:tab w:val="right" w:leader="dot" w:pos="8971"/>
            </w:tabs>
          </w:pPr>
          <w:r>
            <w:t>（四）水</w:t>
          </w:r>
          <w:r>
            <w:rPr>
              <w:spacing w:val="-10"/>
            </w:rPr>
            <w:t>系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2</w:t>
          </w:r>
        </w:p>
        <w:p>
          <w:pPr>
            <w:pStyle w:val="TOC2"/>
            <w:tabs>
              <w:tab w:val="right" w:leader="dot" w:pos="8971"/>
            </w:tabs>
            <w:spacing w:before="82"/>
          </w:pPr>
          <w:r>
            <w:t>（五）弃土场工程量统</w:t>
          </w:r>
          <w:r>
            <w:rPr>
              <w:spacing w:val="-10"/>
            </w:rPr>
            <w:t>计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2</w:t>
          </w:r>
        </w:p>
        <w:p>
          <w:pPr>
            <w:pStyle w:val="TOC2"/>
            <w:tabs>
              <w:tab w:val="right" w:leader="dot" w:pos="8971"/>
            </w:tabs>
          </w:pPr>
          <w:r>
            <w:t>（六）弃土场布</w:t>
          </w:r>
          <w:r>
            <w:rPr>
              <w:spacing w:val="-10"/>
            </w:rPr>
            <w:t>置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2</w:t>
          </w:r>
        </w:p>
        <w:p>
          <w:pPr>
            <w:pStyle w:val="TOC2"/>
            <w:tabs>
              <w:tab w:val="right" w:leader="dot" w:pos="8971"/>
            </w:tabs>
          </w:pPr>
          <w:r>
            <w:t>（七）弃土场防护工程量统计</w:t>
          </w:r>
          <w:r>
            <w:rPr>
              <w:spacing w:val="-10"/>
            </w:rPr>
            <w:t>表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3</w:t>
          </w:r>
        </w:p>
        <w:p>
          <w:pPr>
            <w:pStyle w:val="TOC1"/>
            <w:tabs>
              <w:tab w:val="right" w:leader="dot" w:pos="8971"/>
            </w:tabs>
          </w:pPr>
          <w:hyperlink w:anchor="_TOC_250010" w:history="1">
            <w:r>
              <w:t>二、编制依</w:t>
            </w:r>
            <w:r>
              <w:rPr>
                <w:spacing w:val="-10"/>
              </w:rPr>
              <w:t>据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8971"/>
            </w:tabs>
            <w:spacing w:before="82"/>
          </w:pPr>
          <w:hyperlink w:anchor="_TOC_250009" w:history="1">
            <w:r>
              <w:t>三、弃土场设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2"/>
            <w:tabs>
              <w:tab w:val="right" w:leader="dot" w:pos="8971"/>
            </w:tabs>
          </w:pPr>
          <w:r>
            <w:t>（一）弃土场设置基本要</w:t>
          </w:r>
          <w:r>
            <w:rPr>
              <w:spacing w:val="-10"/>
            </w:rPr>
            <w:t>求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4</w:t>
          </w:r>
        </w:p>
        <w:p>
          <w:pPr>
            <w:pStyle w:val="TOC2"/>
            <w:tabs>
              <w:tab w:val="right" w:leader="dot" w:pos="8971"/>
            </w:tabs>
          </w:pPr>
          <w:r>
            <w:t>（二）便道布</w:t>
          </w:r>
          <w:r>
            <w:rPr>
              <w:spacing w:val="-10"/>
            </w:rPr>
            <w:t>置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7</w:t>
          </w:r>
        </w:p>
        <w:p>
          <w:pPr>
            <w:pStyle w:val="TOC2"/>
            <w:tabs>
              <w:tab w:val="right" w:leader="dot" w:pos="8971"/>
            </w:tabs>
          </w:pPr>
          <w:r>
            <w:t>（三）施工用</w:t>
          </w:r>
          <w:r>
            <w:rPr>
              <w:spacing w:val="-10"/>
            </w:rPr>
            <w:t>水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8</w:t>
          </w:r>
        </w:p>
        <w:p>
          <w:pPr>
            <w:pStyle w:val="TOC1"/>
            <w:tabs>
              <w:tab w:val="right" w:leader="dot" w:pos="8971"/>
            </w:tabs>
            <w:spacing w:before="82"/>
          </w:pPr>
          <w:hyperlink w:anchor="_TOC_250008" w:history="1">
            <w:r>
              <w:t>四、弃土场防</w:t>
            </w:r>
            <w:r>
              <w:rPr>
                <w:spacing w:val="-10"/>
              </w:rPr>
              <w:t>护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2"/>
            <w:tabs>
              <w:tab w:val="right" w:leader="dot" w:pos="8971"/>
            </w:tabs>
          </w:pPr>
          <w:r>
            <w:t>（一）排水措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8</w:t>
          </w:r>
        </w:p>
        <w:p>
          <w:pPr>
            <w:pStyle w:val="TOC2"/>
            <w:tabs>
              <w:tab w:val="right" w:leader="dot" w:pos="8971"/>
            </w:tabs>
          </w:pPr>
          <w:r>
            <w:t>（二）防护措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9</w:t>
          </w:r>
        </w:p>
        <w:p>
          <w:pPr>
            <w:pStyle w:val="TOC1"/>
            <w:tabs>
              <w:tab w:val="right" w:leader="dot" w:pos="8971"/>
            </w:tabs>
          </w:pPr>
          <w:hyperlink w:anchor="_TOC_250007" w:history="1">
            <w:r>
              <w:t>五、施工方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>
          <w:pPr>
            <w:pStyle w:val="TOC2"/>
            <w:tabs>
              <w:tab w:val="right" w:leader="dot" w:pos="8971"/>
            </w:tabs>
            <w:spacing w:before="82"/>
          </w:pPr>
          <w:r>
            <w:t>（一）盲沟施</w:t>
          </w:r>
          <w:r>
            <w:rPr>
              <w:spacing w:val="-10"/>
            </w:rPr>
            <w:t>工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9</w:t>
          </w:r>
        </w:p>
        <w:p>
          <w:pPr>
            <w:pStyle w:val="TOC2"/>
            <w:tabs>
              <w:tab w:val="right" w:leader="dot" w:pos="8971"/>
            </w:tabs>
          </w:pPr>
          <w:r>
            <w:t>（二）排水沟施</w:t>
          </w:r>
          <w:r>
            <w:rPr>
              <w:spacing w:val="-10"/>
            </w:rPr>
            <w:t>工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10</w:t>
          </w:r>
        </w:p>
        <w:p>
          <w:pPr>
            <w:pStyle w:val="TOC2"/>
            <w:tabs>
              <w:tab w:val="right" w:leader="dot" w:pos="8971"/>
            </w:tabs>
          </w:pPr>
          <w:r>
            <w:t>（三）片石砼改沟施</w:t>
          </w:r>
          <w:r>
            <w:rPr>
              <w:spacing w:val="-10"/>
            </w:rPr>
            <w:t>工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10</w:t>
          </w:r>
        </w:p>
        <w:p>
          <w:pPr>
            <w:pStyle w:val="TOC2"/>
            <w:tabs>
              <w:tab w:val="right" w:leader="dot" w:pos="8971"/>
            </w:tabs>
          </w:pPr>
          <w:r>
            <w:t>（四）导流堤及砼挡土墙施工工</w:t>
          </w:r>
          <w:r>
            <w:rPr>
              <w:spacing w:val="-10"/>
            </w:rPr>
            <w:t>艺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14</w:t>
          </w:r>
        </w:p>
        <w:p>
          <w:pPr>
            <w:pStyle w:val="TOC1"/>
            <w:tabs>
              <w:tab w:val="right" w:leader="dot" w:pos="8971"/>
            </w:tabs>
            <w:spacing w:before="82"/>
          </w:pPr>
          <w:hyperlink w:anchor="_TOC_250006" w:history="1">
            <w:r>
              <w:t>六、资源配置计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2"/>
            <w:tabs>
              <w:tab w:val="right" w:leader="dot" w:pos="8971"/>
            </w:tabs>
          </w:pPr>
          <w:r>
            <w:t>（一）人员配</w:t>
          </w:r>
          <w:r>
            <w:rPr>
              <w:spacing w:val="-10"/>
            </w:rPr>
            <w:t>置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17</w:t>
          </w:r>
        </w:p>
        <w:p>
          <w:pPr>
            <w:pStyle w:val="TOC2"/>
            <w:tabs>
              <w:tab w:val="right" w:leader="dot" w:pos="8971"/>
            </w:tabs>
          </w:pPr>
          <w:r>
            <w:t>（二）主要机械设备配</w:t>
          </w:r>
          <w:r>
            <w:rPr>
              <w:spacing w:val="-10"/>
            </w:rPr>
            <w:t>置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18</w:t>
          </w:r>
        </w:p>
        <w:p>
          <w:pPr>
            <w:pStyle w:val="TOC1"/>
            <w:tabs>
              <w:tab w:val="right" w:leader="dot" w:pos="8971"/>
            </w:tabs>
          </w:pPr>
          <w:hyperlink w:anchor="_TOC_250005" w:history="1">
            <w:r>
              <w:t>七、施工进度计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18</w:t>
            </w:r>
          </w:hyperlink>
        </w:p>
        <w:p>
          <w:pPr>
            <w:pStyle w:val="TOC2"/>
            <w:tabs>
              <w:tab w:val="right" w:leader="dot" w:pos="8971"/>
            </w:tabs>
            <w:spacing w:before="82"/>
            <w:sectPr>
              <w:type w:val="continuous"/>
              <w:pgSz w:w="11910" w:h="16840"/>
              <w:pgMar w:top="1940" w:right="1100" w:bottom="2289" w:left="1460" w:header="708" w:footer="708"/>
              <w:pgNumType w:start="3"/>
              <w:cols w:space="708"/>
            </w:sectPr>
          </w:pPr>
          <w:r>
            <w:t>（一）制定原</w:t>
          </w:r>
          <w:r>
            <w:rPr>
              <w:spacing w:val="-10"/>
            </w:rPr>
            <w:t>则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18</w:t>
          </w:r>
        </w:p>
      </w:sdtContent>
    </w:sdt>
    <w:sdt>
      <w:sdtPr>
        <w:id w:val="672703508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right" w:leader="dot" w:pos="8971"/>
            </w:tabs>
            <w:spacing w:after="20"/>
          </w:pPr>
          <w:r>
            <w:t>（二）工期安</w:t>
          </w:r>
          <w:r>
            <w:rPr>
              <w:spacing w:val="-10"/>
            </w:rPr>
            <w:t>排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18</w:t>
          </w:r>
        </w:p>
        <w:p>
          <w:pPr>
            <w:pStyle w:val="TOC1"/>
            <w:tabs>
              <w:tab w:val="right" w:leader="dot" w:pos="8971"/>
            </w:tabs>
            <w:spacing w:before="232"/>
          </w:pPr>
          <w:hyperlink w:anchor="_TOC_250004" w:history="1">
            <w:r>
              <w:t>八、安全生产保证措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2"/>
            <w:tabs>
              <w:tab w:val="right" w:leader="dot" w:pos="8971"/>
            </w:tabs>
          </w:pPr>
          <w:r>
            <w:t>（一）安全目</w:t>
          </w:r>
          <w:r>
            <w:rPr>
              <w:spacing w:val="-10"/>
            </w:rPr>
            <w:t>标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19</w:t>
          </w:r>
        </w:p>
        <w:p>
          <w:pPr>
            <w:pStyle w:val="TOC2"/>
            <w:tabs>
              <w:tab w:val="right" w:leader="dot" w:pos="8971"/>
            </w:tabs>
          </w:pPr>
          <w:r>
            <w:t>（二）总体要</w:t>
          </w:r>
          <w:r>
            <w:rPr>
              <w:spacing w:val="-10"/>
            </w:rPr>
            <w:t>求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19</w:t>
          </w:r>
        </w:p>
        <w:p>
          <w:pPr>
            <w:pStyle w:val="TOC2"/>
            <w:tabs>
              <w:tab w:val="right" w:leader="dot" w:pos="8971"/>
            </w:tabs>
          </w:pPr>
          <w:r>
            <w:t>（三）具体措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20</w:t>
          </w:r>
        </w:p>
        <w:p>
          <w:pPr>
            <w:pStyle w:val="TOC1"/>
            <w:tabs>
              <w:tab w:val="right" w:leader="dot" w:pos="8971"/>
            </w:tabs>
            <w:spacing w:before="82"/>
          </w:pPr>
          <w:hyperlink w:anchor="_TOC_250003" w:history="1">
            <w:r>
              <w:t>九、质量保证措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2"/>
            <w:tabs>
              <w:tab w:val="right" w:leader="dot" w:pos="8971"/>
            </w:tabs>
          </w:pPr>
          <w:r>
            <w:t>（一）质量目</w:t>
          </w:r>
          <w:r>
            <w:rPr>
              <w:spacing w:val="-10"/>
            </w:rPr>
            <w:t>标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21</w:t>
          </w:r>
        </w:p>
        <w:p>
          <w:pPr>
            <w:pStyle w:val="TOC2"/>
            <w:tabs>
              <w:tab w:val="right" w:leader="dot" w:pos="8971"/>
            </w:tabs>
          </w:pPr>
          <w:r>
            <w:t>（二）具体措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21</w:t>
          </w:r>
        </w:p>
        <w:p>
          <w:pPr>
            <w:pStyle w:val="TOC1"/>
            <w:tabs>
              <w:tab w:val="right" w:leader="dot" w:pos="8971"/>
            </w:tabs>
          </w:pPr>
          <w:hyperlink w:anchor="_TOC_250002" w:history="1">
            <w:r>
              <w:t>十、环境保护措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22</w:t>
            </w:r>
          </w:hyperlink>
        </w:p>
        <w:p>
          <w:pPr>
            <w:pStyle w:val="TOC2"/>
            <w:tabs>
              <w:tab w:val="right" w:leader="dot" w:pos="8971"/>
            </w:tabs>
            <w:spacing w:before="82"/>
          </w:pPr>
          <w:r>
            <w:t>（一）环保目</w:t>
          </w:r>
          <w:r>
            <w:rPr>
              <w:spacing w:val="-10"/>
            </w:rPr>
            <w:t>标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22</w:t>
          </w:r>
        </w:p>
        <w:p>
          <w:pPr>
            <w:pStyle w:val="TOC2"/>
            <w:tabs>
              <w:tab w:val="right" w:leader="dot" w:pos="8971"/>
            </w:tabs>
          </w:pPr>
          <w:r>
            <w:t>（二）防尘降</w:t>
          </w:r>
          <w:r>
            <w:rPr>
              <w:spacing w:val="-10"/>
            </w:rPr>
            <w:t>噪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22</w:t>
          </w:r>
        </w:p>
        <w:p>
          <w:pPr>
            <w:pStyle w:val="TOC2"/>
            <w:tabs>
              <w:tab w:val="right" w:leader="dot" w:pos="8971"/>
            </w:tabs>
          </w:pPr>
          <w:r>
            <w:t>（三）水污染防</w:t>
          </w:r>
          <w:r>
            <w:rPr>
              <w:spacing w:val="-10"/>
            </w:rPr>
            <w:t>治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22</w:t>
          </w:r>
        </w:p>
        <w:p>
          <w:pPr>
            <w:pStyle w:val="TOC2"/>
            <w:tabs>
              <w:tab w:val="right" w:leader="dot" w:pos="8971"/>
            </w:tabs>
          </w:pPr>
          <w:r>
            <w:t>（四）大气污染防治措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22</w:t>
          </w:r>
        </w:p>
        <w:p>
          <w:pPr>
            <w:pStyle w:val="TOC2"/>
            <w:tabs>
              <w:tab w:val="right" w:leader="dot" w:pos="8971"/>
            </w:tabs>
            <w:spacing w:before="82"/>
          </w:pPr>
          <w:r>
            <w:t>（五）弃土还耕措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22</w:t>
          </w:r>
        </w:p>
        <w:p>
          <w:pPr>
            <w:pStyle w:val="TOC1"/>
            <w:tabs>
              <w:tab w:val="right" w:leader="dot" w:pos="8971"/>
            </w:tabs>
          </w:pPr>
          <w:hyperlink w:anchor="_TOC_250001" w:history="1">
            <w:r>
              <w:t>十一、文明施工、规范化管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23</w:t>
            </w:r>
          </w:hyperlink>
        </w:p>
        <w:p>
          <w:pPr>
            <w:pStyle w:val="TOC2"/>
            <w:tabs>
              <w:tab w:val="right" w:leader="dot" w:pos="8971"/>
            </w:tabs>
          </w:pPr>
          <w:r>
            <w:t>（一）文明施工目</w:t>
          </w:r>
          <w:r>
            <w:rPr>
              <w:spacing w:val="-10"/>
            </w:rPr>
            <w:t>标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23</w:t>
          </w:r>
        </w:p>
        <w:p>
          <w:pPr>
            <w:pStyle w:val="TOC2"/>
            <w:tabs>
              <w:tab w:val="right" w:leader="dot" w:pos="8971"/>
            </w:tabs>
          </w:pPr>
          <w:r>
            <w:t>（二）文明施工具体措</w:t>
          </w:r>
          <w:r>
            <w:rPr>
              <w:spacing w:val="-10"/>
            </w:rPr>
            <w:t>施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23</w:t>
          </w:r>
        </w:p>
        <w:p>
          <w:pPr>
            <w:pStyle w:val="TOC1"/>
            <w:tabs>
              <w:tab w:val="right" w:leader="dot" w:pos="8971"/>
            </w:tabs>
            <w:spacing w:before="82"/>
          </w:pPr>
          <w:hyperlink w:anchor="_TOC_250000" w:history="1">
            <w:r>
              <w:t>十二、附</w:t>
            </w:r>
            <w:r>
              <w:rPr>
                <w:spacing w:val="-10"/>
              </w:rPr>
              <w:t>图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23</w:t>
            </w:r>
          </w:hyperlink>
        </w:p>
      </w:sdtContent>
    </w:sdt>
    <w:p>
      <w:pPr>
        <w:spacing w:after="0"/>
        <w:sectPr>
          <w:type w:val="nextPage"/>
          <w:pgSz w:w="11910" w:h="16840"/>
          <w:pgMar w:top="1940" w:right="1100" w:bottom="2289" w:left="1460" w:header="708" w:footer="708"/>
          <w:pgNumType w:start="4"/>
          <w:cols w:space="708"/>
          <w:titlePg w:val="0"/>
        </w:sectPr>
      </w:pPr>
    </w:p>
    <w:p>
      <w:pPr>
        <w:pStyle w:val="Heading1"/>
        <w:spacing w:before="192"/>
        <w:ind w:left="3205" w:right="2811"/>
        <w:jc w:val="center"/>
        <w:rPr>
          <w:rFonts w:ascii="黑体" w:eastAsia="黑体"/>
        </w:rPr>
      </w:pPr>
      <w:r>
        <w:rPr>
          <w:rFonts w:ascii="黑体" w:eastAsia="黑体"/>
          <w:spacing w:val="-2"/>
        </w:rPr>
        <w:t>弃土场建设方案</w:t>
      </w:r>
    </w:p>
    <w:p>
      <w:pPr>
        <w:pStyle w:val="Heading1"/>
        <w:spacing w:before="30"/>
      </w:pPr>
      <w:bookmarkStart w:id="0" w:name="_TOC_250011"/>
      <w:bookmarkEnd w:id="0"/>
      <w:r>
        <w:rPr>
          <w:spacing w:val="-2"/>
        </w:rPr>
        <w:t>一、工程概况</w:t>
      </w:r>
    </w:p>
    <w:p>
      <w:pPr>
        <w:pStyle w:val="BodyText"/>
        <w:spacing w:before="70"/>
        <w:ind w:left="688"/>
      </w:pPr>
      <w:r>
        <w:t>（一）</w:t>
      </w:r>
      <w:r>
        <w:rPr>
          <w:spacing w:val="-3"/>
        </w:rPr>
        <w:t>工程简介</w:t>
      </w:r>
    </w:p>
    <w:p>
      <w:pPr>
        <w:pStyle w:val="BodyText"/>
        <w:spacing w:before="81"/>
        <w:ind w:left="968"/>
        <w:jc w:val="both"/>
      </w:pPr>
      <w:r>
        <w:rPr>
          <w:spacing w:val="-9"/>
        </w:rPr>
        <w:t xml:space="preserve">高速公路 起点 </w:t>
      </w:r>
      <w:r>
        <w:t xml:space="preserve">K172+514 </w:t>
      </w:r>
      <w:r>
        <w:rPr>
          <w:spacing w:val="-2"/>
        </w:rPr>
        <w:t>（2414.5m），</w:t>
      </w:r>
    </w:p>
    <w:p>
      <w:pPr>
        <w:pStyle w:val="BodyText"/>
        <w:spacing w:before="81" w:line="295" w:lineRule="auto"/>
        <w:ind w:right="371" w:firstLine="560"/>
        <w:jc w:val="both"/>
      </w:pPr>
      <w:r>
        <w:rPr>
          <w:spacing w:val="-5"/>
        </w:rPr>
        <w:t xml:space="preserve">本分部位于山区，沿线地形起伏较大，区内海拔多在 </w:t>
      </w:r>
      <w:r>
        <w:rPr>
          <w:spacing w:val="-4"/>
        </w:rPr>
        <w:t>500～900m，相</w:t>
      </w:r>
      <w:r>
        <w:rPr>
          <w:spacing w:val="-3"/>
        </w:rPr>
        <w:t xml:space="preserve">对高差 </w:t>
      </w:r>
      <w:r>
        <w:t>50～740m，属低山、中山区地形。地形地貌收构造一岩性控制明</w:t>
      </w:r>
      <w:r>
        <w:rPr>
          <w:spacing w:val="-13"/>
        </w:rPr>
        <w:t>显，起主体山脉走向与构造线延展方向基本一致，主沟槽一般与构造线方</w:t>
      </w:r>
      <w:r>
        <w:rPr>
          <w:spacing w:val="-2"/>
        </w:rPr>
        <w:t>向近于垂直，多呈“V”字型。斜坡多呈阶状台地，表层上覆盖第四系全</w:t>
      </w:r>
      <w:r>
        <w:rPr>
          <w:spacing w:val="-4"/>
        </w:rPr>
        <w:t>新统崩坡积层（汗角砾）粘土及砂、泥岩块石覆盖，厚度分部不均匀。山</w:t>
      </w:r>
      <w:r>
        <w:rPr>
          <w:spacing w:val="-9"/>
        </w:rPr>
        <w:t>脊及沟两侧坡度较陡地带多见基岩出露。沟谷底部多上覆坡洪积漂卵石土</w:t>
      </w:r>
      <w:r>
        <w:rPr>
          <w:spacing w:val="-6"/>
        </w:rPr>
        <w:t>层。</w:t>
      </w:r>
    </w:p>
    <w:p>
      <w:pPr>
        <w:pStyle w:val="BodyText"/>
        <w:spacing w:line="295" w:lineRule="auto"/>
        <w:ind w:right="371" w:firstLine="560"/>
      </w:pPr>
      <w:r>
        <w:rPr>
          <w:spacing w:val="-8"/>
        </w:rPr>
        <w:t>项目区内地貌类别主要有构造剥蚀地貌、山麓斜坡堆积地貌、河流侵</w:t>
      </w:r>
      <w:r>
        <w:rPr>
          <w:spacing w:val="-2"/>
        </w:rPr>
        <w:t>蚀地貌三类。</w:t>
      </w:r>
    </w:p>
    <w:p>
      <w:pPr>
        <w:pStyle w:val="BodyText"/>
        <w:spacing w:line="356" w:lineRule="exact"/>
        <w:ind w:left="688"/>
      </w:pPr>
      <w:r>
        <w:t>（三）</w:t>
      </w:r>
      <w:r>
        <w:rPr>
          <w:spacing w:val="-2"/>
        </w:rPr>
        <w:t>气候、水文特征</w:t>
      </w:r>
    </w:p>
    <w:p>
      <w:pPr>
        <w:pStyle w:val="BodyText"/>
        <w:spacing w:before="73" w:line="295" w:lineRule="auto"/>
        <w:ind w:right="231" w:firstLine="560"/>
        <w:jc w:val="both"/>
      </w:pPr>
      <w:r>
        <w:rPr>
          <w:spacing w:val="-2"/>
        </w:rPr>
        <w:t>本分部地处亚热带温暖潮湿气候地区，气候温和、雨量充沛。一月平</w:t>
      </w:r>
      <w:r>
        <w:rPr>
          <w:spacing w:val="-2"/>
        </w:rPr>
        <w:t xml:space="preserve">均气温 </w:t>
      </w:r>
      <w:r>
        <w:t>1～7℃</w:t>
      </w:r>
      <w:r>
        <w:rPr>
          <w:spacing w:val="-1"/>
        </w:rPr>
        <w:t xml:space="preserve">之间，七月平均气温 </w:t>
      </w:r>
      <w:r>
        <w:t>23℃作业，具有冬暖、春早、夏热的</w:t>
      </w:r>
      <w:r>
        <w:rPr>
          <w:spacing w:val="-4"/>
        </w:rPr>
        <w:t xml:space="preserve">特点。平坝无霜期长达 </w:t>
      </w:r>
      <w:r>
        <w:t>10</w:t>
      </w:r>
      <w:r>
        <w:rPr>
          <w:spacing w:val="-9"/>
        </w:rPr>
        <w:t xml:space="preserve"> 个月，山岭地区亦有 </w:t>
      </w:r>
      <w:r>
        <w:t>8</w:t>
      </w:r>
      <w:r>
        <w:rPr>
          <w:spacing w:val="-6"/>
        </w:rPr>
        <w:t xml:space="preserve"> 个月左右。冬季多雾。</w:t>
      </w:r>
      <w:r>
        <w:rPr>
          <w:spacing w:val="-1"/>
        </w:rPr>
        <w:t xml:space="preserve">多年平均气温 </w:t>
      </w:r>
      <w:r>
        <w:t>16℃</w:t>
      </w:r>
      <w:r>
        <w:rPr>
          <w:spacing w:val="-1"/>
        </w:rPr>
        <w:t xml:space="preserve">左右，年平均湿度 </w:t>
      </w:r>
      <w:r>
        <w:t>75%</w:t>
      </w:r>
      <w:r>
        <w:rPr>
          <w:spacing w:val="-1"/>
        </w:rPr>
        <w:t xml:space="preserve">左右，多年平均蒸发量 </w:t>
      </w:r>
      <w:r>
        <w:t>1000mm</w:t>
      </w:r>
      <w:r>
        <w:rPr>
          <w:spacing w:val="-12"/>
        </w:rPr>
        <w:t>左右。降雨量有自东北向西南和自东向西减少的趋势。近大巴山区和海拔</w:t>
      </w:r>
      <w:r>
        <w:rPr>
          <w:spacing w:val="-9"/>
        </w:rPr>
        <w:t xml:space="preserve">大于 </w:t>
      </w:r>
      <w:r>
        <w:t>1000m</w:t>
      </w:r>
      <w:r>
        <w:rPr>
          <w:spacing w:val="-8"/>
        </w:rPr>
        <w:t xml:space="preserve"> 的地带年降雨量都在 </w:t>
      </w:r>
      <w:r>
        <w:t>1000mm</w:t>
      </w:r>
      <w:r>
        <w:rPr>
          <w:spacing w:val="-9"/>
        </w:rPr>
        <w:t xml:space="preserve"> 以上，</w:t>
      </w:r>
      <w:r>
        <w:t>1000m</w:t>
      </w:r>
      <w:r>
        <w:rPr>
          <w:spacing w:val="-6"/>
        </w:rPr>
        <w:t xml:space="preserve"> 以下的地区年降雨</w:t>
      </w:r>
      <w:r>
        <w:rPr>
          <w:spacing w:val="-14"/>
        </w:rPr>
        <w:t xml:space="preserve">量一般在 </w:t>
      </w:r>
      <w:r>
        <w:t>800～1000mm</w:t>
      </w:r>
      <w:r>
        <w:rPr>
          <w:spacing w:val="-20"/>
        </w:rPr>
        <w:t xml:space="preserve"> 之间。雨季多在春、夏、秋末季节，常年多有伏旱。</w:t>
      </w:r>
    </w:p>
    <w:p>
      <w:pPr>
        <w:pStyle w:val="BodyText"/>
        <w:spacing w:line="350" w:lineRule="exact"/>
        <w:ind w:left="688"/>
      </w:pPr>
      <w:r>
        <w:t>（四）</w:t>
      </w:r>
      <w:r>
        <w:rPr>
          <w:spacing w:val="-5"/>
        </w:rPr>
        <w:t>水系</w:t>
      </w:r>
    </w:p>
    <w:p>
      <w:pPr>
        <w:pStyle w:val="BodyText"/>
        <w:spacing w:before="81" w:line="295" w:lineRule="auto"/>
        <w:ind w:right="371" w:firstLine="560"/>
        <w:jc w:val="both"/>
      </w:pPr>
      <w:r>
        <w:rPr>
          <w:spacing w:val="-10"/>
        </w:rPr>
        <w:t>地表水水系属于汉江水系，主要河流为后河。区内河溪均为山溪性水</w:t>
      </w:r>
      <w:r>
        <w:rPr>
          <w:spacing w:val="-4"/>
        </w:rPr>
        <w:t>流。水系都以横穿构造走向发育为主，呈树枝状分布，各河均源自北部山</w:t>
      </w:r>
      <w:r>
        <w:rPr>
          <w:spacing w:val="-2"/>
        </w:rPr>
        <w:t>地区，是典型的山区季节性河流</w:t>
      </w:r>
    </w:p>
    <w:p>
      <w:pPr>
        <w:pStyle w:val="BodyText"/>
        <w:spacing w:line="295" w:lineRule="auto"/>
        <w:ind w:right="371" w:firstLine="560"/>
      </w:pPr>
      <w:r>
        <w:rPr>
          <w:spacing w:val="-4"/>
        </w:rPr>
        <w:t>地下水十分发育，工作区，主要分布有第四系松散层孔隙水、基岩裂</w:t>
      </w:r>
      <w:r>
        <w:rPr>
          <w:spacing w:val="-4"/>
        </w:rPr>
        <w:t>隙水。</w:t>
      </w:r>
    </w:p>
    <w:p>
      <w:pPr>
        <w:pStyle w:val="BodyText"/>
        <w:spacing w:line="356" w:lineRule="exact"/>
        <w:ind w:left="688"/>
      </w:pPr>
      <w:r>
        <w:rPr>
          <w:spacing w:val="-11"/>
        </w:rPr>
        <w:t>松散层孔隙水：主要赋存于卵石土、含碎石粉质粘土、块石土等松散</w:t>
      </w:r>
    </w:p>
    <w:p>
      <w:pPr>
        <w:spacing w:after="0" w:line="356" w:lineRule="exact"/>
        <w:sectPr>
          <w:footerReference w:type="default" r:id="rId4"/>
          <w:pgSz w:w="11910" w:h="16840"/>
          <w:pgMar w:top="1920" w:right="1100" w:bottom="1640" w:left="1460" w:header="0" w:footer="1455"/>
          <w:pgNumType w:start="1"/>
          <w:cols w:space="708"/>
        </w:sectPr>
      </w:pPr>
    </w:p>
    <w:p>
      <w:pPr>
        <w:pStyle w:val="BodyText"/>
        <w:spacing w:before="4"/>
        <w:ind w:left="0"/>
        <w:rPr>
          <w:sz w:val="13"/>
        </w:rPr>
      </w:pPr>
    </w:p>
    <w:p>
      <w:pPr>
        <w:pStyle w:val="BodyText"/>
        <w:spacing w:before="61" w:line="295" w:lineRule="auto"/>
        <w:ind w:right="371"/>
      </w:pPr>
      <w:r>
        <w:rPr>
          <w:spacing w:val="-4"/>
        </w:rPr>
        <w:t>堆积层中，具有埋藏浅。分布范围小、含水性受季节变化影响等特点，且</w:t>
      </w:r>
      <w:r>
        <w:rPr>
          <w:spacing w:val="-2"/>
        </w:rPr>
        <w:t>局部粘性土层中有上层滞水现象，该层透水性及富水性一般。</w:t>
      </w:r>
    </w:p>
    <w:p>
      <w:pPr>
        <w:pStyle w:val="BodyText"/>
        <w:spacing w:line="295" w:lineRule="auto"/>
        <w:ind w:right="371" w:firstLine="560"/>
        <w:jc w:val="both"/>
      </w:pPr>
      <w:r>
        <w:rPr>
          <w:spacing w:val="-14"/>
        </w:rPr>
        <w:t>基岩裂隙水：主要赋存于碎屑岩类岩石</w:t>
      </w:r>
      <w:r>
        <w:rPr>
          <w:spacing w:val="-2"/>
        </w:rPr>
        <w:t>（泥岩、粉砂岩、砂岩等）</w:t>
      </w:r>
      <w:r>
        <w:rPr>
          <w:spacing w:val="-2"/>
        </w:rPr>
        <w:t>强</w:t>
      </w:r>
      <w:r>
        <w:rPr>
          <w:spacing w:val="-9"/>
        </w:rPr>
        <w:t>风化裂隙带河构造裂隙带内，受大气降水及上部潜水步给，尤其赋存于路</w:t>
      </w:r>
      <w:r>
        <w:rPr>
          <w:spacing w:val="-2"/>
        </w:rPr>
        <w:t>线区各组岩层的砂岩含水层中。其富水性及透水性均较好。</w:t>
      </w:r>
    </w:p>
    <w:p>
      <w:pPr>
        <w:pStyle w:val="BodyText"/>
        <w:spacing w:line="295" w:lineRule="auto"/>
        <w:ind w:right="117" w:firstLine="560"/>
      </w:pPr>
      <w:r>
        <w:rPr>
          <w:spacing w:val="-14"/>
        </w:rPr>
        <w:t>根据水质分析资料，路段起点至草坝段出露的基岩主要为白垩系地层，</w:t>
      </w:r>
      <w:r>
        <w:rPr>
          <w:spacing w:val="-2"/>
        </w:rPr>
        <w:t>环境水对砼具微腐蚀性。</w:t>
      </w:r>
    </w:p>
    <w:p>
      <w:pPr>
        <w:pStyle w:val="BodyText"/>
        <w:spacing w:line="356" w:lineRule="exact"/>
        <w:ind w:left="688"/>
      </w:pPr>
      <w:r>
        <w:t>（五）</w:t>
      </w:r>
      <w:r>
        <w:rPr>
          <w:spacing w:val="-2"/>
        </w:rPr>
        <w:t>弃土场工程量统计</w:t>
      </w:r>
    </w:p>
    <w:p>
      <w:pPr>
        <w:pStyle w:val="BodyText"/>
        <w:spacing w:before="75" w:line="295" w:lineRule="auto"/>
        <w:ind w:right="371" w:firstLine="560"/>
        <w:jc w:val="both"/>
      </w:pPr>
      <w:r>
        <w:rPr>
          <w:spacing w:val="-8"/>
        </w:rPr>
        <w:t xml:space="preserve">本分部路基挖方量 </w:t>
      </w:r>
      <w:r>
        <w:rPr>
          <w:spacing w:val="-4"/>
        </w:rPr>
        <w:t>212</w:t>
      </w:r>
      <w:r>
        <w:rPr>
          <w:spacing w:val="-23"/>
        </w:rPr>
        <w:t xml:space="preserve"> 万 </w:t>
      </w:r>
      <w:r>
        <w:rPr>
          <w:spacing w:val="-4"/>
        </w:rPr>
        <w:t>m</w:t>
      </w:r>
      <w:r>
        <w:rPr>
          <w:rFonts w:ascii="Calibri" w:eastAsia="Calibri" w:hAnsi="Calibri"/>
          <w:spacing w:val="-4"/>
        </w:rPr>
        <w:t>³</w:t>
      </w:r>
      <w:r>
        <w:rPr>
          <w:spacing w:val="-9"/>
        </w:rPr>
        <w:t xml:space="preserve">，填方量为 </w:t>
      </w:r>
      <w:r>
        <w:rPr>
          <w:spacing w:val="-4"/>
        </w:rPr>
        <w:t>114</w:t>
      </w:r>
      <w:r>
        <w:rPr>
          <w:spacing w:val="-17"/>
        </w:rPr>
        <w:t xml:space="preserve"> 万 </w:t>
      </w:r>
      <w:r>
        <w:rPr>
          <w:spacing w:val="-4"/>
        </w:rPr>
        <w:t>m</w:t>
      </w:r>
      <w:r>
        <w:rPr>
          <w:rFonts w:ascii="Calibri" w:eastAsia="Calibri" w:hAnsi="Calibri"/>
          <w:spacing w:val="-4"/>
        </w:rPr>
        <w:t>³</w:t>
      </w:r>
      <w:r>
        <w:rPr>
          <w:spacing w:val="-8"/>
        </w:rPr>
        <w:t xml:space="preserve">，隧道弃渣量 </w:t>
      </w:r>
      <w:r>
        <w:rPr>
          <w:spacing w:val="-4"/>
        </w:rPr>
        <w:t>111</w:t>
      </w:r>
      <w:r>
        <w:rPr>
          <w:spacing w:val="-16"/>
        </w:rPr>
        <w:t xml:space="preserve">万 </w:t>
      </w:r>
      <w:r>
        <w:rPr>
          <w:spacing w:val="-12"/>
        </w:rPr>
        <w:t>m</w:t>
      </w:r>
      <w:r>
        <w:rPr>
          <w:rFonts w:ascii="Calibri" w:eastAsia="Calibri" w:hAnsi="Calibri"/>
          <w:spacing w:val="-12"/>
        </w:rPr>
        <w:t>³</w:t>
      </w:r>
      <w:r>
        <w:rPr>
          <w:spacing w:val="-13"/>
        </w:rPr>
        <w:t xml:space="preserve">，其中路基弃方量为 </w:t>
      </w:r>
      <w:r>
        <w:rPr>
          <w:spacing w:val="-12"/>
        </w:rPr>
        <w:t>140</w:t>
      </w:r>
      <w:r>
        <w:rPr>
          <w:spacing w:val="-18"/>
        </w:rPr>
        <w:t xml:space="preserve"> 万 </w:t>
      </w:r>
      <w:r>
        <w:rPr>
          <w:spacing w:val="-12"/>
        </w:rPr>
        <w:t>m</w:t>
      </w:r>
      <w:r>
        <w:rPr>
          <w:rFonts w:ascii="Calibri" w:eastAsia="Calibri" w:hAnsi="Calibri"/>
          <w:spacing w:val="-12"/>
        </w:rPr>
        <w:t>³</w:t>
      </w:r>
      <w:r>
        <w:rPr>
          <w:spacing w:val="-13"/>
        </w:rPr>
        <w:t xml:space="preserve">，隧道弃方量为 </w:t>
      </w:r>
      <w:r>
        <w:rPr>
          <w:spacing w:val="-12"/>
        </w:rPr>
        <w:t>69</w:t>
      </w:r>
      <w:r>
        <w:rPr>
          <w:spacing w:val="-18"/>
        </w:rPr>
        <w:t xml:space="preserve"> 万 </w:t>
      </w:r>
      <w:r>
        <w:rPr>
          <w:spacing w:val="-12"/>
        </w:rPr>
        <w:t>m</w:t>
      </w:r>
      <w:r>
        <w:rPr>
          <w:rFonts w:ascii="Calibri" w:eastAsia="Calibri" w:hAnsi="Calibri"/>
          <w:spacing w:val="-12"/>
        </w:rPr>
        <w:t>³</w:t>
      </w:r>
      <w:r>
        <w:rPr>
          <w:spacing w:val="-12"/>
        </w:rPr>
        <w:t>，总体弃方量</w:t>
      </w:r>
      <w:r>
        <w:t>为：209</w:t>
      </w:r>
      <w:r>
        <w:rPr>
          <w:spacing w:val="-15"/>
        </w:rPr>
        <w:t xml:space="preserve"> 万 </w:t>
      </w:r>
      <w:r>
        <w:t>m</w:t>
      </w:r>
      <w:r>
        <w:rPr>
          <w:rFonts w:ascii="Calibri" w:eastAsia="Calibri" w:hAnsi="Calibri"/>
        </w:rPr>
        <w:t>³</w:t>
      </w:r>
      <w:r>
        <w:t>，具体弃方数量统计见下表：</w:t>
      </w:r>
    </w:p>
    <w:p>
      <w:pPr>
        <w:spacing w:before="0" w:line="419" w:lineRule="exact"/>
        <w:ind w:left="34" w:right="279" w:firstLine="0"/>
        <w:jc w:val="center"/>
        <w:rPr>
          <w:rFonts w:ascii="Microsoft JhengHei" w:eastAsia="Microsoft JhengHei"/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44.2pt;height:160.5pt;margin-top:18.21pt;margin-left:78.4pt;mso-position-horizontal-relative:page;position:absolute;z-index:251658240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52"/>
                    <w:gridCol w:w="1516"/>
                    <w:gridCol w:w="943"/>
                    <w:gridCol w:w="944"/>
                    <w:gridCol w:w="944"/>
                    <w:gridCol w:w="944"/>
                    <w:gridCol w:w="943"/>
                    <w:gridCol w:w="944"/>
                    <w:gridCol w:w="944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0"/>
                      <w:jc w:val="left"/>
                    </w:trPr>
                    <w:tc>
                      <w:tcPr>
                        <w:tcW w:w="752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Microsoft JhengHei"/>
                            <w:b/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16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段落</w:t>
                        </w:r>
                      </w:p>
                    </w:tc>
                    <w:tc>
                      <w:tcPr>
                        <w:tcW w:w="2459" w:type="dxa"/>
                        <w:gridSpan w:val="2"/>
                      </w:tcPr>
                      <w:p>
                        <w:pPr>
                          <w:pStyle w:val="TableParagraph"/>
                          <w:spacing w:before="177"/>
                          <w:ind w:left="8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路基挖方</w:t>
                        </w:r>
                      </w:p>
                    </w:tc>
                    <w:tc>
                      <w:tcPr>
                        <w:tcW w:w="2832" w:type="dxa"/>
                        <w:gridSpan w:val="3"/>
                      </w:tcPr>
                      <w:p>
                        <w:pPr>
                          <w:pStyle w:val="TableParagraph"/>
                          <w:spacing w:before="177"/>
                          <w:ind w:left="1191" w:right="1181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填方</w:t>
                        </w:r>
                      </w:p>
                    </w:tc>
                    <w:tc>
                      <w:tcPr>
                        <w:tcW w:w="1887" w:type="dxa"/>
                        <w:gridSpan w:val="2"/>
                      </w:tcPr>
                      <w:p>
                        <w:pPr>
                          <w:pStyle w:val="TableParagraph"/>
                          <w:spacing w:before="177"/>
                          <w:ind w:left="523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路基弃方</w:t>
                        </w:r>
                      </w:p>
                    </w:tc>
                    <w:tc>
                      <w:tcPr>
                        <w:tcW w:w="944" w:type="dxa"/>
                        <w:vMerge w:val="restart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Microsoft JhengHei"/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55" w:lineRule="exact"/>
                          <w:ind w:left="38" w:right="28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隧道弃渣</w:t>
                        </w:r>
                      </w:p>
                      <w:p>
                        <w:pPr>
                          <w:pStyle w:val="TableParagraph"/>
                          <w:spacing w:line="255" w:lineRule="exact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0"/>
                      <w:jc w:val="left"/>
                    </w:trPr>
                    <w:tc>
                      <w:tcPr>
                        <w:tcW w:w="75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57" w:line="255" w:lineRule="exact"/>
                          <w:ind w:left="44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挖土方</w:t>
                        </w:r>
                      </w:p>
                      <w:p>
                        <w:pPr>
                          <w:pStyle w:val="TableParagraph"/>
                          <w:spacing w:line="255" w:lineRule="exact"/>
                          <w:ind w:left="46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57" w:line="255" w:lineRule="exact"/>
                          <w:ind w:left="156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挖石方</w:t>
                        </w:r>
                      </w:p>
                      <w:p>
                        <w:pPr>
                          <w:pStyle w:val="TableParagraph"/>
                          <w:spacing w:line="255" w:lineRule="exact"/>
                          <w:ind w:left="173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57" w:line="255" w:lineRule="exact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填方总量</w:t>
                        </w:r>
                      </w:p>
                      <w:p>
                        <w:pPr>
                          <w:pStyle w:val="TableParagraph"/>
                          <w:spacing w:line="255" w:lineRule="exact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57" w:line="255" w:lineRule="exact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利用石方</w:t>
                        </w:r>
                      </w:p>
                      <w:p>
                        <w:pPr>
                          <w:pStyle w:val="TableParagraph"/>
                          <w:spacing w:line="255" w:lineRule="exact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57" w:line="255" w:lineRule="exact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利用洞渣</w:t>
                        </w:r>
                      </w:p>
                      <w:p>
                        <w:pPr>
                          <w:pStyle w:val="TableParagraph"/>
                          <w:spacing w:line="255" w:lineRule="exact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7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土</w:t>
                        </w: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石</w:t>
                        </w: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94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0"/>
                      <w:jc w:val="left"/>
                    </w:trPr>
                    <w:tc>
                      <w:tcPr>
                        <w:tcW w:w="752" w:type="dxa"/>
                      </w:tcPr>
                      <w:p>
                        <w:pPr>
                          <w:pStyle w:val="TableParagraph"/>
                          <w:spacing w:before="177"/>
                          <w:ind w:left="47" w:right="37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主线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177"/>
                          <w:ind w:left="428" w:right="419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249804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6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1083779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15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934414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510550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423864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249804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573229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685192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0"/>
                      <w:jc w:val="left"/>
                    </w:trPr>
                    <w:tc>
                      <w:tcPr>
                        <w:tcW w:w="752" w:type="dxa"/>
                      </w:tcPr>
                      <w:p>
                        <w:pPr>
                          <w:pStyle w:val="TableParagraph"/>
                          <w:spacing w:before="177"/>
                          <w:ind w:left="47" w:right="37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互通区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177"/>
                          <w:ind w:left="428" w:right="419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250469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6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535640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15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205421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205421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/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250469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330219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1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/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30"/>
                      <w:jc w:val="left"/>
                    </w:trPr>
                    <w:tc>
                      <w:tcPr>
                        <w:tcW w:w="752" w:type="dxa"/>
                      </w:tcPr>
                      <w:p>
                        <w:pPr>
                          <w:pStyle w:val="TableParagraph"/>
                          <w:spacing w:before="177"/>
                          <w:ind w:left="47" w:right="37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合计</w:t>
                        </w:r>
                      </w:p>
                    </w:tc>
                    <w:tc>
                      <w:tcPr>
                        <w:tcW w:w="1516" w:type="dxa"/>
                      </w:tcPr>
                      <w:p>
                        <w:pPr>
                          <w:pStyle w:val="TableParagraph"/>
                          <w:spacing w:before="177"/>
                          <w:ind w:left="428" w:right="419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500273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6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1619419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104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1139835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715971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423864</w:t>
                        </w:r>
                      </w:p>
                    </w:tc>
                    <w:tc>
                      <w:tcPr>
                        <w:tcW w:w="943" w:type="dxa"/>
                      </w:tcPr>
                      <w:p>
                        <w:pPr>
                          <w:pStyle w:val="TableParagraph"/>
                          <w:spacing w:before="177"/>
                          <w:ind w:left="56" w:right="4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500273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8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903448</w:t>
                        </w:r>
                      </w:p>
                    </w:tc>
                    <w:tc>
                      <w:tcPr>
                        <w:tcW w:w="944" w:type="dxa"/>
                      </w:tcPr>
                      <w:p>
                        <w:pPr>
                          <w:pStyle w:val="TableParagraph"/>
                          <w:spacing w:before="177"/>
                          <w:ind w:left="37" w:right="2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685192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rFonts w:ascii="Microsoft JhengHei" w:eastAsia="Microsoft JhengHei"/>
          <w:b/>
          <w:spacing w:val="-3"/>
          <w:sz w:val="28"/>
        </w:rPr>
        <w:t xml:space="preserve">表 </w:t>
      </w:r>
      <w:r>
        <w:rPr>
          <w:rFonts w:ascii="Microsoft JhengHei" w:eastAsia="Microsoft JhengHei"/>
          <w:b/>
          <w:sz w:val="28"/>
        </w:rPr>
        <w:t>1</w:t>
      </w:r>
      <w:r>
        <w:rPr>
          <w:rFonts w:ascii="Microsoft JhengHei" w:eastAsia="Microsoft JhengHei"/>
          <w:b/>
          <w:spacing w:val="2"/>
          <w:sz w:val="28"/>
        </w:rPr>
        <w:t xml:space="preserve"> 全线弃土数量统计表</w:t>
      </w: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spacing w:before="9"/>
        <w:ind w:left="0"/>
        <w:rPr>
          <w:rFonts w:ascii="Microsoft JhengHei"/>
          <w:b/>
          <w:sz w:val="35"/>
        </w:rPr>
      </w:pPr>
    </w:p>
    <w:p>
      <w:pPr>
        <w:pStyle w:val="BodyText"/>
        <w:spacing w:before="1"/>
        <w:ind w:left="688"/>
      </w:pPr>
      <w:r>
        <w:t>（六）</w:t>
      </w:r>
      <w:r>
        <w:rPr>
          <w:spacing w:val="-2"/>
        </w:rPr>
        <w:t>弃土场布置</w:t>
      </w:r>
    </w:p>
    <w:p>
      <w:pPr>
        <w:pStyle w:val="BodyText"/>
        <w:spacing w:before="5"/>
        <w:ind w:left="0"/>
        <w:rPr>
          <w:sz w:val="33"/>
        </w:rPr>
      </w:pPr>
    </w:p>
    <w:p>
      <w:pPr>
        <w:spacing w:before="1"/>
        <w:ind w:left="34" w:right="279" w:firstLine="0"/>
        <w:jc w:val="center"/>
        <w:rPr>
          <w:rFonts w:ascii="Microsoft JhengHei" w:eastAsia="Microsoft JhengHei"/>
          <w:b/>
          <w:sz w:val="28"/>
        </w:rPr>
      </w:pPr>
      <w:r>
        <w:pict>
          <v:shape id="_x0000_s1026" type="#_x0000_t202" style="width:444.2pt;height:123.95pt;margin-top:23.07pt;margin-left:78.4pt;mso-position-horizontal-relative:page;position:absolute;z-index:251659264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85"/>
                    <w:gridCol w:w="2951"/>
                    <w:gridCol w:w="2353"/>
                    <w:gridCol w:w="1785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2"/>
                      <w:jc w:val="left"/>
                    </w:trPr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弃土场编号</w:t>
                        </w:r>
                      </w:p>
                    </w:tc>
                    <w:tc>
                      <w:tcPr>
                        <w:tcW w:w="2951" w:type="dxa"/>
                      </w:tcPr>
                      <w:p>
                        <w:pPr>
                          <w:pStyle w:val="TableParagraph"/>
                          <w:spacing w:before="63"/>
                          <w:ind w:left="1041" w:right="1031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起止桩号</w:t>
                        </w:r>
                      </w:p>
                    </w:tc>
                    <w:tc>
                      <w:tcPr>
                        <w:tcW w:w="2353" w:type="dxa"/>
                      </w:tcPr>
                      <w:p>
                        <w:pPr>
                          <w:pStyle w:val="TableParagraph"/>
                          <w:spacing w:before="63"/>
                          <w:ind w:left="426" w:right="416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占地面积（亩</w:t>
                        </w:r>
                        <w:r>
                          <w:rPr>
                            <w:spacing w:val="-10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15" w:right="-101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弃土场容量（万方</w:t>
                        </w:r>
                        <w:r>
                          <w:rPr>
                            <w:spacing w:val="-10"/>
                            <w:sz w:val="21"/>
                          </w:rPr>
                          <w:t>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2"/>
                      <w:jc w:val="left"/>
                    </w:trPr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1#</w:t>
                        </w:r>
                      </w:p>
                    </w:tc>
                    <w:tc>
                      <w:tcPr>
                        <w:tcW w:w="2951" w:type="dxa"/>
                      </w:tcPr>
                      <w:p>
                        <w:pPr>
                          <w:pStyle w:val="TableParagraph"/>
                          <w:spacing w:before="63"/>
                          <w:ind w:right="677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K176+700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右 </w:t>
                        </w:r>
                        <w:r>
                          <w:rPr>
                            <w:spacing w:val="-4"/>
                            <w:sz w:val="21"/>
                          </w:rPr>
                          <w:t>100m</w:t>
                        </w:r>
                      </w:p>
                    </w:tc>
                    <w:tc>
                      <w:tcPr>
                        <w:tcW w:w="2353" w:type="dxa"/>
                      </w:tcPr>
                      <w:p>
                        <w:pPr>
                          <w:pStyle w:val="TableParagraph"/>
                          <w:spacing w:before="63"/>
                          <w:ind w:left="426" w:right="416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48.0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62.7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2"/>
                      <w:jc w:val="left"/>
                    </w:trPr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2#</w:t>
                        </w:r>
                      </w:p>
                    </w:tc>
                    <w:tc>
                      <w:tcPr>
                        <w:tcW w:w="2951" w:type="dxa"/>
                      </w:tcPr>
                      <w:p>
                        <w:pPr>
                          <w:pStyle w:val="TableParagraph"/>
                          <w:spacing w:before="63"/>
                          <w:ind w:right="677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K177+700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右 </w:t>
                        </w:r>
                        <w:r>
                          <w:rPr>
                            <w:spacing w:val="-4"/>
                            <w:sz w:val="21"/>
                          </w:rPr>
                          <w:t>400m</w:t>
                        </w:r>
                      </w:p>
                    </w:tc>
                    <w:tc>
                      <w:tcPr>
                        <w:tcW w:w="2353" w:type="dxa"/>
                      </w:tcPr>
                      <w:p>
                        <w:pPr>
                          <w:pStyle w:val="TableParagraph"/>
                          <w:spacing w:before="63"/>
                          <w:ind w:left="426" w:right="416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96.0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85.0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1"/>
                      <w:jc w:val="left"/>
                    </w:trPr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3#</w:t>
                        </w:r>
                      </w:p>
                    </w:tc>
                    <w:tc>
                      <w:tcPr>
                        <w:tcW w:w="2951" w:type="dxa"/>
                      </w:tcPr>
                      <w:p>
                        <w:pPr>
                          <w:pStyle w:val="TableParagraph"/>
                          <w:spacing w:before="63"/>
                          <w:ind w:right="728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LK3+000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左 </w:t>
                        </w:r>
                        <w:r>
                          <w:rPr>
                            <w:spacing w:val="-4"/>
                            <w:sz w:val="21"/>
                          </w:rPr>
                          <w:t>100m</w:t>
                        </w:r>
                      </w:p>
                    </w:tc>
                    <w:tc>
                      <w:tcPr>
                        <w:tcW w:w="2353" w:type="dxa"/>
                      </w:tcPr>
                      <w:p>
                        <w:pPr>
                          <w:pStyle w:val="TableParagraph"/>
                          <w:spacing w:before="63"/>
                          <w:ind w:left="426" w:right="416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15.0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15.1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1"/>
                      <w:jc w:val="left"/>
                    </w:trPr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4#</w:t>
                        </w:r>
                      </w:p>
                    </w:tc>
                    <w:tc>
                      <w:tcPr>
                        <w:tcW w:w="2951" w:type="dxa"/>
                      </w:tcPr>
                      <w:p>
                        <w:pPr>
                          <w:pStyle w:val="TableParagraph"/>
                          <w:spacing w:before="63"/>
                          <w:ind w:right="623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K186+000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左 </w:t>
                        </w:r>
                        <w:r>
                          <w:rPr>
                            <w:spacing w:val="-2"/>
                            <w:sz w:val="21"/>
                          </w:rPr>
                          <w:t>1500m</w:t>
                        </w:r>
                      </w:p>
                    </w:tc>
                    <w:tc>
                      <w:tcPr>
                        <w:tcW w:w="2353" w:type="dxa"/>
                      </w:tcPr>
                      <w:p>
                        <w:pPr>
                          <w:pStyle w:val="TableParagraph"/>
                          <w:spacing w:before="63"/>
                          <w:ind w:left="426" w:right="416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74.7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145.6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1"/>
                      <w:jc w:val="left"/>
                    </w:trPr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小计</w:t>
                        </w:r>
                      </w:p>
                    </w:tc>
                    <w:tc>
                      <w:tcPr>
                        <w:tcW w:w="2951" w:type="dxa"/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353" w:type="dxa"/>
                      </w:tcPr>
                      <w:p>
                        <w:pPr>
                          <w:pStyle w:val="TableParagraph"/>
                          <w:spacing w:before="63"/>
                          <w:ind w:left="426" w:right="416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233.7</w:t>
                        </w:r>
                      </w:p>
                    </w:tc>
                    <w:tc>
                      <w:tcPr>
                        <w:tcW w:w="1785" w:type="dxa"/>
                      </w:tcPr>
                      <w:p>
                        <w:pPr>
                          <w:pStyle w:val="TableParagraph"/>
                          <w:spacing w:before="63"/>
                          <w:ind w:left="352" w:right="34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308.4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rFonts w:ascii="Microsoft JhengHei" w:eastAsia="Microsoft JhengHei"/>
          <w:b/>
          <w:spacing w:val="-4"/>
          <w:sz w:val="28"/>
        </w:rPr>
        <w:t xml:space="preserve">表 </w:t>
      </w:r>
      <w:r>
        <w:rPr>
          <w:rFonts w:ascii="Microsoft JhengHei" w:eastAsia="Microsoft JhengHei"/>
          <w:b/>
          <w:sz w:val="28"/>
        </w:rPr>
        <w:t>2</w:t>
      </w:r>
      <w:r>
        <w:rPr>
          <w:rFonts w:ascii="Microsoft JhengHei" w:eastAsia="Microsoft JhengHei"/>
          <w:b/>
          <w:spacing w:val="3"/>
          <w:sz w:val="28"/>
        </w:rPr>
        <w:t xml:space="preserve"> 弃土场布置一览表</w:t>
      </w:r>
    </w:p>
    <w:p>
      <w:pPr>
        <w:spacing w:after="0"/>
        <w:jc w:val="center"/>
        <w:rPr>
          <w:rFonts w:ascii="Microsoft JhengHei" w:eastAsia="Microsoft JhengHei"/>
          <w:sz w:val="28"/>
        </w:rPr>
        <w:sectPr>
          <w:footerReference w:type="default" r:id="rId5"/>
          <w:pgSz w:w="11910" w:h="16840"/>
          <w:pgMar w:top="1920" w:right="1100" w:bottom="1640" w:left="1460" w:header="0" w:footer="1455"/>
          <w:pgNumType w:start="2"/>
          <w:cols w:space="708"/>
        </w:sectPr>
      </w:pPr>
    </w:p>
    <w:p>
      <w:pPr>
        <w:pStyle w:val="BodyText"/>
        <w:spacing w:before="5"/>
        <w:ind w:left="0"/>
        <w:rPr>
          <w:rFonts w:ascii="Microsoft JhengHei"/>
          <w:b/>
          <w:sz w:val="9"/>
        </w:rPr>
      </w:pPr>
    </w:p>
    <w:p>
      <w:pPr>
        <w:pStyle w:val="BodyText"/>
        <w:spacing w:before="61" w:line="353" w:lineRule="exact"/>
        <w:ind w:left="688"/>
      </w:pPr>
      <w:r>
        <w:t>（七）</w:t>
      </w:r>
      <w:r>
        <w:rPr>
          <w:spacing w:val="-1"/>
        </w:rPr>
        <w:t>弃土场防护工程量统计表</w:t>
      </w:r>
    </w:p>
    <w:p>
      <w:pPr>
        <w:spacing w:before="0" w:line="509" w:lineRule="exact"/>
        <w:ind w:left="34" w:right="279" w:firstLine="0"/>
        <w:jc w:val="center"/>
        <w:rPr>
          <w:rFonts w:ascii="Microsoft JhengHei" w:eastAsia="Microsoft JhengHei"/>
          <w:b/>
          <w:sz w:val="28"/>
        </w:rPr>
      </w:pPr>
      <w:r>
        <w:pict>
          <v:shape id="_x0000_s1027" type="#_x0000_t202" style="width:444.2pt;height:322.5pt;margin-top:22.74pt;margin-left:78.4pt;mso-position-horizontal-relative:page;position:absolute;z-index:251660288" filled="f" stroked="f">
            <v:textbox inset="0,0,0,0">
              <w:txbxContent>
                <w:tbl>
                  <w:tblPr>
                    <w:tblStyle w:val="TableNormal1"/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16"/>
                    <w:gridCol w:w="2394"/>
                    <w:gridCol w:w="2279"/>
                    <w:gridCol w:w="2485"/>
                  </w:tblGrid>
                  <w:tr>
                    <w:tblPrEx>
                      <w:tblW w:w="0" w:type="auto"/>
                      <w:jc w:val="left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0"/>
                      <w:jc w:val="left"/>
                    </w:trPr>
                    <w:tc>
                      <w:tcPr>
                        <w:tcW w:w="1716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3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渣场名称</w:t>
                        </w:r>
                      </w:p>
                    </w:tc>
                    <w:tc>
                      <w:tcPr>
                        <w:tcW w:w="2394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7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渣场位置</w:t>
                        </w:r>
                      </w:p>
                    </w:tc>
                    <w:tc>
                      <w:tcPr>
                        <w:tcW w:w="4764" w:type="dxa"/>
                        <w:gridSpan w:val="2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947" w:right="1938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工程措施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名称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数量</w:t>
                        </w:r>
                        <w:r>
                          <w:rPr>
                            <w:spacing w:val="-4"/>
                            <w:sz w:val="21"/>
                          </w:rPr>
                          <w:t>（m</w:t>
                        </w:r>
                        <w:r>
                          <w:rPr>
                            <w:rFonts w:ascii="Calibri" w:eastAsia="Calibri" w:hAnsi="Calibri"/>
                            <w:spacing w:val="-4"/>
                            <w:sz w:val="21"/>
                          </w:rPr>
                          <w:t>³</w:t>
                        </w:r>
                        <w:r>
                          <w:rPr>
                            <w:spacing w:val="-4"/>
                            <w:sz w:val="21"/>
                          </w:rPr>
                          <w:t>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4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1#</w:t>
                        </w:r>
                        <w:r>
                          <w:rPr>
                            <w:spacing w:val="-5"/>
                            <w:sz w:val="21"/>
                          </w:rPr>
                          <w:t>渣场</w:t>
                        </w:r>
                      </w:p>
                    </w:tc>
                    <w:tc>
                      <w:tcPr>
                        <w:tcW w:w="2394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K176+700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右 </w:t>
                        </w:r>
                        <w:r>
                          <w:rPr>
                            <w:spacing w:val="-4"/>
                            <w:sz w:val="21"/>
                          </w:rPr>
                          <w:t>100m</w:t>
                        </w: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C15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片石砼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7467.3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M7.5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浆砌片石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575.8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片石盲沟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1480.7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4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2#</w:t>
                        </w:r>
                        <w:r>
                          <w:rPr>
                            <w:spacing w:val="-5"/>
                            <w:sz w:val="21"/>
                          </w:rPr>
                          <w:t>渣场</w:t>
                        </w:r>
                      </w:p>
                    </w:tc>
                    <w:tc>
                      <w:tcPr>
                        <w:tcW w:w="2394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09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K177+700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右 </w:t>
                        </w:r>
                        <w:r>
                          <w:rPr>
                            <w:spacing w:val="-4"/>
                            <w:sz w:val="21"/>
                          </w:rPr>
                          <w:t>400m</w:t>
                        </w: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C15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片石砼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7463.6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M7.5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浆砌片石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1258.5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片石盲沟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2039.6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4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3#</w:t>
                        </w:r>
                        <w:r>
                          <w:rPr>
                            <w:spacing w:val="-5"/>
                            <w:sz w:val="21"/>
                          </w:rPr>
                          <w:t>渣场</w:t>
                        </w:r>
                      </w:p>
                    </w:tc>
                    <w:tc>
                      <w:tcPr>
                        <w:tcW w:w="2394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6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LK3+000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左 </w:t>
                        </w:r>
                        <w:r>
                          <w:rPr>
                            <w:spacing w:val="-4"/>
                            <w:sz w:val="21"/>
                          </w:rPr>
                          <w:t>100m</w:t>
                        </w: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C15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片石砼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618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M7.5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浆砌片石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503.5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片石盲沟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560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4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4#</w:t>
                        </w:r>
                        <w:r>
                          <w:rPr>
                            <w:spacing w:val="-5"/>
                            <w:sz w:val="21"/>
                          </w:rPr>
                          <w:t>渣场</w:t>
                        </w:r>
                      </w:p>
                    </w:tc>
                    <w:tc>
                      <w:tcPr>
                        <w:tcW w:w="2394" w:type="dxa"/>
                        <w:vMerge w:val="restart"/>
                      </w:tcPr>
                      <w:p>
                        <w:pPr>
                          <w:pStyle w:val="TableParagraph"/>
                          <w:jc w:val="left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57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K186+000</w:t>
                        </w:r>
                        <w:r>
                          <w:rPr>
                            <w:spacing w:val="-36"/>
                            <w:sz w:val="21"/>
                          </w:rPr>
                          <w:t xml:space="preserve"> 左 </w:t>
                        </w:r>
                        <w:r>
                          <w:rPr>
                            <w:spacing w:val="-2"/>
                            <w:sz w:val="21"/>
                          </w:rPr>
                          <w:t>1500m</w:t>
                        </w: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C15</w:t>
                        </w:r>
                        <w:r>
                          <w:rPr>
                            <w:spacing w:val="-16"/>
                            <w:sz w:val="21"/>
                          </w:rPr>
                          <w:t xml:space="preserve"> 片石砼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4298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M7.5</w:t>
                        </w:r>
                        <w:r>
                          <w:rPr>
                            <w:spacing w:val="-14"/>
                            <w:sz w:val="21"/>
                          </w:rPr>
                          <w:t xml:space="preserve"> 浆砌片石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729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5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20"/>
                      <w:jc w:val="left"/>
                    </w:trPr>
                    <w:tc>
                      <w:tcPr>
                        <w:tcW w:w="171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9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79" w:type="dxa"/>
                      </w:tcPr>
                      <w:p>
                        <w:pPr>
                          <w:pStyle w:val="TableParagraph"/>
                          <w:spacing w:before="72"/>
                          <w:ind w:left="471" w:right="462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片石盲沟</w:t>
                        </w:r>
                      </w:p>
                    </w:tc>
                    <w:tc>
                      <w:tcPr>
                        <w:tcW w:w="2485" w:type="dxa"/>
                      </w:tcPr>
                      <w:p>
                        <w:pPr>
                          <w:pStyle w:val="TableParagraph"/>
                          <w:spacing w:before="72"/>
                          <w:ind w:left="722" w:right="712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1965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rFonts w:ascii="Microsoft JhengHei" w:eastAsia="Microsoft JhengHei"/>
          <w:b/>
          <w:spacing w:val="-3"/>
          <w:sz w:val="28"/>
        </w:rPr>
        <w:t xml:space="preserve">表 </w:t>
      </w:r>
      <w:r>
        <w:rPr>
          <w:rFonts w:ascii="Microsoft JhengHei" w:eastAsia="Microsoft JhengHei"/>
          <w:b/>
          <w:sz w:val="28"/>
        </w:rPr>
        <w:t>3</w:t>
      </w:r>
      <w:r>
        <w:rPr>
          <w:rFonts w:ascii="Microsoft JhengHei" w:eastAsia="Microsoft JhengHei"/>
          <w:b/>
          <w:spacing w:val="1"/>
          <w:sz w:val="28"/>
        </w:rPr>
        <w:t xml:space="preserve"> 弃土场防护工程量统计表</w:t>
      </w: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ind w:left="0"/>
        <w:rPr>
          <w:rFonts w:ascii="Microsoft JhengHei"/>
          <w:b/>
        </w:rPr>
      </w:pPr>
    </w:p>
    <w:p>
      <w:pPr>
        <w:pStyle w:val="BodyText"/>
        <w:spacing w:before="10"/>
        <w:ind w:left="0"/>
        <w:rPr>
          <w:rFonts w:ascii="Microsoft JhengHei"/>
          <w:b/>
          <w:sz w:val="41"/>
        </w:rPr>
      </w:pPr>
    </w:p>
    <w:p>
      <w:pPr>
        <w:pStyle w:val="Heading1"/>
      </w:pPr>
      <w:bookmarkStart w:id="1" w:name="_TOC_250010"/>
      <w:bookmarkEnd w:id="1"/>
      <w:r>
        <w:rPr>
          <w:spacing w:val="-2"/>
        </w:rPr>
        <w:t>二、编制依据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70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《中华人民共和国水法》(2016.7)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1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《中华人民共和国环境噪声污染防治法》(1997.3.1)</w:t>
      </w:r>
      <w:r>
        <w:rPr>
          <w:spacing w:val="-5"/>
          <w:sz w:val="28"/>
        </w:rPr>
        <w:t xml:space="preserve"> 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2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《中华人民共和国水土保持法》(2011.3.1)</w:t>
      </w:r>
      <w:r>
        <w:rPr>
          <w:spacing w:val="-5"/>
          <w:sz w:val="28"/>
        </w:rPr>
        <w:t xml:space="preserve"> 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1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《中华人民共和国环境保护法》(2015.1.1)</w:t>
      </w:r>
      <w:r>
        <w:rPr>
          <w:spacing w:val="-5"/>
          <w:sz w:val="28"/>
        </w:rPr>
        <w:t xml:space="preserve"> 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1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《中华人民共和国水污染防治法》(2008.6.1)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1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《公路工程技术标准》（JTG B01-2014）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2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《公路路基施工技术规范》（JTG F10-2006）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1" w:after="0" w:line="240" w:lineRule="auto"/>
        <w:ind w:left="969" w:right="0" w:hanging="281"/>
        <w:jc w:val="left"/>
        <w:rPr>
          <w:sz w:val="28"/>
        </w:rPr>
      </w:pPr>
      <w:r>
        <w:rPr>
          <w:sz w:val="28"/>
        </w:rPr>
        <w:t>《公路工程施工安全技术规范》（JTG F90-2015）</w:t>
      </w:r>
      <w:r>
        <w:rPr>
          <w:spacing w:val="-10"/>
          <w:sz w:val="28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969"/>
        </w:tabs>
        <w:spacing w:before="81" w:after="0" w:line="240" w:lineRule="auto"/>
        <w:ind w:left="969" w:right="0" w:hanging="281"/>
        <w:jc w:val="left"/>
        <w:rPr>
          <w:sz w:val="28"/>
        </w:rPr>
      </w:pPr>
      <w:r>
        <w:rPr>
          <w:spacing w:val="-1"/>
          <w:sz w:val="28"/>
        </w:rPr>
        <w:t>高速公路工程建设标准化实施细则(试行)。</w:t>
      </w:r>
    </w:p>
    <w:p>
      <w:pPr>
        <w:pStyle w:val="ListParagraph"/>
        <w:numPr>
          <w:ilvl w:val="0"/>
          <w:numId w:val="17"/>
        </w:numPr>
        <w:tabs>
          <w:tab w:val="left" w:pos="1249"/>
        </w:tabs>
        <w:spacing w:before="81" w:after="0" w:line="240" w:lineRule="auto"/>
        <w:ind w:left="1249" w:right="0" w:hanging="561"/>
        <w:jc w:val="left"/>
        <w:rPr>
          <w:sz w:val="28"/>
        </w:rPr>
      </w:pPr>
      <w:r>
        <w:rPr>
          <w:spacing w:val="-2"/>
          <w:sz w:val="28"/>
        </w:rPr>
        <w:t>高速公路施工图纸。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6"/>
          <w:pgSz w:w="11910" w:h="16840"/>
          <w:pgMar w:top="1920" w:right="1100" w:bottom="1640" w:left="1460" w:header="0" w:footer="1455"/>
          <w:pgNumType w:start="3"/>
          <w:cols w:space="708"/>
        </w:sectPr>
      </w:pPr>
    </w:p>
    <w:p>
      <w:pPr>
        <w:pStyle w:val="BodyText"/>
        <w:spacing w:before="8"/>
        <w:ind w:left="0"/>
        <w:rPr>
          <w:sz w:val="10"/>
        </w:rPr>
      </w:pPr>
    </w:p>
    <w:p>
      <w:pPr>
        <w:pStyle w:val="Heading1"/>
        <w:spacing w:before="56"/>
      </w:pPr>
      <w:bookmarkStart w:id="2" w:name="_TOC_250009"/>
      <w:bookmarkEnd w:id="2"/>
      <w:r>
        <w:rPr>
          <w:spacing w:val="-2"/>
        </w:rPr>
        <w:t>三、弃土场设置</w:t>
      </w:r>
    </w:p>
    <w:p>
      <w:pPr>
        <w:pStyle w:val="BodyText"/>
        <w:spacing w:before="70"/>
        <w:ind w:left="688"/>
      </w:pPr>
      <w:r>
        <w:t>（一）</w:t>
      </w:r>
      <w:r>
        <w:rPr>
          <w:spacing w:val="-2"/>
        </w:rPr>
        <w:t>弃土场设置基本要求</w:t>
      </w:r>
    </w:p>
    <w:p>
      <w:pPr>
        <w:pStyle w:val="ListParagraph"/>
        <w:numPr>
          <w:ilvl w:val="0"/>
          <w:numId w:val="15"/>
        </w:numPr>
        <w:tabs>
          <w:tab w:val="left" w:pos="1389"/>
        </w:tabs>
        <w:spacing w:before="81" w:after="0" w:line="240" w:lineRule="auto"/>
        <w:ind w:left="1389" w:right="0" w:hanging="701"/>
        <w:jc w:val="left"/>
        <w:rPr>
          <w:sz w:val="28"/>
        </w:rPr>
      </w:pPr>
      <w:r>
        <w:rPr>
          <w:spacing w:val="-1"/>
          <w:sz w:val="28"/>
        </w:rPr>
        <w:t>弃土场应符合设计要求并及时完成防护工程。</w:t>
      </w:r>
    </w:p>
    <w:p>
      <w:pPr>
        <w:pStyle w:val="ListParagraph"/>
        <w:numPr>
          <w:ilvl w:val="0"/>
          <w:numId w:val="15"/>
        </w:numPr>
        <w:tabs>
          <w:tab w:val="left" w:pos="1396"/>
        </w:tabs>
        <w:spacing w:before="81" w:after="0" w:line="295" w:lineRule="auto"/>
        <w:ind w:left="128" w:right="371" w:firstLine="560"/>
        <w:jc w:val="left"/>
        <w:rPr>
          <w:sz w:val="28"/>
        </w:rPr>
      </w:pPr>
      <w:r>
        <w:rPr>
          <w:spacing w:val="-2"/>
          <w:sz w:val="28"/>
        </w:rPr>
        <w:t xml:space="preserve">路基弃土要求分层进行整平碾压,压实度不低于 </w:t>
      </w:r>
      <w:r>
        <w:rPr>
          <w:sz w:val="28"/>
        </w:rPr>
        <w:t>90%,禁止随意</w:t>
      </w:r>
      <w:r>
        <w:rPr>
          <w:spacing w:val="-2"/>
          <w:sz w:val="28"/>
        </w:rPr>
        <w:t>堆放，使用完毕后，应做好排水设施和场地清理工作。</w:t>
      </w:r>
    </w:p>
    <w:p>
      <w:pPr>
        <w:pStyle w:val="ListParagraph"/>
        <w:numPr>
          <w:ilvl w:val="0"/>
          <w:numId w:val="15"/>
        </w:numPr>
        <w:tabs>
          <w:tab w:val="left" w:pos="1390"/>
        </w:tabs>
        <w:spacing w:before="0" w:after="0" w:line="295" w:lineRule="auto"/>
        <w:ind w:left="128" w:right="372" w:firstLine="560"/>
        <w:jc w:val="left"/>
        <w:rPr>
          <w:sz w:val="28"/>
        </w:rPr>
      </w:pPr>
      <w:r>
        <w:rPr>
          <w:spacing w:val="-2"/>
          <w:sz w:val="28"/>
        </w:rPr>
        <w:t>弃土场的位置与高度应保证山体和自身的稳定，不得影响附近</w:t>
      </w:r>
      <w:r>
        <w:rPr>
          <w:spacing w:val="-2"/>
          <w:sz w:val="28"/>
        </w:rPr>
        <w:t>建筑物、农田、交通和环境等。</w:t>
      </w:r>
    </w:p>
    <w:p>
      <w:pPr>
        <w:pStyle w:val="ListParagraph"/>
        <w:numPr>
          <w:ilvl w:val="0"/>
          <w:numId w:val="15"/>
        </w:numPr>
        <w:tabs>
          <w:tab w:val="left" w:pos="1390"/>
        </w:tabs>
        <w:spacing w:before="0" w:after="0" w:line="295" w:lineRule="auto"/>
        <w:ind w:left="128" w:right="372" w:firstLine="560"/>
        <w:jc w:val="left"/>
        <w:rPr>
          <w:sz w:val="28"/>
        </w:rPr>
      </w:pPr>
      <w:r>
        <w:rPr>
          <w:spacing w:val="-2"/>
          <w:sz w:val="28"/>
        </w:rPr>
        <w:t>弃土场的选择应进行详细的地形地貌调查，了解面积、容量、</w:t>
      </w:r>
      <w:r>
        <w:rPr>
          <w:spacing w:val="-2"/>
          <w:sz w:val="28"/>
        </w:rPr>
        <w:t>原有排水系统，弃土场地选择在荒山地或山涧沟谷中，少占耕地。</w:t>
      </w:r>
    </w:p>
    <w:p>
      <w:pPr>
        <w:pStyle w:val="ListParagraph"/>
        <w:numPr>
          <w:ilvl w:val="0"/>
          <w:numId w:val="15"/>
        </w:numPr>
        <w:tabs>
          <w:tab w:val="left" w:pos="1390"/>
        </w:tabs>
        <w:spacing w:before="0" w:after="0" w:line="295" w:lineRule="auto"/>
        <w:ind w:left="128" w:right="372" w:firstLine="560"/>
        <w:jc w:val="left"/>
        <w:rPr>
          <w:sz w:val="28"/>
        </w:rPr>
      </w:pPr>
      <w:r>
        <w:rPr>
          <w:spacing w:val="-2"/>
          <w:sz w:val="28"/>
        </w:rPr>
        <w:t>将硬质岩路段石方作为防护、排水工程的块石、片石石料，以</w:t>
      </w:r>
      <w:r>
        <w:rPr>
          <w:spacing w:val="-2"/>
          <w:sz w:val="28"/>
        </w:rPr>
        <w:t>减少废方数量。</w:t>
      </w:r>
    </w:p>
    <w:p>
      <w:pPr>
        <w:pStyle w:val="ListParagraph"/>
        <w:numPr>
          <w:ilvl w:val="0"/>
          <w:numId w:val="15"/>
        </w:numPr>
        <w:tabs>
          <w:tab w:val="left" w:pos="1389"/>
        </w:tabs>
        <w:spacing w:before="0" w:after="0" w:line="356" w:lineRule="exact"/>
        <w:ind w:left="1389" w:right="0" w:hanging="701"/>
        <w:jc w:val="left"/>
        <w:rPr>
          <w:sz w:val="28"/>
        </w:rPr>
      </w:pPr>
      <w:r>
        <w:rPr>
          <w:spacing w:val="-1"/>
          <w:sz w:val="28"/>
        </w:rPr>
        <w:t>保留弃土场原地表土堆放一侧以备还耕。</w:t>
      </w:r>
    </w:p>
    <w:p>
      <w:pPr>
        <w:pStyle w:val="ListParagraph"/>
        <w:numPr>
          <w:ilvl w:val="0"/>
          <w:numId w:val="15"/>
        </w:numPr>
        <w:tabs>
          <w:tab w:val="left" w:pos="1389"/>
        </w:tabs>
        <w:spacing w:before="74" w:after="0" w:line="295" w:lineRule="auto"/>
        <w:ind w:left="128" w:right="397" w:firstLine="560"/>
        <w:jc w:val="left"/>
        <w:rPr>
          <w:sz w:val="28"/>
        </w:rPr>
      </w:pPr>
      <w:r>
        <w:rPr>
          <w:spacing w:val="-8"/>
          <w:sz w:val="28"/>
        </w:rPr>
        <w:t xml:space="preserve">堆弃方时，挡土墙墙后 </w:t>
      </w:r>
      <w:r>
        <w:rPr>
          <w:spacing w:val="-2"/>
          <w:sz w:val="28"/>
        </w:rPr>
        <w:t>10～20m</w:t>
      </w:r>
      <w:r>
        <w:rPr>
          <w:spacing w:val="-10"/>
          <w:sz w:val="28"/>
        </w:rPr>
        <w:t xml:space="preserve"> 范围内及弃土场底部应堆放弃</w:t>
      </w:r>
      <w:r>
        <w:rPr>
          <w:spacing w:val="-2"/>
          <w:sz w:val="28"/>
        </w:rPr>
        <w:t>方中的砂岩等硬质石方。</w:t>
      </w:r>
    </w:p>
    <w:p>
      <w:pPr>
        <w:spacing w:after="0" w:line="295" w:lineRule="auto"/>
        <w:jc w:val="left"/>
        <w:rPr>
          <w:sz w:val="28"/>
        </w:rPr>
        <w:sectPr>
          <w:footerReference w:type="default" r:id="rId7"/>
          <w:pgSz w:w="11910" w:h="16840"/>
          <w:pgMar w:top="1920" w:right="1100" w:bottom="1640" w:left="1460" w:header="0" w:footer="1455"/>
          <w:pgNumType w:start="4"/>
          <w:cols w:space="708"/>
        </w:sectPr>
      </w:pPr>
    </w:p>
    <w:p>
      <w:pPr>
        <w:pStyle w:val="BodyText"/>
        <w:ind w:left="0"/>
        <w:rPr>
          <w:sz w:val="23"/>
        </w:rPr>
      </w:pPr>
    </w:p>
    <w:p>
      <w:pPr>
        <w:pStyle w:val="BodyText"/>
        <w:ind w:left="1100"/>
        <w:rPr>
          <w:sz w:val="20"/>
        </w:rPr>
      </w:pPr>
      <w:r>
        <w:rPr>
          <w:sz w:val="20"/>
        </w:rPr>
        <w:drawing>
          <wp:inline distT="0" distB="0" distL="0" distR="0">
            <wp:extent cx="4371751" cy="67532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751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"/>
        <w:ind w:left="0"/>
        <w:rPr>
          <w:sz w:val="17"/>
        </w:rPr>
      </w:pPr>
    </w:p>
    <w:p>
      <w:pPr>
        <w:spacing w:before="0" w:line="488" w:lineRule="exact"/>
        <w:ind w:left="34" w:right="279" w:firstLine="0"/>
        <w:jc w:val="center"/>
        <w:rPr>
          <w:rFonts w:ascii="微软雅黑" w:eastAsia="微软雅黑"/>
          <w:b/>
          <w:sz w:val="28"/>
        </w:rPr>
      </w:pPr>
      <w:r>
        <w:rPr>
          <w:rFonts w:ascii="微软雅黑" w:eastAsia="微软雅黑"/>
          <w:b/>
          <w:spacing w:val="-11"/>
          <w:sz w:val="28"/>
        </w:rPr>
        <w:t xml:space="preserve">图 </w:t>
      </w:r>
      <w:r>
        <w:rPr>
          <w:rFonts w:ascii="微软雅黑" w:eastAsia="微软雅黑"/>
          <w:b/>
          <w:spacing w:val="-4"/>
          <w:sz w:val="28"/>
        </w:rPr>
        <w:t>1</w:t>
      </w:r>
      <w:r>
        <w:rPr>
          <w:rFonts w:ascii="微软雅黑" w:eastAsia="微软雅黑"/>
          <w:b/>
          <w:spacing w:val="9"/>
          <w:sz w:val="28"/>
        </w:rPr>
        <w:t xml:space="preserve"> </w:t>
      </w:r>
      <w:r>
        <w:rPr>
          <w:rFonts w:ascii="微软雅黑" w:eastAsia="微软雅黑"/>
          <w:b/>
          <w:spacing w:val="-4"/>
          <w:sz w:val="28"/>
        </w:rPr>
        <w:t>1#</w:t>
      </w:r>
      <w:r>
        <w:rPr>
          <w:rFonts w:ascii="微软雅黑" w:eastAsia="微软雅黑"/>
          <w:b/>
          <w:spacing w:val="-5"/>
          <w:sz w:val="28"/>
        </w:rPr>
        <w:t>弃土场平面示意图</w:t>
      </w:r>
    </w:p>
    <w:p>
      <w:pPr>
        <w:pStyle w:val="BodyText"/>
        <w:spacing w:before="5"/>
        <w:ind w:left="0"/>
        <w:rPr>
          <w:rFonts w:ascii="微软雅黑"/>
          <w:b/>
          <w:sz w:val="36"/>
        </w:rPr>
      </w:pPr>
    </w:p>
    <w:p>
      <w:pPr>
        <w:spacing w:before="0"/>
        <w:ind w:left="3205" w:right="2893" w:firstLine="0"/>
        <w:jc w:val="center"/>
        <w:rPr>
          <w:rFonts w:ascii="微软雅黑" w:eastAsia="微软雅黑"/>
          <w:b/>
          <w:sz w:val="28"/>
        </w:rPr>
      </w:pPr>
      <w:r>
        <w:rPr>
          <w:rFonts w:ascii="微软雅黑" w:eastAsia="微软雅黑"/>
          <w:b/>
          <w:spacing w:val="-11"/>
          <w:sz w:val="28"/>
        </w:rPr>
        <w:t xml:space="preserve">图 </w:t>
      </w:r>
      <w:r>
        <w:rPr>
          <w:rFonts w:ascii="微软雅黑" w:eastAsia="微软雅黑"/>
          <w:b/>
          <w:spacing w:val="-4"/>
          <w:sz w:val="28"/>
        </w:rPr>
        <w:t>2</w:t>
      </w:r>
      <w:r>
        <w:rPr>
          <w:rFonts w:ascii="微软雅黑" w:eastAsia="微软雅黑"/>
          <w:b/>
          <w:spacing w:val="9"/>
          <w:sz w:val="28"/>
        </w:rPr>
        <w:t xml:space="preserve"> </w:t>
      </w:r>
      <w:r>
        <w:rPr>
          <w:rFonts w:ascii="微软雅黑" w:eastAsia="微软雅黑"/>
          <w:b/>
          <w:spacing w:val="-4"/>
          <w:sz w:val="28"/>
        </w:rPr>
        <w:t>2#</w:t>
      </w:r>
      <w:r>
        <w:rPr>
          <w:rFonts w:ascii="微软雅黑" w:eastAsia="微软雅黑"/>
          <w:b/>
          <w:spacing w:val="-5"/>
          <w:sz w:val="28"/>
        </w:rPr>
        <w:t>弃土场平面示意图</w:t>
      </w:r>
    </w:p>
    <w:p>
      <w:pPr>
        <w:spacing w:after="0"/>
        <w:jc w:val="center"/>
        <w:rPr>
          <w:rFonts w:ascii="微软雅黑" w:eastAsia="微软雅黑"/>
          <w:sz w:val="28"/>
        </w:rPr>
        <w:sectPr>
          <w:footerReference w:type="default" r:id="rId9"/>
          <w:pgSz w:w="11910" w:h="16840"/>
          <w:pgMar w:top="1920" w:right="1100" w:bottom="1640" w:left="1460" w:header="0" w:footer="1455"/>
          <w:pgNumType w:start="5"/>
          <w:cols w:space="708"/>
        </w:sectPr>
      </w:pPr>
    </w:p>
    <w:p>
      <w:pPr>
        <w:pStyle w:val="BodyText"/>
        <w:spacing w:before="12"/>
        <w:ind w:left="0"/>
        <w:rPr>
          <w:rFonts w:ascii="微软雅黑"/>
          <w:b/>
          <w:sz w:val="15"/>
        </w:rPr>
      </w:pPr>
    </w:p>
    <w:p>
      <w:pPr>
        <w:pStyle w:val="BodyText"/>
        <w:ind w:left="1550"/>
        <w:rPr>
          <w:rFonts w:ascii="微软雅黑"/>
          <w:sz w:val="20"/>
        </w:rPr>
      </w:pPr>
      <w:r>
        <w:rPr>
          <w:rFonts w:ascii="微软雅黑"/>
          <w:sz w:val="20"/>
        </w:rPr>
        <w:drawing>
          <wp:inline distT="0" distB="0" distL="0" distR="0">
            <wp:extent cx="3817672" cy="359664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7672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"/>
        <w:ind w:left="0"/>
        <w:rPr>
          <w:rFonts w:ascii="微软雅黑"/>
          <w:b/>
          <w:sz w:val="11"/>
        </w:rPr>
      </w:pPr>
    </w:p>
    <w:p>
      <w:pPr>
        <w:spacing w:before="0" w:line="488" w:lineRule="exact"/>
        <w:ind w:left="34" w:right="279" w:firstLine="0"/>
        <w:jc w:val="center"/>
        <w:rPr>
          <w:rFonts w:ascii="微软雅黑" w:eastAsia="微软雅黑"/>
          <w:b/>
          <w:sz w:val="28"/>
        </w:rPr>
      </w:pPr>
      <w:r>
        <w:rPr>
          <w:rFonts w:ascii="微软雅黑" w:eastAsia="微软雅黑"/>
          <w:b/>
          <w:spacing w:val="-11"/>
          <w:sz w:val="28"/>
        </w:rPr>
        <w:t xml:space="preserve">图 </w:t>
      </w:r>
      <w:r>
        <w:rPr>
          <w:rFonts w:ascii="微软雅黑" w:eastAsia="微软雅黑"/>
          <w:b/>
          <w:spacing w:val="-4"/>
          <w:sz w:val="28"/>
        </w:rPr>
        <w:t>3</w:t>
      </w:r>
      <w:r>
        <w:rPr>
          <w:rFonts w:ascii="微软雅黑" w:eastAsia="微软雅黑"/>
          <w:b/>
          <w:spacing w:val="9"/>
          <w:sz w:val="28"/>
        </w:rPr>
        <w:t xml:space="preserve"> </w:t>
      </w:r>
      <w:r>
        <w:rPr>
          <w:rFonts w:ascii="微软雅黑" w:eastAsia="微软雅黑"/>
          <w:b/>
          <w:spacing w:val="-4"/>
          <w:sz w:val="28"/>
        </w:rPr>
        <w:t>3#</w:t>
      </w:r>
      <w:r>
        <w:rPr>
          <w:rFonts w:ascii="微软雅黑" w:eastAsia="微软雅黑"/>
          <w:b/>
          <w:spacing w:val="-5"/>
          <w:sz w:val="28"/>
        </w:rPr>
        <w:t>弃土场平面示意图</w:t>
      </w:r>
    </w:p>
    <w:p>
      <w:pPr>
        <w:pStyle w:val="BodyText"/>
        <w:ind w:left="0"/>
        <w:rPr>
          <w:rFonts w:ascii="微软雅黑"/>
          <w:b/>
          <w:sz w:val="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1008380</wp:posOffset>
            </wp:positionH>
            <wp:positionV relativeFrom="paragraph">
              <wp:posOffset>85482</wp:posOffset>
            </wp:positionV>
            <wp:extent cx="5611172" cy="2282952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1172" cy="2282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2"/>
        <w:ind w:left="34" w:right="279" w:firstLine="0"/>
        <w:jc w:val="center"/>
        <w:rPr>
          <w:rFonts w:ascii="微软雅黑" w:eastAsia="微软雅黑"/>
          <w:b/>
          <w:sz w:val="28"/>
        </w:rPr>
      </w:pPr>
      <w:r>
        <w:rPr>
          <w:rFonts w:ascii="微软雅黑" w:eastAsia="微软雅黑"/>
          <w:b/>
          <w:spacing w:val="-11"/>
          <w:sz w:val="28"/>
        </w:rPr>
        <w:t xml:space="preserve">图 </w:t>
      </w:r>
      <w:r>
        <w:rPr>
          <w:rFonts w:ascii="微软雅黑" w:eastAsia="微软雅黑"/>
          <w:b/>
          <w:spacing w:val="-4"/>
          <w:sz w:val="28"/>
        </w:rPr>
        <w:t>4</w:t>
      </w:r>
      <w:r>
        <w:rPr>
          <w:rFonts w:ascii="微软雅黑" w:eastAsia="微软雅黑"/>
          <w:b/>
          <w:spacing w:val="9"/>
          <w:sz w:val="28"/>
        </w:rPr>
        <w:t xml:space="preserve"> </w:t>
      </w:r>
      <w:r>
        <w:rPr>
          <w:rFonts w:ascii="微软雅黑" w:eastAsia="微软雅黑"/>
          <w:b/>
          <w:spacing w:val="-4"/>
          <w:sz w:val="28"/>
        </w:rPr>
        <w:t>4#</w:t>
      </w:r>
      <w:r>
        <w:rPr>
          <w:rFonts w:ascii="微软雅黑" w:eastAsia="微软雅黑"/>
          <w:b/>
          <w:spacing w:val="-5"/>
          <w:sz w:val="28"/>
        </w:rPr>
        <w:t>弃土场平面示意图</w:t>
      </w:r>
    </w:p>
    <w:p>
      <w:pPr>
        <w:pStyle w:val="BodyText"/>
        <w:spacing w:before="134"/>
        <w:ind w:left="688"/>
      </w:pPr>
      <w:r>
        <w:t>（二）</w:t>
      </w:r>
      <w:r>
        <w:rPr>
          <w:spacing w:val="-3"/>
        </w:rPr>
        <w:t>便道布置</w:t>
      </w:r>
    </w:p>
    <w:p>
      <w:pPr>
        <w:pStyle w:val="BodyText"/>
        <w:spacing w:before="82" w:line="295" w:lineRule="auto"/>
        <w:ind w:right="231" w:firstLine="560"/>
      </w:pPr>
      <w:r>
        <w:rPr>
          <w:spacing w:val="4"/>
        </w:rPr>
        <w:t>采用新建施工便道和改扩建现有道路的方式修建贯通便道进入弃土</w:t>
      </w:r>
      <w:r>
        <w:rPr>
          <w:spacing w:val="-18"/>
        </w:rPr>
        <w:t>场。施工便道结合地形、地物和现有生活、生产设施，充分利用现有道路，</w:t>
      </w:r>
      <w:r>
        <w:rPr>
          <w:spacing w:val="-1"/>
        </w:rPr>
        <w:t xml:space="preserve">尽量避免对当地居民生活造成困扰。施工便道路基宽度不小于 </w:t>
      </w:r>
      <w:r>
        <w:t>6m</w:t>
      </w:r>
      <w:r>
        <w:rPr>
          <w:spacing w:val="2"/>
        </w:rPr>
        <w:t>，路面</w:t>
      </w:r>
    </w:p>
    <w:p>
      <w:pPr>
        <w:spacing w:after="0" w:line="295" w:lineRule="auto"/>
        <w:sectPr>
          <w:footerReference w:type="default" r:id="rId12"/>
          <w:pgSz w:w="11910" w:h="16840"/>
          <w:pgMar w:top="1920" w:right="1100" w:bottom="1640" w:left="1460" w:header="0" w:footer="1455"/>
          <w:pgNumType w:start="6"/>
          <w:cols w:space="708"/>
        </w:sectPr>
      </w:pPr>
    </w:p>
    <w:p>
      <w:pPr>
        <w:pStyle w:val="BodyText"/>
        <w:spacing w:before="4"/>
        <w:ind w:left="0"/>
        <w:rPr>
          <w:sz w:val="13"/>
        </w:rPr>
      </w:pPr>
    </w:p>
    <w:p>
      <w:pPr>
        <w:pStyle w:val="BodyText"/>
        <w:spacing w:before="61" w:line="295" w:lineRule="auto"/>
        <w:ind w:right="117"/>
      </w:pPr>
      <w:r>
        <w:rPr>
          <w:spacing w:val="-10"/>
        </w:rPr>
        <w:t xml:space="preserve">宽度不小于 </w:t>
      </w:r>
      <w:r>
        <w:t>4.5m</w:t>
      </w:r>
      <w:r>
        <w:rPr>
          <w:spacing w:val="2"/>
        </w:rPr>
        <w:t>，曲线或地形复杂地段适当加宽。视地形条件和视距要</w:t>
      </w:r>
      <w:r>
        <w:rPr>
          <w:spacing w:val="-21"/>
        </w:rPr>
        <w:t xml:space="preserve">求，每 </w:t>
      </w:r>
      <w:r>
        <w:t>200m</w:t>
      </w:r>
      <w:r>
        <w:rPr>
          <w:spacing w:val="-22"/>
        </w:rPr>
        <w:t xml:space="preserve"> 设置一个长 </w:t>
      </w:r>
      <w:r>
        <w:t>20m</w:t>
      </w:r>
      <w:r>
        <w:rPr>
          <w:spacing w:val="-28"/>
        </w:rPr>
        <w:t xml:space="preserve">、宽 </w:t>
      </w:r>
      <w:r>
        <w:t>2.5m</w:t>
      </w:r>
      <w:r>
        <w:rPr>
          <w:spacing w:val="-11"/>
        </w:rPr>
        <w:t xml:space="preserve"> 的错车道，坡度不宜过陡，确保施</w:t>
      </w:r>
      <w:r>
        <w:rPr>
          <w:spacing w:val="-7"/>
        </w:rPr>
        <w:t xml:space="preserve">工车辆安全通行。施工便道土质路基地段基层为 </w:t>
      </w:r>
      <w:r>
        <w:t>25cm</w:t>
      </w:r>
      <w:r>
        <w:rPr>
          <w:spacing w:val="-36"/>
        </w:rPr>
        <w:t xml:space="preserve"> 厚的 </w:t>
      </w:r>
      <w:r>
        <w:t>C20</w:t>
      </w:r>
      <w:r>
        <w:rPr>
          <w:spacing w:val="-15"/>
        </w:rPr>
        <w:t xml:space="preserve"> 砼路面。</w:t>
      </w:r>
      <w:r>
        <w:rPr>
          <w:spacing w:val="-15"/>
        </w:rPr>
        <w:t xml:space="preserve"> </w:t>
      </w:r>
      <w:r>
        <w:rPr>
          <w:spacing w:val="-18"/>
        </w:rPr>
        <w:t>在软土或水田地带，基底抛填片石或用三七灰土换填处理并做必要的防护。</w:t>
      </w:r>
      <w:r>
        <w:rPr>
          <w:spacing w:val="-5"/>
        </w:rPr>
        <w:t xml:space="preserve">施工便道设置必要的排水沟，在紧邻占地内侧设置宽 </w:t>
      </w:r>
      <w:r>
        <w:t>0.7m</w:t>
      </w:r>
      <w:r>
        <w:rPr>
          <w:spacing w:val="-32"/>
        </w:rPr>
        <w:t xml:space="preserve">，深 </w:t>
      </w:r>
      <w:r>
        <w:t>0.5m</w:t>
      </w:r>
      <w:r>
        <w:rPr>
          <w:spacing w:val="-24"/>
        </w:rPr>
        <w:t xml:space="preserve"> 的排</w:t>
      </w:r>
      <w:r>
        <w:rPr>
          <w:spacing w:val="-21"/>
        </w:rPr>
        <w:t>水沟，确保便道路面排水畅通；在汇水面积较大的低凹处设置圆管涵，便</w:t>
      </w:r>
      <w:r>
        <w:rPr>
          <w:spacing w:val="-18"/>
        </w:rPr>
        <w:t>道经过水沟地段，埋置圆管涵或设置过水路面，做到排水畅通。便道填筑</w:t>
      </w:r>
      <w:r>
        <w:rPr>
          <w:spacing w:val="-22"/>
        </w:rPr>
        <w:t>采用级配碎石、砂砾等材料铺筑，表面碾压平整，确保施工车辆正常通行。</w:t>
      </w:r>
      <w:r>
        <w:rPr>
          <w:spacing w:val="-27"/>
        </w:rPr>
        <w:t xml:space="preserve">便道路面高于自然地面 </w:t>
      </w:r>
      <w:r>
        <w:t>0.4m,</w:t>
      </w:r>
      <w:r>
        <w:rPr>
          <w:spacing w:val="-14"/>
        </w:rPr>
        <w:t xml:space="preserve">顶面设置 </w:t>
      </w:r>
      <w:r>
        <w:t>3%</w:t>
      </w:r>
      <w:r>
        <w:rPr>
          <w:spacing w:val="-12"/>
        </w:rPr>
        <w:t>的单向横坡，以便于排水。便道路面结构如下：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19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1795926</wp:posOffset>
            </wp:positionH>
            <wp:positionV relativeFrom="paragraph">
              <wp:posOffset>171858</wp:posOffset>
            </wp:positionV>
            <wp:extent cx="4937767" cy="1097279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67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spacing w:before="110"/>
        <w:ind w:left="3205" w:right="2893" w:firstLine="0"/>
        <w:jc w:val="center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4"/>
          <w:sz w:val="28"/>
        </w:rPr>
        <w:t xml:space="preserve">图 </w:t>
      </w:r>
      <w:r>
        <w:rPr>
          <w:rFonts w:ascii="Microsoft JhengHei" w:eastAsia="Microsoft JhengHei"/>
          <w:b/>
          <w:sz w:val="28"/>
        </w:rPr>
        <w:t>5</w:t>
      </w:r>
      <w:r>
        <w:rPr>
          <w:rFonts w:ascii="Microsoft JhengHei" w:eastAsia="Microsoft JhengHei"/>
          <w:b/>
          <w:spacing w:val="6"/>
          <w:sz w:val="28"/>
        </w:rPr>
        <w:t xml:space="preserve"> 便道结构图</w:t>
      </w:r>
    </w:p>
    <w:p>
      <w:pPr>
        <w:pStyle w:val="BodyText"/>
        <w:spacing w:before="139" w:line="295" w:lineRule="auto"/>
        <w:ind w:right="117" w:firstLine="560"/>
      </w:pPr>
      <w:r>
        <w:rPr>
          <w:spacing w:val="-9"/>
        </w:rPr>
        <w:t>便道修建完成后应做好平常的养护工作，在气候干燥季节和施工期间，</w:t>
      </w:r>
      <w:r>
        <w:rPr>
          <w:spacing w:val="-11"/>
        </w:rPr>
        <w:t>配备洒水车，经常洒水，避免灰尘及便道损坏和对农田的污染，雨天及时</w:t>
      </w:r>
      <w:r>
        <w:rPr>
          <w:spacing w:val="-13"/>
        </w:rPr>
        <w:t>排水，做到晴天不扬尘、雨天不泥泞。便道施工路口设置明显的</w:t>
      </w:r>
      <w:r>
        <w:t>（禁止通</w:t>
      </w:r>
      <w:r>
        <w:rPr>
          <w:spacing w:val="-8"/>
        </w:rPr>
        <w:t>行、绕行、限速、警告</w:t>
      </w:r>
      <w:r>
        <w:rPr>
          <w:spacing w:val="-20"/>
        </w:rPr>
        <w:t>）</w:t>
      </w:r>
      <w:r>
        <w:rPr>
          <w:spacing w:val="-5"/>
        </w:rPr>
        <w:t>等标志，在施工繁忙和晚间施工期间，配备专门</w:t>
      </w:r>
      <w:r>
        <w:rPr>
          <w:spacing w:val="-12"/>
        </w:rPr>
        <w:t>的交通疏导人员，以确保车辆及行人安全、畅通。途经村镇、街道、学校</w:t>
      </w:r>
      <w:r>
        <w:rPr>
          <w:spacing w:val="-15"/>
        </w:rPr>
        <w:t>等人口密集区，设置禁令标志。互通区须跨越匝道的施工便道路口也设置明显的警示标志，并派专人进行路口的防护指挥。</w:t>
      </w:r>
    </w:p>
    <w:p>
      <w:pPr>
        <w:pStyle w:val="BodyText"/>
        <w:spacing w:line="350" w:lineRule="exact"/>
        <w:ind w:left="688"/>
      </w:pPr>
      <w:r>
        <w:t>（三）</w:t>
      </w:r>
      <w:r>
        <w:rPr>
          <w:spacing w:val="-3"/>
        </w:rPr>
        <w:t>施工用水</w:t>
      </w:r>
    </w:p>
    <w:p>
      <w:pPr>
        <w:pStyle w:val="BodyText"/>
        <w:spacing w:before="81"/>
        <w:ind w:left="688"/>
      </w:pPr>
      <w:r>
        <w:rPr>
          <w:spacing w:val="-10"/>
        </w:rPr>
        <w:t>沿线施工现场有溪流常年有水，可以修建蓄水池作为施工和生活用水，</w:t>
      </w:r>
    </w:p>
    <w:p>
      <w:pPr>
        <w:spacing w:after="0"/>
        <w:sectPr>
          <w:footerReference w:type="default" r:id="rId14"/>
          <w:pgSz w:w="11910" w:h="16840"/>
          <w:pgMar w:top="1920" w:right="1100" w:bottom="1640" w:left="1460" w:header="0" w:footer="1455"/>
          <w:pgNumType w:start="7"/>
          <w:cols w:space="708"/>
        </w:sectPr>
      </w:pPr>
    </w:p>
    <w:p>
      <w:pPr>
        <w:pStyle w:val="BodyText"/>
        <w:spacing w:before="4"/>
        <w:ind w:left="0"/>
        <w:rPr>
          <w:sz w:val="13"/>
        </w:rPr>
      </w:pPr>
    </w:p>
    <w:p>
      <w:pPr>
        <w:pStyle w:val="BodyText"/>
        <w:spacing w:before="61" w:line="295" w:lineRule="auto"/>
        <w:ind w:right="371"/>
      </w:pPr>
      <w:r>
        <w:rPr>
          <w:spacing w:val="-4"/>
        </w:rPr>
        <w:t>当地冬季气温较低，蓄水设施需要采用冬季防冻措施。须经检测合格，符</w:t>
      </w:r>
      <w:r>
        <w:rPr>
          <w:spacing w:val="-2"/>
        </w:rPr>
        <w:t>合用水要求才可使用。</w:t>
      </w:r>
    </w:p>
    <w:p>
      <w:pPr>
        <w:pStyle w:val="Heading1"/>
        <w:spacing w:line="367" w:lineRule="exact"/>
        <w:ind w:left="288"/>
      </w:pPr>
      <w:bookmarkStart w:id="3" w:name="_TOC_250008"/>
      <w:bookmarkEnd w:id="3"/>
      <w:r>
        <w:rPr>
          <w:spacing w:val="-2"/>
        </w:rPr>
        <w:t>四、弃土场防护</w:t>
      </w:r>
    </w:p>
    <w:p>
      <w:pPr>
        <w:pStyle w:val="BodyText"/>
        <w:spacing w:before="70"/>
        <w:ind w:left="688"/>
      </w:pPr>
      <w:r>
        <w:t>（一）</w:t>
      </w:r>
      <w:r>
        <w:rPr>
          <w:spacing w:val="-3"/>
        </w:rPr>
        <w:t>排水措施</w:t>
      </w:r>
    </w:p>
    <w:p>
      <w:pPr>
        <w:pStyle w:val="BodyText"/>
        <w:spacing w:before="81" w:line="295" w:lineRule="auto"/>
        <w:ind w:right="231" w:firstLine="560"/>
      </w:pPr>
      <w:r>
        <w:rPr>
          <w:spacing w:val="-9"/>
        </w:rPr>
        <w:t>在弃土场顺沟心布置片石盲沟，保证场地底层排水，在弃土场周边布</w:t>
      </w:r>
      <w:r>
        <w:rPr>
          <w:spacing w:val="-11"/>
        </w:rPr>
        <w:t xml:space="preserve">置 </w:t>
      </w:r>
      <w:r>
        <w:t>M7.5</w:t>
      </w:r>
      <w:r>
        <w:rPr>
          <w:spacing w:val="-5"/>
        </w:rPr>
        <w:t xml:space="preserve"> 浆砌片石排水沟，对因弃土场施工影响周边原始河沟的部分进行</w:t>
      </w:r>
      <w:r>
        <w:rPr>
          <w:spacing w:val="-19"/>
        </w:rPr>
        <w:t>改沟处理，排水沟、改沟接沉砂池，从弃土场流出的水经过沉砂池沉淀后，</w:t>
      </w:r>
      <w:r>
        <w:rPr>
          <w:spacing w:val="-2"/>
        </w:rPr>
        <w:t>在排入就近沟渠，保证弃土场周边排水通畅。</w:t>
      </w:r>
    </w:p>
    <w:p>
      <w:pPr>
        <w:pStyle w:val="BodyText"/>
        <w:spacing w:line="295" w:lineRule="auto"/>
        <w:ind w:right="117" w:firstLine="560"/>
      </w:pPr>
      <w:r>
        <w:rPr>
          <w:spacing w:val="-12"/>
        </w:rPr>
        <w:t>弃土过程中做好临时排水措施，每层弃土面应保持有利于排水的横坡，</w:t>
      </w:r>
      <w:r>
        <w:t>以便迅速排除地表水。弃土完毕后应设置顺地表纵坡 2%</w:t>
      </w:r>
      <w:r>
        <w:rPr>
          <w:spacing w:val="-1"/>
        </w:rPr>
        <w:t>的排水坡度，将水</w:t>
      </w:r>
      <w:r>
        <w:rPr>
          <w:spacing w:val="-2"/>
        </w:rPr>
        <w:t>引出弃土场外。</w:t>
      </w:r>
    </w:p>
    <w:p>
      <w:pPr>
        <w:pStyle w:val="BodyText"/>
        <w:spacing w:line="355" w:lineRule="exact"/>
        <w:ind w:left="688"/>
      </w:pPr>
      <w:r>
        <w:t>（二）</w:t>
      </w:r>
      <w:r>
        <w:rPr>
          <w:spacing w:val="-3"/>
        </w:rPr>
        <w:t>防护措施</w:t>
      </w:r>
    </w:p>
    <w:p>
      <w:pPr>
        <w:pStyle w:val="BodyText"/>
        <w:spacing w:before="77" w:line="295" w:lineRule="auto"/>
        <w:ind w:right="257" w:firstLine="560"/>
      </w:pPr>
      <w:r>
        <w:rPr>
          <w:spacing w:val="-10"/>
        </w:rPr>
        <w:t xml:space="preserve">弃土场顶部设置 </w:t>
      </w:r>
      <w:r>
        <w:rPr>
          <w:spacing w:val="-2"/>
        </w:rPr>
        <w:t>C15</w:t>
      </w:r>
      <w:r>
        <w:rPr>
          <w:spacing w:val="-14"/>
        </w:rPr>
        <w:t xml:space="preserve"> 片砼导流堤，弃土场下部设置 </w:t>
      </w:r>
      <w:r>
        <w:rPr>
          <w:spacing w:val="-2"/>
        </w:rPr>
        <w:t>C15</w:t>
      </w:r>
      <w:r>
        <w:rPr>
          <w:spacing w:val="-12"/>
        </w:rPr>
        <w:t xml:space="preserve"> 片砼护脚墙、</w:t>
      </w:r>
      <w:r>
        <w:rPr>
          <w:spacing w:val="-2"/>
        </w:rPr>
        <w:t>锁口挡墙。</w:t>
      </w:r>
    </w:p>
    <w:p>
      <w:pPr>
        <w:pStyle w:val="Heading1"/>
        <w:spacing w:line="367" w:lineRule="exact"/>
      </w:pPr>
      <w:bookmarkStart w:id="4" w:name="_TOC_250007"/>
      <w:bookmarkEnd w:id="4"/>
      <w:r>
        <w:rPr>
          <w:spacing w:val="-2"/>
        </w:rPr>
        <w:t>五、施工方法</w:t>
      </w:r>
    </w:p>
    <w:p>
      <w:pPr>
        <w:pStyle w:val="BodyText"/>
        <w:spacing w:before="70" w:line="295" w:lineRule="auto"/>
        <w:ind w:right="231" w:firstLine="560"/>
      </w:pPr>
      <w:r>
        <w:rPr>
          <w:spacing w:val="-19"/>
        </w:rPr>
        <w:t>弃土场堆土遵循“先挡后砌”原则所有弃土均需按规定堆放再弃土场，</w:t>
      </w:r>
      <w:r>
        <w:rPr>
          <w:spacing w:val="-8"/>
        </w:rPr>
        <w:t>严禁乱堆乱放，污染环境。总体施工顺序为：盲沟施工→排水沟施工→改</w:t>
      </w:r>
      <w:r>
        <w:rPr>
          <w:spacing w:val="-2"/>
        </w:rPr>
        <w:t>沟施工→挡墙施工</w:t>
      </w:r>
    </w:p>
    <w:p>
      <w:pPr>
        <w:pStyle w:val="BodyText"/>
        <w:spacing w:line="355" w:lineRule="exact"/>
        <w:ind w:left="688"/>
      </w:pPr>
      <w:r>
        <w:t>（一）</w:t>
      </w:r>
      <w:r>
        <w:rPr>
          <w:spacing w:val="-3"/>
        </w:rPr>
        <w:t>盲沟施工</w:t>
      </w:r>
    </w:p>
    <w:p>
      <w:pPr>
        <w:pStyle w:val="BodyText"/>
        <w:spacing w:before="81" w:line="295" w:lineRule="auto"/>
        <w:ind w:right="371" w:firstLine="560"/>
        <w:jc w:val="both"/>
      </w:pPr>
      <w:r>
        <w:t>（</w:t>
      </w:r>
      <w:r>
        <w:rPr>
          <w:spacing w:val="-35"/>
        </w:rPr>
        <w:t xml:space="preserve"> </w:t>
      </w:r>
      <w:r>
        <w:t>1）</w:t>
      </w:r>
      <w:r>
        <w:rPr>
          <w:spacing w:val="27"/>
        </w:rPr>
        <w:t xml:space="preserve"> 盲沟设计为梯形， 在盲沟的底部用片石填筑， 粒径</w:t>
      </w:r>
      <w:r>
        <w:t xml:space="preserve"> </w:t>
      </w:r>
      <w:r>
        <w:rPr>
          <w:spacing w:val="-2"/>
        </w:rPr>
        <w:t>150mm-400mm。片石表面应清洁，片石摆放铺设采用人工铺设。片石铺设</w:t>
      </w:r>
      <w:r>
        <w:rPr>
          <w:spacing w:val="-2"/>
        </w:rPr>
        <w:t>应整齐规范，孔隙应清晰以便保证流水通畅。</w:t>
      </w:r>
    </w:p>
    <w:p>
      <w:pPr>
        <w:pStyle w:val="ListParagraph"/>
        <w:numPr>
          <w:ilvl w:val="0"/>
          <w:numId w:val="14"/>
        </w:numPr>
        <w:tabs>
          <w:tab w:val="left" w:pos="1390"/>
        </w:tabs>
        <w:spacing w:before="0" w:after="0" w:line="295" w:lineRule="auto"/>
        <w:ind w:left="128" w:right="372" w:firstLine="560"/>
        <w:jc w:val="left"/>
        <w:rPr>
          <w:sz w:val="28"/>
        </w:rPr>
      </w:pPr>
      <w:r>
        <w:rPr>
          <w:spacing w:val="-2"/>
          <w:sz w:val="28"/>
        </w:rPr>
        <w:t>盲沟的设置深度，应满足渗水材料的顶部不得低于原有地下水</w:t>
      </w:r>
      <w:r>
        <w:rPr>
          <w:spacing w:val="-2"/>
          <w:sz w:val="28"/>
        </w:rPr>
        <w:t>位的要求。当排除层间水时，盲沟底部应埋设与最下面的不透水层上。</w:t>
      </w:r>
    </w:p>
    <w:p>
      <w:pPr>
        <w:pStyle w:val="ListParagraph"/>
        <w:numPr>
          <w:ilvl w:val="0"/>
          <w:numId w:val="14"/>
        </w:numPr>
        <w:tabs>
          <w:tab w:val="left" w:pos="1389"/>
        </w:tabs>
        <w:spacing w:before="0" w:after="0" w:line="295" w:lineRule="auto"/>
        <w:ind w:left="128" w:right="231" w:firstLine="560"/>
        <w:jc w:val="left"/>
        <w:rPr>
          <w:sz w:val="28"/>
        </w:rPr>
      </w:pPr>
      <w:r>
        <w:rPr>
          <w:spacing w:val="-5"/>
          <w:sz w:val="28"/>
        </w:rPr>
        <w:t>当采用土工织物作反滤层时，应先在底部及两侧沟壁铺好就位</w:t>
      </w:r>
      <w:r>
        <w:rPr>
          <w:spacing w:val="-10"/>
          <w:sz w:val="28"/>
        </w:rPr>
        <w:t>，并预留顶部覆盖所需的土工织物，拉直平顺紧贴下垫层，所有纵向或横</w:t>
      </w:r>
      <w:r>
        <w:rPr>
          <w:spacing w:val="-13"/>
          <w:sz w:val="28"/>
        </w:rPr>
        <w:t xml:space="preserve">向的搭接缝应交替错开。搭接长度均不得小于 </w:t>
      </w:r>
      <w:r>
        <w:rPr>
          <w:sz w:val="28"/>
        </w:rPr>
        <w:t>300mm。</w:t>
      </w:r>
    </w:p>
    <w:p>
      <w:pPr>
        <w:pStyle w:val="ListParagraph"/>
        <w:numPr>
          <w:ilvl w:val="0"/>
          <w:numId w:val="14"/>
        </w:numPr>
        <w:tabs>
          <w:tab w:val="left" w:pos="1389"/>
        </w:tabs>
        <w:spacing w:before="0" w:after="0" w:line="355" w:lineRule="exact"/>
        <w:ind w:left="1389" w:right="0" w:hanging="701"/>
        <w:jc w:val="left"/>
        <w:rPr>
          <w:sz w:val="28"/>
        </w:rPr>
      </w:pPr>
      <w:r>
        <w:rPr>
          <w:spacing w:val="-4"/>
          <w:sz w:val="28"/>
        </w:rPr>
        <w:t xml:space="preserve">盲沟只宜用于渗流不长的地段，且纵坡不小于 </w:t>
      </w:r>
      <w:r>
        <w:rPr>
          <w:sz w:val="28"/>
        </w:rPr>
        <w:t>1%</w:t>
      </w:r>
      <w:r>
        <w:rPr>
          <w:spacing w:val="-10"/>
          <w:sz w:val="28"/>
        </w:rPr>
        <w:t>。</w:t>
      </w:r>
    </w:p>
    <w:p>
      <w:pPr>
        <w:spacing w:after="0" w:line="355" w:lineRule="exact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https://d.book118.com/066214152124010054</w:t>
        </w:r>
      </w:hyperlink>
    </w:p>
    <w:p>
      <w:pPr>
        <w:spacing w:after="0" w:line="355" w:lineRule="exact"/>
        <w:jc w:val="left"/>
        <w:rPr>
          <w:sz w:val="28"/>
        </w:rPr>
      </w:pPr>
    </w:p>
    <w:sectPr>
      <w:footerReference w:type="default" r:id="rId16"/>
      <w:pgSz w:w="11910" w:h="16840"/>
      <w:pgMar w:top="1920" w:right="1100" w:bottom="1640" w:left="1460" w:header="0" w:footer="1455"/>
      <w:pgNumType w:start="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.15pt;height:11pt;margin-top:758.15pt;margin-left:301.9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.15pt;height:11pt;margin-top:758.15pt;margin-left:301.9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.15pt;height:11pt;margin-top:758.15pt;margin-left:301.9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3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.15pt;height:11pt;margin-top:758.15pt;margin-left:301.9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4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.15pt;height:11pt;margin-top:758.15pt;margin-left:301.9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5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.15pt;height:11pt;margin-top:758.15pt;margin-left:301.9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6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.15pt;height:11pt;margin-top:758.15pt;margin-left:301.9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7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.15pt;height:11pt;margin-top:758.15pt;margin-left:301.9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8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F3A273"/>
    <w:multiLevelType w:val="hybridMultilevel"/>
    <w:tmpl w:val="00000000"/>
    <w:lvl w:ilvl="0">
      <w:start w:val="1"/>
      <w:numFmt w:val="decimal"/>
      <w:lvlText w:val="（%1）"/>
      <w:lvlJc w:val="left"/>
      <w:pPr>
        <w:ind w:left="128" w:hanging="70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70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7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7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7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7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7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7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702"/>
      </w:pPr>
      <w:rPr>
        <w:rFonts w:hint="default"/>
        <w:lang w:val="en-US" w:eastAsia="zh-CN" w:bidi="ar-SA"/>
      </w:rPr>
    </w:lvl>
  </w:abstractNum>
  <w:abstractNum w:abstractNumId="1">
    <w:nsid w:val="053DBD64"/>
    <w:multiLevelType w:val="hybridMultilevel"/>
    <w:tmpl w:val="00000000"/>
    <w:lvl w:ilvl="0">
      <w:start w:val="1"/>
      <w:numFmt w:val="decimal"/>
      <w:lvlText w:val="（%1）"/>
      <w:lvlJc w:val="left"/>
      <w:pPr>
        <w:ind w:left="1389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7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7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6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6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5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2" w:hanging="701"/>
      </w:pPr>
      <w:rPr>
        <w:rFonts w:hint="default"/>
        <w:lang w:val="en-US" w:eastAsia="zh-CN" w:bidi="ar-SA"/>
      </w:rPr>
    </w:lvl>
  </w:abstractNum>
  <w:abstractNum w:abstractNumId="2">
    <w:nsid w:val="0D42B4AE"/>
    <w:multiLevelType w:val="hybridMultilevel"/>
    <w:tmpl w:val="00000000"/>
    <w:lvl w:ilvl="0">
      <w:start w:val="2"/>
      <w:numFmt w:val="decimal"/>
      <w:lvlText w:val="（%1）"/>
      <w:lvlJc w:val="left"/>
      <w:pPr>
        <w:ind w:left="128" w:hanging="70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70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7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7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7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7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7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7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702"/>
      </w:pPr>
      <w:rPr>
        <w:rFonts w:hint="default"/>
        <w:lang w:val="en-US" w:eastAsia="zh-CN" w:bidi="ar-SA"/>
      </w:rPr>
    </w:lvl>
  </w:abstractNum>
  <w:abstractNum w:abstractNumId="3">
    <w:nsid w:val="17B5EA4E"/>
    <w:multiLevelType w:val="hybridMultilevel"/>
    <w:tmpl w:val="00000000"/>
    <w:lvl w:ilvl="0">
      <w:start w:val="1"/>
      <w:numFmt w:val="decimal"/>
      <w:lvlText w:val="%1."/>
      <w:lvlJc w:val="left"/>
      <w:pPr>
        <w:ind w:left="969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（%2）"/>
      <w:lvlJc w:val="left"/>
      <w:pPr>
        <w:ind w:left="128" w:hanging="70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91" w:hanging="7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23" w:hanging="7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55" w:hanging="7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87" w:hanging="7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8" w:hanging="7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0" w:hanging="7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82" w:hanging="702"/>
      </w:pPr>
      <w:rPr>
        <w:rFonts w:hint="default"/>
        <w:lang w:val="en-US" w:eastAsia="zh-CN" w:bidi="ar-SA"/>
      </w:rPr>
    </w:lvl>
  </w:abstractNum>
  <w:abstractNum w:abstractNumId="4">
    <w:nsid w:val="17E3D52D"/>
    <w:multiLevelType w:val="hybridMultilevel"/>
    <w:tmpl w:val="00000000"/>
    <w:lvl w:ilvl="0">
      <w:start w:val="1"/>
      <w:numFmt w:val="decimal"/>
      <w:lvlText w:val="%1."/>
      <w:lvlJc w:val="left"/>
      <w:pPr>
        <w:ind w:left="969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7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68" w:hanging="281"/>
      </w:pPr>
      <w:rPr>
        <w:rFonts w:hint="default"/>
        <w:lang w:val="en-US" w:eastAsia="zh-CN" w:bidi="ar-SA"/>
      </w:rPr>
    </w:lvl>
  </w:abstractNum>
  <w:abstractNum w:abstractNumId="5">
    <w:nsid w:val="223049DD"/>
    <w:multiLevelType w:val="hybridMultilevel"/>
    <w:tmpl w:val="00000000"/>
    <w:lvl w:ilvl="0">
      <w:start w:val="1"/>
      <w:numFmt w:val="decimal"/>
      <w:lvlText w:val="%1."/>
      <w:lvlJc w:val="left"/>
      <w:pPr>
        <w:ind w:left="969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7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68" w:hanging="281"/>
      </w:pPr>
      <w:rPr>
        <w:rFonts w:hint="default"/>
        <w:lang w:val="en-US" w:eastAsia="zh-CN" w:bidi="ar-SA"/>
      </w:rPr>
    </w:lvl>
  </w:abstractNum>
  <w:abstractNum w:abstractNumId="6">
    <w:nsid w:val="342463B7"/>
    <w:multiLevelType w:val="hybridMultilevel"/>
    <w:tmpl w:val="00000000"/>
    <w:lvl w:ilvl="0">
      <w:start w:val="1"/>
      <w:numFmt w:val="decimal"/>
      <w:lvlText w:val="%1."/>
      <w:lvlJc w:val="left"/>
      <w:pPr>
        <w:ind w:left="969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7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68" w:hanging="281"/>
      </w:pPr>
      <w:rPr>
        <w:rFonts w:hint="default"/>
        <w:lang w:val="en-US" w:eastAsia="zh-CN" w:bidi="ar-SA"/>
      </w:rPr>
    </w:lvl>
  </w:abstractNum>
  <w:abstractNum w:abstractNumId="7">
    <w:nsid w:val="38402B00"/>
    <w:multiLevelType w:val="hybridMultilevel"/>
    <w:tmpl w:val="00000000"/>
    <w:lvl w:ilvl="0">
      <w:start w:val="1"/>
      <w:numFmt w:val="decimal"/>
      <w:lvlText w:val="（%1）"/>
      <w:lvlJc w:val="left"/>
      <w:pPr>
        <w:ind w:left="1405" w:hanging="718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94" w:hanging="71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89" w:hanging="71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83" w:hanging="71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8" w:hanging="71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71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67" w:hanging="71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62" w:hanging="71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6" w:hanging="718"/>
      </w:pPr>
      <w:rPr>
        <w:rFonts w:hint="default"/>
        <w:lang w:val="en-US" w:eastAsia="zh-CN" w:bidi="ar-SA"/>
      </w:rPr>
    </w:lvl>
  </w:abstractNum>
  <w:abstractNum w:abstractNumId="8">
    <w:nsid w:val="3C044CAE"/>
    <w:multiLevelType w:val="hybridMultilevel"/>
    <w:tmpl w:val="00000000"/>
    <w:lvl w:ilvl="0">
      <w:start w:val="1"/>
      <w:numFmt w:val="decimal"/>
      <w:lvlText w:val="（%1）"/>
      <w:lvlJc w:val="left"/>
      <w:pPr>
        <w:ind w:left="128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58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701"/>
      </w:pPr>
      <w:rPr>
        <w:rFonts w:hint="default"/>
        <w:lang w:val="en-US" w:eastAsia="zh-CN" w:bidi="ar-SA"/>
      </w:rPr>
    </w:lvl>
  </w:abstractNum>
  <w:abstractNum w:abstractNumId="9">
    <w:nsid w:val="434B7916"/>
    <w:multiLevelType w:val="hybridMultilevel"/>
    <w:tmpl w:val="00000000"/>
    <w:lvl w:ilvl="0">
      <w:start w:val="1"/>
      <w:numFmt w:val="decimal"/>
      <w:lvlText w:val="%1."/>
      <w:lvlJc w:val="left"/>
      <w:pPr>
        <w:ind w:left="969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7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68" w:hanging="281"/>
      </w:pPr>
      <w:rPr>
        <w:rFonts w:hint="default"/>
        <w:lang w:val="en-US" w:eastAsia="zh-CN" w:bidi="ar-SA"/>
      </w:rPr>
    </w:lvl>
  </w:abstractNum>
  <w:abstractNum w:abstractNumId="10">
    <w:nsid w:val="449C2705"/>
    <w:multiLevelType w:val="hybridMultilevel"/>
    <w:tmpl w:val="00000000"/>
    <w:lvl w:ilvl="0">
      <w:start w:val="1"/>
      <w:numFmt w:val="decimal"/>
      <w:lvlText w:val="（%1）"/>
      <w:lvlJc w:val="left"/>
      <w:pPr>
        <w:ind w:left="1389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7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7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6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6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5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2" w:hanging="701"/>
      </w:pPr>
      <w:rPr>
        <w:rFonts w:hint="default"/>
        <w:lang w:val="en-US" w:eastAsia="zh-CN" w:bidi="ar-SA"/>
      </w:rPr>
    </w:lvl>
  </w:abstractNum>
  <w:abstractNum w:abstractNumId="11">
    <w:nsid w:val="506D16DC"/>
    <w:multiLevelType w:val="hybridMultilevel"/>
    <w:tmpl w:val="00000000"/>
    <w:lvl w:ilvl="0">
      <w:start w:val="1"/>
      <w:numFmt w:val="decimal"/>
      <w:lvlText w:val="（%1）"/>
      <w:lvlJc w:val="left"/>
      <w:pPr>
        <w:ind w:left="128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-1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701"/>
      </w:pPr>
      <w:rPr>
        <w:rFonts w:hint="default"/>
        <w:lang w:val="en-US" w:eastAsia="zh-CN" w:bidi="ar-SA"/>
      </w:rPr>
    </w:lvl>
  </w:abstractNum>
  <w:abstractNum w:abstractNumId="12">
    <w:nsid w:val="56D01F52"/>
    <w:multiLevelType w:val="hybridMultilevel"/>
    <w:tmpl w:val="00000000"/>
    <w:lvl w:ilvl="0">
      <w:start w:val="1"/>
      <w:numFmt w:val="decimal"/>
      <w:lvlText w:val="（%1）"/>
      <w:lvlJc w:val="left"/>
      <w:pPr>
        <w:ind w:left="128" w:hanging="70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70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7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7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7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7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7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7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702"/>
      </w:pPr>
      <w:rPr>
        <w:rFonts w:hint="default"/>
        <w:lang w:val="en-US" w:eastAsia="zh-CN" w:bidi="ar-SA"/>
      </w:rPr>
    </w:lvl>
  </w:abstractNum>
  <w:abstractNum w:abstractNumId="13">
    <w:nsid w:val="56DCD698"/>
    <w:multiLevelType w:val="hybridMultilevel"/>
    <w:tmpl w:val="00000000"/>
    <w:lvl w:ilvl="0">
      <w:start w:val="1"/>
      <w:numFmt w:val="decimal"/>
      <w:lvlText w:val="%1."/>
      <w:lvlJc w:val="left"/>
      <w:pPr>
        <w:ind w:left="969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8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75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4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91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0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68" w:hanging="281"/>
      </w:pPr>
      <w:rPr>
        <w:rFonts w:hint="default"/>
        <w:lang w:val="en-US" w:eastAsia="zh-CN" w:bidi="ar-SA"/>
      </w:rPr>
    </w:lvl>
  </w:abstractNum>
  <w:abstractNum w:abstractNumId="14">
    <w:nsid w:val="60EEA035"/>
    <w:multiLevelType w:val="hybridMultilevel"/>
    <w:tmpl w:val="00000000"/>
    <w:lvl w:ilvl="0">
      <w:start w:val="1"/>
      <w:numFmt w:val="decimal"/>
      <w:lvlText w:val="%1."/>
      <w:lvlJc w:val="left"/>
      <w:pPr>
        <w:ind w:left="128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281"/>
      </w:pPr>
      <w:rPr>
        <w:rFonts w:hint="default"/>
        <w:lang w:val="en-US" w:eastAsia="zh-CN" w:bidi="ar-SA"/>
      </w:rPr>
    </w:lvl>
  </w:abstractNum>
  <w:abstractNum w:abstractNumId="15">
    <w:nsid w:val="63948D4C"/>
    <w:multiLevelType w:val="hybridMultilevel"/>
    <w:tmpl w:val="00000000"/>
    <w:lvl w:ilvl="0">
      <w:start w:val="1"/>
      <w:numFmt w:val="decimal"/>
      <w:lvlText w:val="（%1）"/>
      <w:lvlJc w:val="left"/>
      <w:pPr>
        <w:ind w:left="128" w:hanging="70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42" w:hanging="70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65" w:hanging="7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87" w:hanging="7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0" w:hanging="7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33" w:hanging="7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55" w:hanging="7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78" w:hanging="7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00" w:hanging="702"/>
      </w:pPr>
      <w:rPr>
        <w:rFonts w:hint="default"/>
        <w:lang w:val="en-US" w:eastAsia="zh-CN" w:bidi="ar-SA"/>
      </w:rPr>
    </w:lvl>
  </w:abstractNum>
  <w:abstractNum w:abstractNumId="16">
    <w:nsid w:val="69FA72AF"/>
    <w:multiLevelType w:val="hybridMultilevel"/>
    <w:tmpl w:val="00000000"/>
    <w:lvl w:ilvl="0">
      <w:start w:val="1"/>
      <w:numFmt w:val="decimal"/>
      <w:lvlText w:val="（%1）"/>
      <w:lvlJc w:val="left"/>
      <w:pPr>
        <w:ind w:left="1389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7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7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6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6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5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5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52" w:hanging="701"/>
      </w:pPr>
      <w:rPr>
        <w:rFonts w:hint="default"/>
        <w:lang w:val="en-US" w:eastAsia="zh-CN" w:bidi="ar-SA"/>
      </w:rPr>
    </w:lvl>
  </w:abstractNum>
  <w:num w:numId="1">
    <w:abstractNumId w:val="5"/>
  </w:num>
  <w:num w:numId="2">
    <w:abstractNumId w:val="9"/>
  </w:num>
  <w:num w:numId="3">
    <w:abstractNumId w:val="14"/>
  </w:num>
  <w:num w:numId="4">
    <w:abstractNumId w:val="10"/>
  </w:num>
  <w:num w:numId="5">
    <w:abstractNumId w:val="11"/>
  </w:num>
  <w:num w:numId="6">
    <w:abstractNumId w:val="8"/>
  </w:num>
  <w:num w:numId="7">
    <w:abstractNumId w:val="7"/>
  </w:num>
  <w:num w:numId="8">
    <w:abstractNumId w:val="12"/>
  </w:num>
  <w:num w:numId="9">
    <w:abstractNumId w:val="15"/>
  </w:num>
  <w:num w:numId="10">
    <w:abstractNumId w:val="3"/>
  </w:num>
  <w:num w:numId="11">
    <w:abstractNumId w:val="16"/>
  </w:num>
  <w:num w:numId="12">
    <w:abstractNumId w:val="13"/>
  </w:num>
  <w:num w:numId="13">
    <w:abstractNumId w:val="0"/>
  </w:num>
  <w:num w:numId="14">
    <w:abstractNumId w:val="2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8"/>
      <w:outlineLvl w:val="0"/>
    </w:pPr>
    <w:rPr>
      <w:rFonts w:ascii="楷体" w:eastAsia="楷体" w:hAnsi="楷体" w:cs="楷体"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81"/>
      <w:ind w:left="128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81"/>
      <w:ind w:left="688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8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167"/>
      <w:ind w:left="34" w:right="279"/>
      <w:jc w:val="center"/>
    </w:pPr>
    <w:rPr>
      <w:rFonts w:ascii="黑体" w:eastAsia="黑体" w:hAnsi="黑体" w:cs="黑体"/>
      <w:sz w:val="52"/>
      <w:szCs w:val="5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8" w:firstLine="56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jpeg" /><Relationship Id="rId11" Type="http://schemas.openxmlformats.org/officeDocument/2006/relationships/image" Target="media/image3.jpeg" /><Relationship Id="rId12" Type="http://schemas.openxmlformats.org/officeDocument/2006/relationships/footer" Target="footer6.xml" /><Relationship Id="rId13" Type="http://schemas.openxmlformats.org/officeDocument/2006/relationships/image" Target="media/image4.png" /><Relationship Id="rId14" Type="http://schemas.openxmlformats.org/officeDocument/2006/relationships/footer" Target="footer7.xml" /><Relationship Id="rId15" Type="http://schemas.openxmlformats.org/officeDocument/2006/relationships/hyperlink" Target="https://d.book118.com/066214152124010054" TargetMode="External" /><Relationship Id="rId16" Type="http://schemas.openxmlformats.org/officeDocument/2006/relationships/footer" Target="footer8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image" Target="media/image1.jpeg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2024-03-01T13:35:52Z</dcterms:created>
  <dcterms:modified xsi:type="dcterms:W3CDTF">2024-03-01T13:35:52Z</dcterms:modified>
</cp:coreProperties>
</file>