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187" w:line="222" w:lineRule="auto"/>
        <w:ind w:left="2785"/>
        <w:outlineLvl w:val="0"/>
      </w:pPr>
      <w:r>
        <w:rPr>
          <w:spacing w:val="4"/>
        </w:rPr>
        <w:t>2024肌松药临床应用进展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pStyle w:val="BodyText"/>
        <w:spacing w:before="88" w:line="431" w:lineRule="auto"/>
        <w:ind w:left="135" w:right="74"/>
        <w:jc w:val="both"/>
      </w:pPr>
      <w:r>
        <w:rPr>
          <w:spacing w:val="-3"/>
        </w:rPr>
        <w:t>骨骼肌松弛药(简称肌松药，</w:t>
      </w:r>
      <w:r>
        <w:rPr>
          <w:rFonts w:ascii="SimSun" w:eastAsia="SimSun" w:hAnsi="SimSun" w:cs="SimSun"/>
          <w:spacing w:val="-3"/>
        </w:rPr>
        <w:t>skeletal mu</w:t>
      </w:r>
      <w:r>
        <w:rPr>
          <w:rFonts w:ascii="SimSun" w:eastAsia="SimSun" w:hAnsi="SimSun" w:cs="SimSun"/>
          <w:spacing w:val="-4"/>
        </w:rPr>
        <w:t>scular relaxants)</w:t>
      </w:r>
      <w:r>
        <w:rPr>
          <w:spacing w:val="-4"/>
        </w:rPr>
        <w:t>是一类</w:t>
      </w:r>
      <w:r>
        <w:rPr>
          <w:spacing w:val="-4"/>
        </w:rPr>
        <w:t xml:space="preserve"> </w:t>
      </w:r>
      <w:r>
        <w:rPr>
          <w:rFonts w:ascii="SimSun" w:eastAsia="SimSun" w:hAnsi="SimSun" w:cs="SimSun"/>
          <w:spacing w:val="-4"/>
        </w:rPr>
        <w:t>N2</w:t>
      </w:r>
      <w:r>
        <w:rPr>
          <w:rFonts w:ascii="SimSun" w:eastAsia="SimSun" w:hAnsi="SimSun" w:cs="SimSun"/>
        </w:rPr>
        <w:t xml:space="preserve"> </w:t>
      </w:r>
      <w:r>
        <w:rPr>
          <w:spacing w:val="-11"/>
        </w:rPr>
        <w:t>胆碱能受体阻滞药，能选择性地作用于运动神经终板</w:t>
      </w:r>
      <w:r>
        <w:rPr>
          <w:spacing w:val="-12"/>
        </w:rPr>
        <w:t>膜上的</w:t>
      </w:r>
      <w:r>
        <w:rPr>
          <w:spacing w:val="-68"/>
        </w:rPr>
        <w:t xml:space="preserve"> </w:t>
      </w:r>
      <w:r>
        <w:rPr>
          <w:rFonts w:ascii="SimSun" w:eastAsia="SimSun" w:hAnsi="SimSun" w:cs="SimSun"/>
          <w:spacing w:val="-12"/>
        </w:rPr>
        <w:t>N2</w:t>
      </w:r>
      <w:r>
        <w:rPr>
          <w:rFonts w:ascii="SimSun" w:eastAsia="SimSun" w:hAnsi="SimSun" w:cs="SimSun"/>
          <w:spacing w:val="78"/>
        </w:rPr>
        <w:t xml:space="preserve"> </w:t>
      </w:r>
      <w:r>
        <w:rPr>
          <w:spacing w:val="-12"/>
        </w:rPr>
        <w:t>受体，阻</w:t>
      </w:r>
      <w:r>
        <w:t xml:space="preserve"> </w:t>
      </w:r>
      <w:r>
        <w:rPr>
          <w:spacing w:val="-11"/>
        </w:rPr>
        <w:t>断神经冲动向骨骼肌传递，导致肌肉松弛。肌肉松弛药的临床应用为外科</w:t>
      </w:r>
    </w:p>
    <w:p>
      <w:pPr>
        <w:pStyle w:val="BodyText"/>
        <w:spacing w:before="1" w:line="212" w:lineRule="auto"/>
        <w:jc w:val="right"/>
      </w:pPr>
      <w:r>
        <w:rPr>
          <w:spacing w:val="-9"/>
        </w:rPr>
        <w:t>手术和机械通气创造了良好的条件，是临床麻醉发展史上的一个里程碑。</w:t>
      </w:r>
    </w:p>
    <w:p>
      <w:pPr>
        <w:spacing w:line="281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pStyle w:val="BodyText"/>
        <w:spacing w:before="88" w:line="424" w:lineRule="auto"/>
        <w:ind w:left="135" w:right="52"/>
        <w:jc w:val="both"/>
      </w:pPr>
      <w:r>
        <w:rPr>
          <w:spacing w:val="-11"/>
        </w:rPr>
        <w:t>近年来，随着麻醉手术量的增长，肌松药的应用也明显增加。由于制剂水</w:t>
      </w:r>
      <w:r>
        <w:t xml:space="preserve"> </w:t>
      </w:r>
      <w:r>
        <w:rPr>
          <w:spacing w:val="-10"/>
        </w:rPr>
        <w:t>平的逐步提高和对药物的理解渐渐加深，麻醉医生往</w:t>
      </w:r>
      <w:r>
        <w:rPr>
          <w:spacing w:val="-11"/>
        </w:rPr>
        <w:t>往认为在只要控制了</w:t>
      </w:r>
      <w:r>
        <w:t xml:space="preserve"> </w:t>
      </w:r>
      <w:r>
        <w:rPr>
          <w:spacing w:val="-11"/>
        </w:rPr>
        <w:t>气道，肌松药使用起来相当安全，忽略了其可能存在的多种不良反应和副</w:t>
      </w:r>
      <w:r>
        <w:rPr>
          <w:spacing w:val="12"/>
        </w:rPr>
        <w:t xml:space="preserve"> </w:t>
      </w:r>
      <w:r>
        <w:rPr>
          <w:spacing w:val="-11"/>
        </w:rPr>
        <w:t>作用。因此，正确选择肌松药、深入了解其性质、熟悉肌松药的拮抗方法</w:t>
      </w:r>
    </w:p>
    <w:p>
      <w:pPr>
        <w:pStyle w:val="BodyText"/>
        <w:spacing w:before="1" w:line="212" w:lineRule="auto"/>
        <w:ind w:left="135"/>
      </w:pPr>
      <w:r>
        <w:rPr>
          <w:spacing w:val="-12"/>
        </w:rPr>
        <w:t>和了解肌松药过敏的研究进展，应该成为麻醉医师加强学习的内容。</w:t>
      </w:r>
    </w:p>
    <w:p>
      <w:pPr>
        <w:spacing w:line="292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pStyle w:val="BodyText"/>
        <w:spacing w:before="88" w:line="222" w:lineRule="auto"/>
        <w:ind w:left="135"/>
      </w:pPr>
      <w:r>
        <w:rPr>
          <w:spacing w:val="-7"/>
        </w:rPr>
        <w:t>肌松药的选择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pStyle w:val="BodyText"/>
        <w:spacing w:before="88" w:line="222" w:lineRule="auto"/>
        <w:ind w:left="135"/>
      </w:pPr>
      <w:r>
        <w:rPr>
          <w:spacing w:val="-7"/>
        </w:rPr>
        <w:t>1.什么是理想的肌松药?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pStyle w:val="BodyText"/>
        <w:spacing w:before="88" w:line="426" w:lineRule="auto"/>
        <w:ind w:left="135" w:right="62" w:hanging="135"/>
        <w:jc w:val="both"/>
        <w:sectPr>
          <w:pgSz w:w="11910" w:h="16840"/>
          <w:pgMar w:top="1431" w:right="1745" w:bottom="0" w:left="1664" w:header="0" w:footer="0" w:gutter="0"/>
          <w:cols w:space="708"/>
        </w:sectPr>
      </w:pPr>
      <w:r>
        <w:rPr>
          <w:spacing w:val="-14"/>
        </w:rPr>
        <w:t>“理想的肌松药”这个提法表明当前临床常用的</w:t>
      </w:r>
      <w:r>
        <w:rPr>
          <w:spacing w:val="-15"/>
        </w:rPr>
        <w:t>肌松药均存在令人不满意的</w:t>
      </w:r>
      <w:r>
        <w:t xml:space="preserve"> </w:t>
      </w:r>
      <w:r>
        <w:rPr>
          <w:spacing w:val="-11"/>
        </w:rPr>
        <w:t>地方，麻醉医师选用肌松药时需要特别注意候选药物可能产生的并发症以</w:t>
      </w:r>
    </w:p>
    <w:p>
      <w:pPr>
        <w:pStyle w:val="BodyText"/>
        <w:spacing w:before="1" w:line="222" w:lineRule="auto"/>
        <w:ind w:left="135"/>
      </w:pPr>
      <w:r>
        <w:rPr>
          <w:spacing w:val="-14"/>
        </w:rPr>
        <w:t>及不良反应。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pStyle w:val="BodyText"/>
        <w:spacing w:before="89" w:line="221" w:lineRule="auto"/>
        <w:ind w:left="135"/>
      </w:pPr>
      <w:r>
        <w:rPr>
          <w:spacing w:val="-11"/>
        </w:rPr>
        <w:t>理想肌松药应该满足以下条件：非去极化肌松药、无明显蓄积、不依赖器</w:t>
      </w:r>
    </w:p>
    <w:p>
      <w:pPr>
        <w:spacing w:line="221" w:lineRule="auto"/>
        <w:sectPr>
          <w:type w:val="nextPage"/>
          <w:pgSz w:w="11910" w:h="16840"/>
          <w:pgMar w:top="1431" w:right="1745" w:bottom="0" w:left="1664" w:header="0" w:footer="0" w:gutter="0"/>
          <w:pgNumType w:start="2"/>
          <w:cols w:space="708"/>
          <w:titlePg w:val="0"/>
        </w:sectPr>
      </w:pPr>
    </w:p>
    <w:p>
      <w:pPr>
        <w:pStyle w:val="BodyText"/>
        <w:spacing w:before="168" w:line="421" w:lineRule="auto"/>
        <w:ind w:left="13" w:right="50"/>
        <w:jc w:val="both"/>
      </w:pPr>
      <w:r>
        <w:rPr>
          <w:spacing w:val="-8"/>
        </w:rPr>
        <w:t>官代谢、肌松效应高、无明显组胺释放、恢复迅速、无血流动力学改变、</w:t>
      </w:r>
      <w:r>
        <w:t xml:space="preserve"> </w:t>
      </w:r>
      <w:r>
        <w:rPr>
          <w:spacing w:val="-11"/>
        </w:rPr>
        <w:t>易拮抗、个体差异小、起效快、胎盘透过率低、产物无活</w:t>
      </w:r>
      <w:r>
        <w:rPr>
          <w:spacing w:val="-12"/>
        </w:rPr>
        <w:t>性成分、性价比</w:t>
      </w:r>
      <w:r>
        <w:rPr>
          <w:spacing w:val="-12"/>
        </w:rPr>
        <w:t xml:space="preserve"> </w:t>
      </w:r>
      <w:r>
        <w:rPr>
          <w:spacing w:val="-11"/>
        </w:rPr>
        <w:t>高、常温可存放。但到目前为止，没有任何一种肌松药同时满足以上所有</w:t>
      </w:r>
    </w:p>
    <w:p>
      <w:pPr>
        <w:pStyle w:val="BodyText"/>
        <w:spacing w:before="1" w:line="212" w:lineRule="auto"/>
        <w:ind w:left="13"/>
      </w:pPr>
      <w:r>
        <w:rPr>
          <w:spacing w:val="-14"/>
        </w:rPr>
        <w:t>条件，理想的肌松药目前还只是一个美好的设想。</w:t>
      </w:r>
    </w:p>
    <w:p>
      <w:pPr>
        <w:spacing w:line="292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pStyle w:val="BodyText"/>
        <w:spacing w:before="88" w:line="222" w:lineRule="auto"/>
        <w:ind w:left="13"/>
      </w:pPr>
      <w:r>
        <w:rPr>
          <w:spacing w:val="-12"/>
        </w:rPr>
        <w:t>2.肌松药的临床应用问题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pStyle w:val="BodyText"/>
        <w:spacing w:before="88" w:line="424" w:lineRule="auto"/>
        <w:ind w:left="13"/>
      </w:pPr>
      <w:r>
        <w:rPr>
          <w:spacing w:val="-11"/>
        </w:rPr>
        <w:t>术中肌松不足会导致肌肉紧张，咳嗽、肠膨出、气腹压力不理想等，影响</w:t>
      </w:r>
      <w:r>
        <w:rPr>
          <w:spacing w:val="6"/>
        </w:rPr>
        <w:t xml:space="preserve">  </w:t>
      </w:r>
      <w:r>
        <w:rPr>
          <w:spacing w:val="-11"/>
        </w:rPr>
        <w:t>手术，但术中肌松药过量又会引起术后肌松残余，肌松残余会引起许多并</w:t>
      </w:r>
      <w:r>
        <w:rPr>
          <w:spacing w:val="2"/>
        </w:rPr>
        <w:t xml:space="preserve">  </w:t>
      </w:r>
      <w:r>
        <w:rPr>
          <w:spacing w:val="-7"/>
        </w:rPr>
        <w:t>发症：低氧血症、气道梗阻等急性呼吸事件；术后肺部并发症风险增加；</w:t>
      </w:r>
      <w:r>
        <w:rPr>
          <w:spacing w:val="18"/>
        </w:rPr>
        <w:t xml:space="preserve"> </w:t>
      </w:r>
      <w:r>
        <w:rPr>
          <w:spacing w:val="-11"/>
        </w:rPr>
        <w:t>病人苏醒、拔管延迟、</w:t>
      </w:r>
      <w:r>
        <w:rPr>
          <w:rFonts w:ascii="Times New Roman" w:eastAsia="Times New Roman" w:hAnsi="Times New Roman" w:cs="Times New Roman"/>
          <w:spacing w:val="-11"/>
        </w:rPr>
        <w:t>PACU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1"/>
        </w:rPr>
        <w:t>停留时间延长；增加患</w:t>
      </w:r>
      <w:r>
        <w:rPr>
          <w:spacing w:val="-12"/>
        </w:rPr>
        <w:t>者的恐惧及不适感。</w:t>
      </w:r>
    </w:p>
    <w:p>
      <w:pPr>
        <w:pStyle w:val="BodyText"/>
        <w:spacing w:before="1" w:line="212" w:lineRule="auto"/>
        <w:ind w:left="13"/>
      </w:pPr>
      <w:r>
        <w:rPr>
          <w:spacing w:val="-20"/>
        </w:rPr>
        <w:t>另外，肌松药过敏率较高，会导致瘙痒、低血压和过敏性休克等不良事件。</w:t>
      </w:r>
    </w:p>
    <w:p>
      <w:pPr>
        <w:spacing w:line="292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pStyle w:val="BodyText"/>
        <w:spacing w:before="88" w:line="222" w:lineRule="auto"/>
        <w:ind w:left="13"/>
      </w:pPr>
      <w:r>
        <w:rPr>
          <w:spacing w:val="-12"/>
        </w:rPr>
        <w:t>3.肌松药使用的矛盾点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pStyle w:val="BodyText"/>
        <w:spacing w:before="88" w:line="424" w:lineRule="auto"/>
        <w:ind w:left="13" w:right="141"/>
        <w:jc w:val="both"/>
      </w:pPr>
      <w:r>
        <w:rPr>
          <w:spacing w:val="-11"/>
        </w:rPr>
        <w:t>肌松药使用有利于插管和气道管理，有利于外科手术顺利进行，同时可以</w:t>
      </w:r>
      <w:r>
        <w:rPr>
          <w:spacing w:val="4"/>
        </w:rPr>
        <w:t xml:space="preserve"> </w:t>
      </w:r>
      <w:r>
        <w:rPr>
          <w:spacing w:val="-11"/>
        </w:rPr>
        <w:t>减少麻醉药物使用量。但会有组胺释放和过敏的危险，同时，术后肌松残</w:t>
      </w:r>
    </w:p>
    <w:p>
      <w:pPr>
        <w:pStyle w:val="BodyText"/>
        <w:spacing w:before="2" w:line="212" w:lineRule="auto"/>
        <w:ind w:left="13"/>
      </w:pPr>
      <w:r>
        <w:rPr>
          <w:spacing w:val="-13"/>
        </w:rPr>
        <w:t>余也会影响患者康复，降低患者满意度。</w:t>
      </w:r>
    </w:p>
    <w:p>
      <w:pPr>
        <w:spacing w:line="292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  <w:sectPr>
          <w:pgSz w:w="11910" w:h="16840"/>
          <w:pgMar w:top="1431" w:right="1674" w:bottom="0" w:left="1786" w:header="0" w:footer="0" w:gutter="0"/>
          <w:pgNumType w:start="3"/>
          <w:cols w:space="708"/>
        </w:sectPr>
      </w:pPr>
    </w:p>
    <w:p>
      <w:pPr>
        <w:pStyle w:val="BodyText"/>
        <w:spacing w:before="88" w:line="222" w:lineRule="auto"/>
        <w:ind w:left="13"/>
      </w:pPr>
      <w:r>
        <w:rPr>
          <w:spacing w:val="-4"/>
        </w:rPr>
        <w:t>4.用不用肌松药?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pStyle w:val="BodyText"/>
        <w:spacing w:before="88" w:line="213" w:lineRule="auto"/>
        <w:ind w:left="13"/>
      </w:pPr>
      <w:r>
        <w:rPr>
          <w:spacing w:val="-15"/>
        </w:rPr>
        <w:t>无肌松麻醉近年来逐渐成为热点，主要集中在老人、儿童人群和泌尿生殖、</w:t>
      </w:r>
    </w:p>
    <w:p>
      <w:pPr>
        <w:spacing w:line="213" w:lineRule="auto"/>
        <w:sectPr>
          <w:type w:val="nextPage"/>
          <w:pgSz w:w="11910" w:h="16840"/>
          <w:pgMar w:top="1431" w:right="1674" w:bottom="0" w:left="1786" w:header="0" w:footer="0" w:gutter="0"/>
          <w:pgNumType w:start="4"/>
          <w:cols w:space="708"/>
          <w:titlePg w:val="0"/>
        </w:sectPr>
      </w:pPr>
    </w:p>
    <w:p>
      <w:pPr>
        <w:pStyle w:val="BodyText"/>
        <w:spacing w:before="165" w:line="643" w:lineRule="exact"/>
        <w:ind w:left="3"/>
      </w:pPr>
      <w:r>
        <w:rPr>
          <w:spacing w:val="-10"/>
          <w:position w:val="29"/>
        </w:rPr>
        <w:t>四肢、浅表手术等，无肌松麻醉一般联合喉罩和静脉</w:t>
      </w:r>
      <w:r>
        <w:rPr>
          <w:spacing w:val="-11"/>
          <w:position w:val="29"/>
        </w:rPr>
        <w:t>麻醉药使用。短小的</w:t>
      </w:r>
    </w:p>
    <w:p>
      <w:pPr>
        <w:pStyle w:val="BodyText"/>
        <w:spacing w:line="221" w:lineRule="auto"/>
        <w:ind w:left="3"/>
      </w:pPr>
      <w:r>
        <w:rPr>
          <w:spacing w:val="-14"/>
        </w:rPr>
        <w:t>日间手术、微创检查等手术更适合无肌松麻醉。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pStyle w:val="BodyText"/>
        <w:spacing w:before="88" w:line="426" w:lineRule="auto"/>
        <w:ind w:left="3" w:right="33"/>
        <w:jc w:val="both"/>
      </w:pPr>
      <w:r>
        <w:rPr>
          <w:spacing w:val="-11"/>
        </w:rPr>
        <w:t>检索英文文献发现，不使用肌松药进行气管插管的比例逐渐增加，但多项</w:t>
      </w:r>
      <w:r>
        <w:rPr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2"/>
        </w:rPr>
        <w:t>RCT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spacing w:val="-12"/>
        </w:rPr>
        <w:t>结论并不一致。值得注意的是，不使用肌松药插管会增加困难插管的</w:t>
      </w:r>
      <w:r>
        <w:t xml:space="preserve"> </w:t>
      </w:r>
      <w:r>
        <w:rPr>
          <w:spacing w:val="-11"/>
        </w:rPr>
        <w:t>发生率及镇静、镇痛药的使用量，可能导致苏醒延迟和痛觉过敏，合并严</w:t>
      </w:r>
    </w:p>
    <w:p>
      <w:pPr>
        <w:pStyle w:val="BodyText"/>
        <w:spacing w:line="220" w:lineRule="auto"/>
        <w:ind w:left="3"/>
      </w:pPr>
      <w:r>
        <w:rPr>
          <w:spacing w:val="-14"/>
        </w:rPr>
        <w:t>重心脏疾病的患者不推荐使用。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pStyle w:val="BodyText"/>
        <w:spacing w:before="88" w:line="222" w:lineRule="auto"/>
        <w:ind w:left="3"/>
      </w:pPr>
      <w:r>
        <w:rPr>
          <w:spacing w:val="-9"/>
        </w:rPr>
        <w:t>5.常用肌松药</w:t>
      </w:r>
    </w:p>
    <w:p>
      <w:pPr>
        <w:pStyle w:val="BodyText"/>
        <w:spacing w:before="313" w:line="600" w:lineRule="exact"/>
        <w:ind w:left="3"/>
      </w:pPr>
      <w:r>
        <w:rPr>
          <w:spacing w:val="2"/>
          <w:position w:val="25"/>
        </w:rPr>
        <w:t>①罗库溴铵：起效快、维持时效约30~40分钟，是类</w:t>
      </w:r>
      <w:r>
        <w:rPr>
          <w:spacing w:val="1"/>
          <w:position w:val="25"/>
        </w:rPr>
        <w:t>固醇类肌松药，可</w:t>
      </w:r>
    </w:p>
    <w:p>
      <w:pPr>
        <w:pStyle w:val="BodyText"/>
        <w:spacing w:before="2" w:line="212" w:lineRule="auto"/>
        <w:ind w:left="3"/>
      </w:pPr>
      <w:r>
        <w:rPr>
          <w:spacing w:val="-11"/>
        </w:rPr>
        <w:t>以被舒更葡糖逆转，主要通过肝脏代谢，个体差异较大。</w:t>
      </w:r>
    </w:p>
    <w:p>
      <w:pPr>
        <w:pStyle w:val="BodyText"/>
        <w:spacing w:before="328" w:line="622" w:lineRule="exact"/>
        <w:ind w:left="3"/>
      </w:pPr>
      <w:r>
        <w:rPr>
          <w:spacing w:val="-11"/>
          <w:position w:val="27"/>
        </w:rPr>
        <w:t>②顺式阿曲库铵：中等时程的苄基异隆啉类肌松药，不经肝肾代谢，过敏</w:t>
      </w:r>
    </w:p>
    <w:p>
      <w:pPr>
        <w:pStyle w:val="BodyText"/>
        <w:spacing w:before="1" w:line="220" w:lineRule="auto"/>
        <w:ind w:left="3"/>
      </w:pPr>
      <w:r>
        <w:rPr>
          <w:spacing w:val="-14"/>
        </w:rPr>
        <w:t>发生率较低。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pStyle w:val="BodyText"/>
        <w:spacing w:before="89" w:line="630" w:lineRule="exact"/>
        <w:ind w:left="3"/>
      </w:pPr>
      <w:r>
        <w:rPr>
          <w:spacing w:val="-2"/>
          <w:position w:val="27"/>
        </w:rPr>
        <w:t>③米库氯铵：最大的优势在于维持时效短，</w:t>
      </w:r>
      <w:r>
        <w:rPr>
          <w:spacing w:val="-3"/>
          <w:position w:val="27"/>
        </w:rPr>
        <w:t>约15分钟。给药方式建议持</w:t>
      </w:r>
    </w:p>
    <w:p>
      <w:pPr>
        <w:pStyle w:val="BodyText"/>
        <w:spacing w:before="1" w:line="212" w:lineRule="auto"/>
        <w:ind w:left="3"/>
      </w:pPr>
      <w:r>
        <w:rPr>
          <w:spacing w:val="-13"/>
        </w:rPr>
        <w:t>续泵注，肝肾功能不良的患者应慎用。</w:t>
      </w:r>
    </w:p>
    <w:tbl>
      <w:tblPr>
        <w:tblStyle w:val="TableNormal0"/>
        <w:tblW w:w="7410" w:type="dxa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844"/>
        <w:gridCol w:w="1378"/>
        <w:gridCol w:w="819"/>
        <w:gridCol w:w="1188"/>
        <w:gridCol w:w="1049"/>
        <w:gridCol w:w="1068"/>
        <w:gridCol w:w="1064"/>
      </w:tblGrid>
      <w:tr>
        <w:tblPrEx>
          <w:tblW w:w="7410" w:type="dxa"/>
          <w:tblInd w:w="4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503"/>
        </w:trPr>
        <w:tc>
          <w:tcPr>
            <w:tcW w:w="7410" w:type="dxa"/>
            <w:gridSpan w:val="7"/>
            <w:shd w:val="clear" w:color="auto" w:fill="013570"/>
            <w:vAlign w:val="top"/>
          </w:tcPr>
          <w:p>
            <w:pPr>
              <w:pStyle w:val="TableText"/>
              <w:spacing w:before="135" w:line="219" w:lineRule="auto"/>
              <w:ind w:left="1905"/>
              <w:rPr>
                <w:sz w:val="24"/>
                <w:szCs w:val="24"/>
              </w:rPr>
            </w:pPr>
            <w:r>
              <w:rPr>
                <w:color w:val="FFFFFF"/>
                <w:spacing w:val="1"/>
                <w:sz w:val="24"/>
                <w:szCs w:val="24"/>
              </w:rPr>
              <w:t>常用非去极化肌松药的药效学特点</w:t>
            </w:r>
          </w:p>
        </w:tc>
      </w:tr>
      <w:tr>
        <w:tblPrEx>
          <w:tblW w:w="7410" w:type="dxa"/>
          <w:tblInd w:w="43" w:type="dxa"/>
          <w:tblLayout w:type="fixed"/>
        </w:tblPrEx>
        <w:trPr>
          <w:trHeight w:val="508"/>
        </w:trPr>
        <w:tc>
          <w:tcPr>
            <w:tcW w:w="844" w:type="dxa"/>
            <w:shd w:val="clear" w:color="auto" w:fill="013673"/>
            <w:vAlign w:val="top"/>
          </w:tcPr>
          <w:p>
            <w:pPr>
              <w:pStyle w:val="TableText"/>
              <w:spacing w:before="178" w:line="219" w:lineRule="auto"/>
              <w:ind w:left="264"/>
            </w:pPr>
            <w:r>
              <w:rPr>
                <w:color w:val="FFFFFF"/>
                <w:spacing w:val="8"/>
              </w:rPr>
              <w:t>身质</w:t>
            </w:r>
          </w:p>
        </w:tc>
        <w:tc>
          <w:tcPr>
            <w:tcW w:w="1378" w:type="dxa"/>
            <w:shd w:val="clear" w:color="auto" w:fill="003672"/>
            <w:vAlign w:val="top"/>
          </w:tcPr>
          <w:p>
            <w:pPr>
              <w:pStyle w:val="TableText"/>
              <w:spacing w:before="178" w:line="221" w:lineRule="auto"/>
              <w:ind w:left="531"/>
            </w:pPr>
            <w:r>
              <w:rPr>
                <w:color w:val="FFFFFF"/>
                <w:spacing w:val="-2"/>
              </w:rPr>
              <w:t>用物</w:t>
            </w:r>
          </w:p>
        </w:tc>
        <w:tc>
          <w:tcPr>
            <w:tcW w:w="819" w:type="dxa"/>
            <w:shd w:val="clear" w:color="auto" w:fill="02346F"/>
            <w:vAlign w:val="top"/>
          </w:tcPr>
          <w:p>
            <w:pPr>
              <w:pStyle w:val="TableText"/>
              <w:spacing w:before="280" w:line="222" w:lineRule="auto"/>
              <w:ind w:left="283"/>
            </w:pPr>
            <w:r>
              <w:rPr>
                <w:color w:val="FFFFFF"/>
                <w:spacing w:val="-2"/>
              </w:rPr>
              <w:t>ks)</w:t>
            </w:r>
          </w:p>
        </w:tc>
        <w:tc>
          <w:tcPr>
            <w:tcW w:w="1188" w:type="dxa"/>
            <w:shd w:val="clear" w:color="auto" w:fill="00356F"/>
            <w:vAlign w:val="top"/>
          </w:tcPr>
          <w:p>
            <w:pPr>
              <w:pStyle w:val="TableText"/>
              <w:spacing w:before="98" w:line="219" w:lineRule="auto"/>
              <w:ind w:left="183"/>
            </w:pPr>
            <w:r>
              <w:rPr>
                <w:color w:val="FFFFFF"/>
                <w:spacing w:val="-6"/>
              </w:rPr>
              <w:t>气</w:t>
            </w:r>
            <w:r>
              <w:rPr>
                <w:color w:val="FFFFFF"/>
                <w:spacing w:val="21"/>
              </w:rPr>
              <w:t xml:space="preserve">  </w:t>
            </w:r>
            <w:r>
              <w:rPr>
                <w:color w:val="FFFFFF"/>
                <w:spacing w:val="-6"/>
              </w:rPr>
              <w:t>管</w:t>
            </w:r>
            <w:r>
              <w:rPr>
                <w:color w:val="FFFFFF"/>
                <w:spacing w:val="21"/>
              </w:rPr>
              <w:t xml:space="preserve">  </w:t>
            </w:r>
            <w:r>
              <w:rPr>
                <w:color w:val="FFFFFF"/>
                <w:spacing w:val="-6"/>
              </w:rPr>
              <w:t>管</w:t>
            </w:r>
          </w:p>
          <w:p>
            <w:pPr>
              <w:pStyle w:val="TableText"/>
              <w:spacing w:before="14" w:line="222" w:lineRule="auto"/>
              <w:ind w:left="433"/>
            </w:pPr>
            <w:r>
              <w:rPr>
                <w:color w:val="FFFFFF"/>
                <w:spacing w:val="-7"/>
              </w:rPr>
              <w:t>(ea)</w:t>
            </w:r>
          </w:p>
        </w:tc>
        <w:tc>
          <w:tcPr>
            <w:tcW w:w="1049" w:type="dxa"/>
            <w:shd w:val="clear" w:color="auto" w:fill="003570"/>
            <w:vAlign w:val="top"/>
          </w:tcPr>
          <w:p>
            <w:pPr>
              <w:pStyle w:val="TableText"/>
              <w:spacing w:before="88" w:line="220" w:lineRule="auto"/>
              <w:ind w:left="216"/>
            </w:pPr>
            <w:r>
              <w:rPr>
                <w:color w:val="FFFFFF"/>
                <w:spacing w:val="3"/>
              </w:rPr>
              <w:t>国效时间</w:t>
            </w:r>
          </w:p>
          <w:p>
            <w:pPr>
              <w:pStyle w:val="TableText"/>
              <w:spacing w:before="13" w:line="222" w:lineRule="auto"/>
              <w:ind w:left="406"/>
            </w:pPr>
            <w:r>
              <w:rPr>
                <w:color w:val="FFFFFF"/>
                <w:spacing w:val="-8"/>
              </w:rPr>
              <w:t>(e)</w:t>
            </w:r>
          </w:p>
        </w:tc>
        <w:tc>
          <w:tcPr>
            <w:tcW w:w="1068" w:type="dxa"/>
            <w:shd w:val="clear" w:color="auto" w:fill="003570"/>
            <w:vAlign w:val="top"/>
          </w:tcPr>
          <w:p>
            <w:pPr>
              <w:pStyle w:val="TableText"/>
              <w:spacing w:before="88" w:line="220" w:lineRule="auto"/>
              <w:ind w:left="227"/>
            </w:pPr>
            <w:r>
              <w:rPr>
                <w:color w:val="FFFFFF"/>
                <w:spacing w:val="3"/>
              </w:rPr>
              <w:t>作属射间</w:t>
            </w:r>
          </w:p>
          <w:p>
            <w:pPr>
              <w:pStyle w:val="TableText"/>
              <w:spacing w:before="13" w:line="222" w:lineRule="auto"/>
              <w:ind w:left="417"/>
            </w:pPr>
            <w:r>
              <w:rPr>
                <w:color w:val="FFFFFF"/>
                <w:spacing w:val="-8"/>
              </w:rPr>
              <w:t>(i)</w:t>
            </w:r>
          </w:p>
        </w:tc>
        <w:tc>
          <w:tcPr>
            <w:tcW w:w="1064" w:type="dxa"/>
            <w:shd w:val="clear" w:color="auto" w:fill="01346F"/>
            <w:vAlign w:val="top"/>
          </w:tcPr>
          <w:p>
            <w:pPr>
              <w:pStyle w:val="TableText"/>
              <w:spacing w:before="177" w:line="182" w:lineRule="auto"/>
              <w:ind w:left="279"/>
            </w:pPr>
            <w:r>
              <w:rPr>
                <w:color w:val="FFFFFF"/>
              </w:rPr>
              <w:t>T</w:t>
            </w:r>
          </w:p>
        </w:tc>
      </w:tr>
      <w:tr>
        <w:tblPrEx>
          <w:tblW w:w="7410" w:type="dxa"/>
          <w:tblInd w:w="43" w:type="dxa"/>
          <w:tblLayout w:type="fixed"/>
        </w:tblPrEx>
        <w:trPr>
          <w:trHeight w:val="359"/>
        </w:trPr>
        <w:tc>
          <w:tcPr>
            <w:tcW w:w="2222" w:type="dxa"/>
            <w:gridSpan w:val="2"/>
            <w:shd w:val="clear" w:color="auto" w:fill="EAECED"/>
            <w:vAlign w:val="top"/>
          </w:tcPr>
          <w:p>
            <w:pPr>
              <w:pStyle w:val="TableText"/>
              <w:spacing w:before="89" w:line="219" w:lineRule="auto"/>
              <w:ind w:left="125"/>
            </w:pPr>
            <w:r>
              <w:rPr>
                <w:spacing w:val="-2"/>
              </w:rPr>
              <w:t>短时数药</w:t>
            </w:r>
            <w:r>
              <w:rPr>
                <w:spacing w:val="11"/>
              </w:rPr>
              <w:t xml:space="preserve">      </w:t>
            </w:r>
            <w:r>
              <w:rPr>
                <w:spacing w:val="-2"/>
              </w:rPr>
              <w:t>米库氧理</w:t>
            </w:r>
          </w:p>
        </w:tc>
        <w:tc>
          <w:tcPr>
            <w:tcW w:w="819" w:type="dxa"/>
            <w:shd w:val="clear" w:color="auto" w:fill="EAECED"/>
            <w:vAlign w:val="top"/>
          </w:tcPr>
          <w:p>
            <w:pPr>
              <w:pStyle w:val="TableText"/>
              <w:spacing w:before="148" w:line="183" w:lineRule="auto"/>
              <w:ind w:left="363"/>
            </w:pPr>
            <w:r>
              <w:t>0</w:t>
            </w:r>
          </w:p>
        </w:tc>
        <w:tc>
          <w:tcPr>
            <w:tcW w:w="1188" w:type="dxa"/>
            <w:shd w:val="clear" w:color="auto" w:fill="EAECED"/>
            <w:vAlign w:val="top"/>
          </w:tcPr>
          <w:p>
            <w:pPr>
              <w:pStyle w:val="TableText"/>
              <w:spacing w:before="148" w:line="183" w:lineRule="auto"/>
              <w:ind w:left="514"/>
            </w:pPr>
            <w:r>
              <w:rPr>
                <w:spacing w:val="-2"/>
              </w:rPr>
              <w:t>02</w:t>
            </w:r>
          </w:p>
        </w:tc>
        <w:tc>
          <w:tcPr>
            <w:tcW w:w="1049" w:type="dxa"/>
            <w:shd w:val="clear" w:color="auto" w:fill="EAECED"/>
            <w:vAlign w:val="top"/>
          </w:tcPr>
          <w:p>
            <w:pPr>
              <w:pStyle w:val="TableText"/>
              <w:spacing w:before="148" w:line="183" w:lineRule="auto"/>
              <w:ind w:left="406"/>
            </w:pPr>
            <w:r>
              <w:rPr>
                <w:spacing w:val="-3"/>
              </w:rPr>
              <w:t>3-4</w:t>
            </w:r>
          </w:p>
        </w:tc>
        <w:tc>
          <w:tcPr>
            <w:tcW w:w="1068" w:type="dxa"/>
            <w:shd w:val="clear" w:color="auto" w:fill="EAECED"/>
            <w:vAlign w:val="top"/>
          </w:tcPr>
          <w:p>
            <w:pPr>
              <w:pStyle w:val="TableText"/>
              <w:spacing w:before="110" w:line="219" w:lineRule="auto"/>
              <w:ind w:left="336"/>
            </w:pPr>
            <w:r>
              <w:rPr>
                <w:spacing w:val="3"/>
              </w:rPr>
              <w:t>第-25</w:t>
            </w:r>
          </w:p>
        </w:tc>
        <w:tc>
          <w:tcPr>
            <w:tcW w:w="1064" w:type="dxa"/>
            <w:shd w:val="clear" w:color="auto" w:fill="EAECED"/>
            <w:vAlign w:val="top"/>
          </w:tcPr>
          <w:p>
            <w:pPr>
              <w:pStyle w:val="TableText"/>
              <w:spacing w:before="148" w:line="183" w:lineRule="auto"/>
              <w:ind w:left="408"/>
            </w:pPr>
            <w:r>
              <w:rPr>
                <w:spacing w:val="-2"/>
              </w:rPr>
              <w:t>4-8</w:t>
            </w:r>
          </w:p>
        </w:tc>
      </w:tr>
      <w:tr>
        <w:tblPrEx>
          <w:tblW w:w="7410" w:type="dxa"/>
          <w:tblInd w:w="43" w:type="dxa"/>
          <w:tblLayout w:type="fixed"/>
        </w:tblPrEx>
        <w:trPr>
          <w:trHeight w:val="349"/>
        </w:trPr>
        <w:tc>
          <w:tcPr>
            <w:tcW w:w="844" w:type="dxa"/>
            <w:tcBorders>
              <w:bottom w:val="nil"/>
            </w:tcBorders>
            <w:shd w:val="clear" w:color="auto" w:fill="FAD797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</w:tc>
        <w:tc>
          <w:tcPr>
            <w:tcW w:w="1378" w:type="dxa"/>
            <w:shd w:val="clear" w:color="auto" w:fill="FAD697"/>
            <w:vAlign w:val="top"/>
          </w:tcPr>
          <w:p>
            <w:pPr>
              <w:pStyle w:val="TableText"/>
              <w:spacing w:before="101" w:line="219" w:lineRule="auto"/>
              <w:ind w:left="381"/>
            </w:pPr>
            <w:r>
              <w:rPr>
                <w:spacing w:val="1"/>
              </w:rPr>
              <w:t>同鱼库性</w:t>
            </w:r>
          </w:p>
        </w:tc>
        <w:tc>
          <w:tcPr>
            <w:tcW w:w="819" w:type="dxa"/>
            <w:shd w:val="clear" w:color="auto" w:fill="F9D697"/>
            <w:vAlign w:val="top"/>
          </w:tcPr>
          <w:p>
            <w:pPr>
              <w:pStyle w:val="TableText"/>
              <w:spacing w:before="139" w:line="183" w:lineRule="auto"/>
              <w:ind w:left="283"/>
            </w:pPr>
            <w:r>
              <w:rPr>
                <w:spacing w:val="-2"/>
              </w:rPr>
              <w:t>025</w:t>
            </w:r>
          </w:p>
        </w:tc>
        <w:tc>
          <w:tcPr>
            <w:tcW w:w="1188" w:type="dxa"/>
            <w:shd w:val="clear" w:color="auto" w:fill="FAD697"/>
            <w:vAlign w:val="top"/>
          </w:tcPr>
          <w:p>
            <w:pPr>
              <w:pStyle w:val="TableText"/>
              <w:spacing w:before="139" w:line="183" w:lineRule="auto"/>
              <w:ind w:left="514"/>
            </w:pPr>
            <w:r>
              <w:rPr>
                <w:spacing w:val="-2"/>
              </w:rPr>
              <w:t>05</w:t>
            </w:r>
          </w:p>
        </w:tc>
        <w:tc>
          <w:tcPr>
            <w:tcW w:w="1049" w:type="dxa"/>
            <w:shd w:val="clear" w:color="auto" w:fill="FAD697"/>
            <w:vAlign w:val="top"/>
          </w:tcPr>
          <w:p>
            <w:pPr>
              <w:pStyle w:val="TableText"/>
              <w:spacing w:before="139" w:line="183" w:lineRule="auto"/>
              <w:ind w:left="406"/>
            </w:pPr>
            <w:r>
              <w:rPr>
                <w:spacing w:val="-3"/>
              </w:rPr>
              <w:t>3-4</w:t>
            </w:r>
          </w:p>
        </w:tc>
        <w:tc>
          <w:tcPr>
            <w:tcW w:w="1068" w:type="dxa"/>
            <w:shd w:val="clear" w:color="auto" w:fill="F9D696"/>
            <w:vAlign w:val="top"/>
          </w:tcPr>
          <w:p>
            <w:pPr>
              <w:pStyle w:val="TableText"/>
              <w:spacing w:before="139" w:line="183" w:lineRule="auto"/>
              <w:ind w:left="336"/>
            </w:pPr>
            <w:r>
              <w:rPr>
                <w:spacing w:val="-2"/>
              </w:rPr>
              <w:t>35-45</w:t>
            </w:r>
          </w:p>
        </w:tc>
        <w:tc>
          <w:tcPr>
            <w:tcW w:w="1064" w:type="dxa"/>
            <w:shd w:val="clear" w:color="auto" w:fill="FAD696"/>
            <w:vAlign w:val="top"/>
          </w:tcPr>
          <w:p>
            <w:pPr>
              <w:pStyle w:val="TableText"/>
              <w:spacing w:before="139" w:line="184" w:lineRule="auto"/>
              <w:ind w:left="378"/>
            </w:pPr>
            <w:r>
              <w:rPr>
                <w:spacing w:val="-5"/>
              </w:rPr>
              <w:t>10-5</w:t>
            </w:r>
          </w:p>
        </w:tc>
      </w:tr>
    </w:tbl>
    <w:p>
      <w:pPr>
        <w:sectPr>
          <w:pgSz w:w="11910" w:h="16840"/>
          <w:pgMar w:top="1431" w:right="1786" w:bottom="0" w:left="1786" w:header="0" w:footer="0" w:gutter="0"/>
          <w:pgNumType w:start="5"/>
          <w:cols w:space="708"/>
        </w:sectPr>
      </w:pPr>
    </w:p>
    <w:tbl>
      <w:tblPr>
        <w:tblStyle w:val="TableNormal1"/>
        <w:tblW w:w="7410" w:type="dxa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844"/>
        <w:gridCol w:w="1378"/>
        <w:gridCol w:w="819"/>
        <w:gridCol w:w="1188"/>
        <w:gridCol w:w="1049"/>
        <w:gridCol w:w="1068"/>
        <w:gridCol w:w="1064"/>
      </w:tblGrid>
      <w:tr>
        <w:tblPrEx>
          <w:tblW w:w="7410" w:type="dxa"/>
          <w:tblInd w:w="4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349"/>
        </w:trPr>
        <w:tc>
          <w:tcPr>
            <w:tcW w:w="844" w:type="dxa"/>
            <w:vMerge w:val="restart"/>
            <w:tcBorders>
              <w:bottom w:val="nil"/>
            </w:tcBorders>
            <w:shd w:val="clear" w:color="auto" w:fill="FAD797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49" w:line="219" w:lineRule="auto"/>
              <w:ind w:left="115"/>
            </w:pPr>
            <w:r>
              <w:rPr>
                <w:spacing w:val="2"/>
              </w:rPr>
              <w:t>中时数热</w:t>
            </w:r>
          </w:p>
        </w:tc>
        <w:tc>
          <w:tcPr>
            <w:tcW w:w="1378" w:type="dxa"/>
            <w:shd w:val="clear" w:color="auto" w:fill="FAD697"/>
            <w:vAlign w:val="top"/>
          </w:tcPr>
          <w:p/>
        </w:tc>
        <w:tc>
          <w:tcPr>
            <w:tcW w:w="819" w:type="dxa"/>
            <w:shd w:val="clear" w:color="auto" w:fill="F9D697"/>
            <w:vAlign w:val="top"/>
          </w:tcPr>
          <w:p/>
        </w:tc>
        <w:tc>
          <w:tcPr>
            <w:tcW w:w="1188" w:type="dxa"/>
            <w:shd w:val="clear" w:color="auto" w:fill="FAD697"/>
            <w:vAlign w:val="top"/>
          </w:tcPr>
          <w:p/>
        </w:tc>
        <w:tc>
          <w:tcPr>
            <w:tcW w:w="1049" w:type="dxa"/>
            <w:shd w:val="clear" w:color="auto" w:fill="FAD697"/>
            <w:vAlign w:val="top"/>
          </w:tcPr>
          <w:p/>
        </w:tc>
        <w:tc>
          <w:tcPr>
            <w:tcW w:w="1068" w:type="dxa"/>
            <w:shd w:val="clear" w:color="auto" w:fill="F9D696"/>
            <w:vAlign w:val="top"/>
          </w:tcPr>
          <w:p/>
        </w:tc>
        <w:tc>
          <w:tcPr>
            <w:tcW w:w="1064" w:type="dxa"/>
            <w:shd w:val="clear" w:color="auto" w:fill="FAD696"/>
            <w:vAlign w:val="top"/>
          </w:tcPr>
          <w:p/>
        </w:tc>
      </w:tr>
      <w:tr>
        <w:tblPrEx>
          <w:tblW w:w="7410" w:type="dxa"/>
          <w:tblInd w:w="43" w:type="dxa"/>
          <w:tblLayout w:type="fixed"/>
        </w:tblPrEx>
        <w:trPr>
          <w:trHeight w:val="369"/>
        </w:trPr>
        <w:tc>
          <w:tcPr>
            <w:tcW w:w="84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shd w:val="clear" w:color="auto" w:fill="FAD696"/>
            <w:vAlign w:val="top"/>
          </w:tcPr>
          <w:p>
            <w:pPr>
              <w:pStyle w:val="TableText"/>
              <w:spacing w:before="111" w:line="219" w:lineRule="auto"/>
              <w:ind w:left="230"/>
            </w:pPr>
            <w:r>
              <w:rPr>
                <w:spacing w:val="-1"/>
              </w:rPr>
              <w:t>顺式同曲库镀</w:t>
            </w:r>
          </w:p>
        </w:tc>
        <w:tc>
          <w:tcPr>
            <w:tcW w:w="819" w:type="dxa"/>
            <w:shd w:val="clear" w:color="auto" w:fill="FAD696"/>
            <w:vAlign w:val="top"/>
          </w:tcPr>
          <w:p>
            <w:pPr>
              <w:pStyle w:val="TableText"/>
              <w:spacing w:before="150" w:line="183" w:lineRule="auto"/>
              <w:ind w:left="283"/>
            </w:pPr>
            <w:r>
              <w:rPr>
                <w:spacing w:val="-2"/>
              </w:rPr>
              <w:t>0.0</w:t>
            </w:r>
          </w:p>
        </w:tc>
        <w:tc>
          <w:tcPr>
            <w:tcW w:w="1188" w:type="dxa"/>
            <w:shd w:val="clear" w:color="auto" w:fill="FAD797"/>
            <w:vAlign w:val="top"/>
          </w:tcPr>
          <w:p>
            <w:pPr>
              <w:pStyle w:val="TableText"/>
              <w:spacing w:before="150" w:line="184" w:lineRule="auto"/>
              <w:ind w:left="514"/>
            </w:pPr>
            <w:r>
              <w:rPr>
                <w:spacing w:val="-2"/>
              </w:rPr>
              <w:t>01</w:t>
            </w:r>
          </w:p>
        </w:tc>
        <w:tc>
          <w:tcPr>
            <w:tcW w:w="1049" w:type="dxa"/>
            <w:shd w:val="clear" w:color="auto" w:fill="FAD796"/>
            <w:vAlign w:val="top"/>
          </w:tcPr>
          <w:p>
            <w:pPr>
              <w:pStyle w:val="TableText"/>
              <w:spacing w:before="150" w:line="183" w:lineRule="auto"/>
              <w:ind w:left="406"/>
            </w:pPr>
            <w:r>
              <w:rPr>
                <w:spacing w:val="-2"/>
              </w:rPr>
              <w:t>4-4</w:t>
            </w:r>
          </w:p>
        </w:tc>
        <w:tc>
          <w:tcPr>
            <w:tcW w:w="1068" w:type="dxa"/>
            <w:shd w:val="clear" w:color="auto" w:fill="F9D796"/>
            <w:vAlign w:val="top"/>
          </w:tcPr>
          <w:p>
            <w:pPr>
              <w:pStyle w:val="TableText"/>
              <w:spacing w:before="150" w:line="183" w:lineRule="auto"/>
              <w:ind w:left="336"/>
            </w:pPr>
            <w:r>
              <w:rPr>
                <w:spacing w:val="-2"/>
              </w:rPr>
              <w:t>40-50</w:t>
            </w:r>
          </w:p>
        </w:tc>
        <w:tc>
          <w:tcPr>
            <w:tcW w:w="1064" w:type="dxa"/>
            <w:shd w:val="clear" w:color="auto" w:fill="FAD697"/>
            <w:vAlign w:val="top"/>
          </w:tcPr>
          <w:p>
            <w:pPr>
              <w:pStyle w:val="TableText"/>
              <w:spacing w:before="150" w:line="184" w:lineRule="auto"/>
              <w:ind w:left="378"/>
            </w:pPr>
            <w:r>
              <w:rPr>
                <w:spacing w:val="-5"/>
              </w:rPr>
              <w:t>10-5</w:t>
            </w:r>
          </w:p>
        </w:tc>
      </w:tr>
      <w:tr>
        <w:tblPrEx>
          <w:tblW w:w="7410" w:type="dxa"/>
          <w:tblInd w:w="43" w:type="dxa"/>
          <w:tblLayout w:type="fixed"/>
        </w:tblPrEx>
        <w:trPr>
          <w:trHeight w:val="349"/>
        </w:trPr>
        <w:tc>
          <w:tcPr>
            <w:tcW w:w="84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shd w:val="clear" w:color="auto" w:fill="F9D796"/>
            <w:vAlign w:val="top"/>
          </w:tcPr>
          <w:p>
            <w:pPr>
              <w:pStyle w:val="TableText"/>
              <w:spacing w:before="122" w:line="219" w:lineRule="auto"/>
              <w:ind w:left="381"/>
              <w:rPr>
                <w:sz w:val="12"/>
                <w:szCs w:val="12"/>
              </w:rPr>
            </w:pPr>
            <w:r>
              <w:rPr>
                <w:spacing w:val="-4"/>
                <w:sz w:val="12"/>
                <w:szCs w:val="12"/>
              </w:rPr>
              <w:t>罗</w:t>
            </w:r>
            <w:r>
              <w:rPr>
                <w:spacing w:val="5"/>
                <w:sz w:val="12"/>
                <w:szCs w:val="12"/>
              </w:rPr>
              <w:t xml:space="preserve">  </w:t>
            </w:r>
            <w:r>
              <w:rPr>
                <w:spacing w:val="-4"/>
                <w:sz w:val="12"/>
                <w:szCs w:val="12"/>
              </w:rPr>
              <w:t>库</w:t>
            </w:r>
            <w:r>
              <w:rPr>
                <w:spacing w:val="5"/>
                <w:sz w:val="12"/>
                <w:szCs w:val="12"/>
              </w:rPr>
              <w:t xml:space="preserve">  </w:t>
            </w:r>
            <w:r>
              <w:rPr>
                <w:spacing w:val="-4"/>
                <w:sz w:val="12"/>
                <w:szCs w:val="12"/>
              </w:rPr>
              <w:t>镇</w:t>
            </w:r>
          </w:p>
        </w:tc>
        <w:tc>
          <w:tcPr>
            <w:tcW w:w="819" w:type="dxa"/>
            <w:shd w:val="clear" w:color="auto" w:fill="F9D697"/>
            <w:vAlign w:val="top"/>
          </w:tcPr>
          <w:p>
            <w:pPr>
              <w:pStyle w:val="TableText"/>
              <w:spacing w:before="105" w:line="222" w:lineRule="auto"/>
              <w:ind w:left="323"/>
            </w:pPr>
            <w:r>
              <w:rPr>
                <w:spacing w:val="-2"/>
              </w:rPr>
              <w:t>0)</w:t>
            </w:r>
          </w:p>
        </w:tc>
        <w:tc>
          <w:tcPr>
            <w:tcW w:w="1188" w:type="dxa"/>
            <w:shd w:val="clear" w:color="auto" w:fill="F9D796"/>
            <w:vAlign w:val="top"/>
          </w:tcPr>
          <w:p>
            <w:pPr>
              <w:pStyle w:val="TableText"/>
              <w:spacing w:before="141" w:line="183" w:lineRule="auto"/>
              <w:ind w:left="544"/>
            </w:pPr>
            <w:r>
              <w:t>6</w:t>
            </w:r>
          </w:p>
        </w:tc>
        <w:tc>
          <w:tcPr>
            <w:tcW w:w="1049" w:type="dxa"/>
            <w:shd w:val="clear" w:color="auto" w:fill="FAD696"/>
            <w:vAlign w:val="top"/>
          </w:tcPr>
          <w:p>
            <w:pPr>
              <w:pStyle w:val="TableText"/>
              <w:spacing w:before="140" w:line="184" w:lineRule="auto"/>
              <w:ind w:left="365"/>
            </w:pPr>
            <w:r>
              <w:rPr>
                <w:spacing w:val="-5"/>
              </w:rPr>
              <w:t>15-3</w:t>
            </w:r>
          </w:p>
        </w:tc>
        <w:tc>
          <w:tcPr>
            <w:tcW w:w="1068" w:type="dxa"/>
            <w:shd w:val="clear" w:color="auto" w:fill="F9D696"/>
            <w:vAlign w:val="top"/>
          </w:tcPr>
          <w:p>
            <w:pPr>
              <w:pStyle w:val="TableText"/>
              <w:spacing w:before="141" w:line="183" w:lineRule="auto"/>
              <w:ind w:left="336"/>
            </w:pPr>
            <w:r>
              <w:rPr>
                <w:spacing w:val="-2"/>
              </w:rPr>
              <w:t>30-40</w:t>
            </w:r>
          </w:p>
        </w:tc>
        <w:tc>
          <w:tcPr>
            <w:tcW w:w="1064" w:type="dxa"/>
            <w:shd w:val="clear" w:color="auto" w:fill="F9D696"/>
            <w:vAlign w:val="top"/>
          </w:tcPr>
          <w:p>
            <w:pPr>
              <w:pStyle w:val="TableText"/>
              <w:spacing w:before="140" w:line="184" w:lineRule="auto"/>
              <w:ind w:left="378"/>
            </w:pPr>
            <w:r>
              <w:rPr>
                <w:spacing w:val="-5"/>
              </w:rPr>
              <w:t>10-5</w:t>
            </w:r>
          </w:p>
        </w:tc>
      </w:tr>
      <w:tr>
        <w:tblPrEx>
          <w:tblW w:w="7410" w:type="dxa"/>
          <w:tblInd w:w="43" w:type="dxa"/>
          <w:tblLayout w:type="fixed"/>
        </w:tblPrEx>
        <w:trPr>
          <w:trHeight w:val="329"/>
        </w:trPr>
        <w:tc>
          <w:tcPr>
            <w:tcW w:w="84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shd w:val="clear" w:color="auto" w:fill="F9D797"/>
            <w:vAlign w:val="top"/>
          </w:tcPr>
          <w:p>
            <w:pPr>
              <w:pStyle w:val="TableText"/>
              <w:spacing w:before="94" w:line="219" w:lineRule="auto"/>
              <w:ind w:left="381"/>
            </w:pPr>
            <w:r>
              <w:rPr>
                <w:spacing w:val="-2"/>
              </w:rPr>
              <w:t>维库演维</w:t>
            </w:r>
          </w:p>
        </w:tc>
        <w:tc>
          <w:tcPr>
            <w:tcW w:w="819" w:type="dxa"/>
            <w:shd w:val="clear" w:color="auto" w:fill="F9D696"/>
            <w:vAlign w:val="top"/>
          </w:tcPr>
          <w:p>
            <w:pPr>
              <w:pStyle w:val="TableText"/>
              <w:spacing w:before="132" w:line="183" w:lineRule="auto"/>
              <w:ind w:left="253"/>
            </w:pPr>
            <w:r>
              <w:rPr>
                <w:spacing w:val="-2"/>
              </w:rPr>
              <w:t>0.08</w:t>
            </w:r>
          </w:p>
        </w:tc>
        <w:tc>
          <w:tcPr>
            <w:tcW w:w="1188" w:type="dxa"/>
            <w:shd w:val="clear" w:color="auto" w:fill="F9D797"/>
            <w:vAlign w:val="top"/>
          </w:tcPr>
          <w:p>
            <w:pPr>
              <w:pStyle w:val="TableText"/>
              <w:spacing w:before="131" w:line="184" w:lineRule="auto"/>
              <w:ind w:left="514"/>
            </w:pPr>
            <w:r>
              <w:rPr>
                <w:spacing w:val="-2"/>
              </w:rPr>
              <w:t>01</w:t>
            </w:r>
          </w:p>
        </w:tc>
        <w:tc>
          <w:tcPr>
            <w:tcW w:w="1049" w:type="dxa"/>
            <w:shd w:val="clear" w:color="auto" w:fill="F9D796"/>
            <w:vAlign w:val="top"/>
          </w:tcPr>
          <w:p>
            <w:pPr>
              <w:pStyle w:val="TableText"/>
              <w:spacing w:before="132" w:line="183" w:lineRule="auto"/>
              <w:ind w:left="406"/>
            </w:pPr>
            <w:r>
              <w:rPr>
                <w:spacing w:val="-3"/>
              </w:rPr>
              <w:t>3-4</w:t>
            </w:r>
          </w:p>
        </w:tc>
        <w:tc>
          <w:tcPr>
            <w:tcW w:w="1068" w:type="dxa"/>
            <w:shd w:val="clear" w:color="auto" w:fill="F9D696"/>
            <w:vAlign w:val="top"/>
          </w:tcPr>
          <w:p>
            <w:pPr>
              <w:pStyle w:val="TableText"/>
              <w:spacing w:before="132" w:line="183" w:lineRule="auto"/>
              <w:ind w:left="336"/>
            </w:pPr>
            <w:r>
              <w:rPr>
                <w:spacing w:val="-2"/>
              </w:rPr>
              <w:t>35-45</w:t>
            </w:r>
          </w:p>
        </w:tc>
        <w:tc>
          <w:tcPr>
            <w:tcW w:w="1064" w:type="dxa"/>
            <w:shd w:val="clear" w:color="auto" w:fill="F9D797"/>
            <w:vAlign w:val="top"/>
          </w:tcPr>
          <w:p>
            <w:pPr>
              <w:pStyle w:val="TableText"/>
              <w:spacing w:before="131" w:line="184" w:lineRule="auto"/>
              <w:ind w:left="378"/>
            </w:pPr>
            <w:r>
              <w:rPr>
                <w:spacing w:val="-5"/>
              </w:rPr>
              <w:t>10-8</w:t>
            </w:r>
          </w:p>
        </w:tc>
      </w:tr>
      <w:tr>
        <w:tblPrEx>
          <w:tblW w:w="7410" w:type="dxa"/>
          <w:tblInd w:w="43" w:type="dxa"/>
          <w:tblLayout w:type="fixed"/>
        </w:tblPrEx>
        <w:trPr>
          <w:trHeight w:val="339"/>
        </w:trPr>
        <w:tc>
          <w:tcPr>
            <w:tcW w:w="844" w:type="dxa"/>
            <w:vMerge w:val="restart"/>
            <w:tcBorders>
              <w:bottom w:val="nil"/>
            </w:tcBorders>
            <w:shd w:val="clear" w:color="auto" w:fill="71B1F6"/>
            <w:vAlign w:val="top"/>
          </w:tcPr>
          <w:p>
            <w:pPr>
              <w:pStyle w:val="TableText"/>
              <w:spacing w:before="285" w:line="219" w:lineRule="auto"/>
              <w:ind w:left="115"/>
            </w:pPr>
            <w:r>
              <w:rPr>
                <w:spacing w:val="-2"/>
              </w:rPr>
              <w:t>长时效育</w:t>
            </w:r>
          </w:p>
        </w:tc>
        <w:tc>
          <w:tcPr>
            <w:tcW w:w="1378" w:type="dxa"/>
            <w:shd w:val="clear" w:color="auto" w:fill="72B1F7"/>
            <w:vAlign w:val="top"/>
          </w:tcPr>
          <w:p>
            <w:pPr>
              <w:pStyle w:val="TableText"/>
              <w:spacing w:before="105" w:line="219" w:lineRule="auto"/>
              <w:ind w:left="381"/>
            </w:pPr>
            <w:r>
              <w:rPr>
                <w:spacing w:val="-1"/>
              </w:rPr>
              <w:t>源库漠程</w:t>
            </w:r>
          </w:p>
        </w:tc>
        <w:tc>
          <w:tcPr>
            <w:tcW w:w="819" w:type="dxa"/>
            <w:shd w:val="clear" w:color="auto" w:fill="71B2F6"/>
            <w:vAlign w:val="top"/>
          </w:tcPr>
          <w:p>
            <w:pPr>
              <w:pStyle w:val="TableText"/>
              <w:spacing w:before="143" w:line="183" w:lineRule="auto"/>
              <w:ind w:left="323"/>
            </w:pPr>
            <w:r>
              <w:rPr>
                <w:spacing w:val="-2"/>
              </w:rPr>
              <w:t>05</w:t>
            </w:r>
          </w:p>
        </w:tc>
        <w:tc>
          <w:tcPr>
            <w:tcW w:w="1188" w:type="dxa"/>
            <w:shd w:val="clear" w:color="auto" w:fill="71B1F7"/>
            <w:vAlign w:val="top"/>
          </w:tcPr>
          <w:p>
            <w:pPr>
              <w:pStyle w:val="TableText"/>
              <w:spacing w:before="143" w:line="184" w:lineRule="auto"/>
              <w:ind w:left="433"/>
            </w:pPr>
            <w:r>
              <w:rPr>
                <w:spacing w:val="-2"/>
              </w:rPr>
              <w:t>0.15</w:t>
            </w:r>
          </w:p>
        </w:tc>
        <w:tc>
          <w:tcPr>
            <w:tcW w:w="1049" w:type="dxa"/>
            <w:shd w:val="clear" w:color="auto" w:fill="71B2F7"/>
            <w:vAlign w:val="top"/>
          </w:tcPr>
          <w:p>
            <w:pPr>
              <w:pStyle w:val="TableText"/>
              <w:spacing w:before="143" w:line="183" w:lineRule="auto"/>
              <w:ind w:left="406"/>
            </w:pPr>
            <w:r>
              <w:rPr>
                <w:spacing w:val="-3"/>
              </w:rPr>
              <w:t>3-5</w:t>
            </w:r>
          </w:p>
        </w:tc>
        <w:tc>
          <w:tcPr>
            <w:tcW w:w="1068" w:type="dxa"/>
            <w:shd w:val="clear" w:color="auto" w:fill="71B2F7"/>
            <w:vAlign w:val="top"/>
          </w:tcPr>
          <w:p>
            <w:pPr>
              <w:pStyle w:val="TableText"/>
              <w:spacing w:before="143" w:line="183" w:lineRule="auto"/>
              <w:ind w:left="336"/>
            </w:pPr>
            <w:r>
              <w:rPr>
                <w:spacing w:val="-2"/>
              </w:rPr>
              <w:t>90-20</w:t>
            </w:r>
          </w:p>
        </w:tc>
        <w:tc>
          <w:tcPr>
            <w:tcW w:w="1064" w:type="dxa"/>
            <w:shd w:val="clear" w:color="auto" w:fill="71B1F7"/>
            <w:vAlign w:val="top"/>
          </w:tcPr>
          <w:p>
            <w:pPr>
              <w:pStyle w:val="TableText"/>
              <w:spacing w:before="143" w:line="183" w:lineRule="auto"/>
              <w:ind w:left="339"/>
            </w:pPr>
            <w:r>
              <w:rPr>
                <w:spacing w:val="-2"/>
              </w:rPr>
              <w:t>30-45</w:t>
            </w:r>
          </w:p>
        </w:tc>
      </w:tr>
      <w:tr>
        <w:tblPrEx>
          <w:tblW w:w="7410" w:type="dxa"/>
          <w:tblInd w:w="43" w:type="dxa"/>
          <w:tblLayout w:type="fixed"/>
        </w:tblPrEx>
        <w:trPr>
          <w:trHeight w:val="354"/>
        </w:trPr>
        <w:tc>
          <w:tcPr>
            <w:tcW w:w="84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shd w:val="clear" w:color="auto" w:fill="72B2F8"/>
            <w:vAlign w:val="top"/>
          </w:tcPr>
          <w:p>
            <w:pPr>
              <w:pStyle w:val="TableText"/>
              <w:spacing w:before="106" w:line="219" w:lineRule="auto"/>
              <w:ind w:left="450"/>
            </w:pPr>
            <w:r>
              <w:rPr>
                <w:spacing w:val="-2"/>
              </w:rPr>
              <w:t>库漠银</w:t>
            </w:r>
          </w:p>
        </w:tc>
        <w:tc>
          <w:tcPr>
            <w:tcW w:w="819" w:type="dxa"/>
            <w:shd w:val="clear" w:color="auto" w:fill="71B1F8"/>
            <w:vAlign w:val="top"/>
          </w:tcPr>
          <w:p>
            <w:pPr>
              <w:pStyle w:val="TableText"/>
              <w:spacing w:before="144" w:line="183" w:lineRule="auto"/>
              <w:ind w:left="363"/>
            </w:pPr>
            <w:r>
              <w:t>0</w:t>
            </w:r>
          </w:p>
        </w:tc>
        <w:tc>
          <w:tcPr>
            <w:tcW w:w="1188" w:type="dxa"/>
            <w:shd w:val="clear" w:color="auto" w:fill="71B1F7"/>
            <w:vAlign w:val="top"/>
          </w:tcPr>
          <w:p>
            <w:pPr>
              <w:pStyle w:val="TableText"/>
              <w:spacing w:before="143" w:line="184" w:lineRule="auto"/>
              <w:ind w:left="514"/>
            </w:pPr>
            <w:r>
              <w:rPr>
                <w:spacing w:val="-2"/>
              </w:rPr>
              <w:t>01</w:t>
            </w:r>
          </w:p>
        </w:tc>
        <w:tc>
          <w:tcPr>
            <w:tcW w:w="1049" w:type="dxa"/>
            <w:shd w:val="clear" w:color="auto" w:fill="71B2F7"/>
            <w:vAlign w:val="top"/>
          </w:tcPr>
          <w:p>
            <w:pPr>
              <w:pStyle w:val="TableText"/>
              <w:spacing w:before="144" w:line="183" w:lineRule="auto"/>
              <w:ind w:left="406"/>
            </w:pPr>
            <w:r>
              <w:rPr>
                <w:spacing w:val="-3"/>
              </w:rPr>
              <w:t>3-4</w:t>
            </w:r>
          </w:p>
        </w:tc>
        <w:tc>
          <w:tcPr>
            <w:tcW w:w="1068" w:type="dxa"/>
            <w:shd w:val="clear" w:color="auto" w:fill="70B2F8"/>
            <w:vAlign w:val="top"/>
          </w:tcPr>
          <w:p>
            <w:pPr>
              <w:pStyle w:val="TableText"/>
              <w:spacing w:before="144" w:line="183" w:lineRule="auto"/>
              <w:ind w:left="336"/>
            </w:pPr>
            <w:r>
              <w:rPr>
                <w:spacing w:val="-2"/>
              </w:rPr>
              <w:t>90-20</w:t>
            </w:r>
          </w:p>
        </w:tc>
        <w:tc>
          <w:tcPr>
            <w:tcW w:w="1064" w:type="dxa"/>
            <w:shd w:val="clear" w:color="auto" w:fill="71B1F7"/>
            <w:vAlign w:val="top"/>
          </w:tcPr>
          <w:p>
            <w:pPr>
              <w:pStyle w:val="TableText"/>
              <w:spacing w:before="144" w:line="183" w:lineRule="auto"/>
              <w:ind w:left="339"/>
            </w:pPr>
            <w:r>
              <w:rPr>
                <w:spacing w:val="-2"/>
              </w:rPr>
              <w:t>20-45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type w:val="nextPage"/>
          <w:pgSz w:w="11910" w:h="16840"/>
          <w:pgMar w:top="1431" w:right="1786" w:bottom="0" w:left="1786" w:header="0" w:footer="0" w:gutter="0"/>
          <w:pgNumType w:start="6"/>
          <w:cols w:space="708"/>
          <w:titlePg w:val="0"/>
        </w:sectPr>
      </w:pPr>
    </w:p>
    <w:p>
      <w:pPr>
        <w:spacing w:line="123" w:lineRule="exact"/>
      </w:pPr>
    </w:p>
    <w:tbl>
      <w:tblPr>
        <w:tblStyle w:val="TableNormal2"/>
        <w:tblW w:w="734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4"/>
        <w:gridCol w:w="569"/>
        <w:gridCol w:w="1138"/>
        <w:gridCol w:w="1760"/>
        <w:gridCol w:w="38"/>
        <w:gridCol w:w="3081"/>
      </w:tblGrid>
      <w:tr>
        <w:tblPrEx>
          <w:tblW w:w="734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384"/>
        </w:trPr>
        <w:tc>
          <w:tcPr>
            <w:tcW w:w="7340" w:type="dxa"/>
            <w:gridSpan w:val="6"/>
            <w:shd w:val="clear" w:color="auto" w:fill="E4E5E9"/>
            <w:vAlign w:val="top"/>
          </w:tcPr>
          <w:p>
            <w:pPr>
              <w:pStyle w:val="TableText"/>
              <w:spacing w:before="71" w:line="219" w:lineRule="auto"/>
              <w:ind w:left="2578"/>
              <w:rPr>
                <w:sz w:val="25"/>
                <w:szCs w:val="25"/>
              </w:rPr>
            </w:pPr>
            <w:r>
              <w:rPr>
                <w:b/>
                <w:bCs/>
                <w:spacing w:val="-4"/>
                <w:sz w:val="25"/>
                <w:szCs w:val="25"/>
              </w:rPr>
              <w:t>肌松药的代谢和清除</w:t>
            </w:r>
          </w:p>
        </w:tc>
      </w:tr>
      <w:tr>
        <w:tblPrEx>
          <w:tblW w:w="7340" w:type="dxa"/>
          <w:tblInd w:w="5" w:type="dxa"/>
          <w:tblLayout w:type="fixed"/>
        </w:tblPrEx>
        <w:trPr>
          <w:trHeight w:val="169"/>
        </w:trPr>
        <w:tc>
          <w:tcPr>
            <w:tcW w:w="754" w:type="dxa"/>
            <w:vMerge w:val="restart"/>
            <w:tcBorders>
              <w:bottom w:val="nil"/>
            </w:tcBorders>
            <w:shd w:val="clear" w:color="auto" w:fill="8195B0"/>
            <w:vAlign w:val="top"/>
          </w:tcPr>
          <w:p>
            <w:pPr>
              <w:pStyle w:val="TableText"/>
              <w:spacing w:before="114" w:line="219" w:lineRule="auto"/>
              <w:ind w:left="157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肌松病</w:t>
            </w:r>
          </w:p>
        </w:tc>
        <w:tc>
          <w:tcPr>
            <w:tcW w:w="569" w:type="dxa"/>
            <w:vMerge w:val="restart"/>
            <w:tcBorders>
              <w:bottom w:val="nil"/>
            </w:tcBorders>
            <w:shd w:val="clear" w:color="auto" w:fill="8094AE"/>
            <w:vAlign w:val="top"/>
          </w:tcPr>
          <w:p>
            <w:pPr>
              <w:pStyle w:val="TableText"/>
              <w:spacing w:before="117" w:line="220" w:lineRule="auto"/>
              <w:ind w:left="131"/>
              <w:rPr>
                <w:sz w:val="14"/>
                <w:szCs w:val="14"/>
              </w:rPr>
            </w:pPr>
            <w:r>
              <w:rPr>
                <w:spacing w:val="-4"/>
                <w:sz w:val="14"/>
                <w:szCs w:val="14"/>
              </w:rPr>
              <w:t>时效</w:t>
            </w:r>
          </w:p>
        </w:tc>
        <w:tc>
          <w:tcPr>
            <w:tcW w:w="1138" w:type="dxa"/>
            <w:vMerge w:val="restart"/>
            <w:tcBorders>
              <w:bottom w:val="nil"/>
            </w:tcBorders>
            <w:shd w:val="clear" w:color="auto" w:fill="7E92AD"/>
            <w:vAlign w:val="top"/>
          </w:tcPr>
          <w:p>
            <w:pPr>
              <w:pStyle w:val="TableText"/>
              <w:spacing w:before="116" w:line="219" w:lineRule="auto"/>
              <w:ind w:left="312"/>
              <w:rPr>
                <w:sz w:val="14"/>
                <w:szCs w:val="14"/>
              </w:rPr>
            </w:pPr>
            <w:r>
              <w:rPr>
                <w:spacing w:val="6"/>
                <w:sz w:val="14"/>
                <w:szCs w:val="14"/>
              </w:rPr>
              <w:t>代意(%)</w:t>
            </w:r>
          </w:p>
        </w:tc>
        <w:tc>
          <w:tcPr>
            <w:tcW w:w="1798" w:type="dxa"/>
            <w:gridSpan w:val="2"/>
            <w:shd w:val="clear" w:color="auto" w:fill="7D93AC"/>
            <w:vAlign w:val="top"/>
          </w:tcPr>
          <w:p>
            <w:pPr>
              <w:pStyle w:val="TableText"/>
              <w:spacing w:before="16" w:line="188" w:lineRule="auto"/>
              <w:ind w:left="763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清峰</w:t>
            </w:r>
          </w:p>
        </w:tc>
        <w:tc>
          <w:tcPr>
            <w:tcW w:w="3081" w:type="dxa"/>
            <w:vMerge w:val="restart"/>
            <w:tcBorders>
              <w:bottom w:val="nil"/>
            </w:tcBorders>
            <w:shd w:val="clear" w:color="auto" w:fill="7F94AE"/>
            <w:vAlign w:val="top"/>
          </w:tcPr>
          <w:p>
            <w:pPr>
              <w:pStyle w:val="TableText"/>
              <w:spacing w:before="114" w:line="219" w:lineRule="auto"/>
              <w:ind w:left="1268"/>
              <w:rPr>
                <w:sz w:val="14"/>
                <w:szCs w:val="14"/>
              </w:rPr>
            </w:pPr>
            <w:r>
              <w:rPr>
                <w:b/>
                <w:bCs/>
                <w:color w:val="002051"/>
                <w:spacing w:val="-3"/>
                <w:sz w:val="14"/>
                <w:szCs w:val="14"/>
              </w:rPr>
              <w:t>代测产物</w:t>
            </w:r>
          </w:p>
        </w:tc>
      </w:tr>
      <w:tr>
        <w:tblPrEx>
          <w:tblW w:w="7340" w:type="dxa"/>
          <w:tblInd w:w="5" w:type="dxa"/>
          <w:tblLayout w:type="fixed"/>
        </w:tblPrEx>
        <w:trPr>
          <w:trHeight w:val="190"/>
        </w:trPr>
        <w:tc>
          <w:tcPr>
            <w:tcW w:w="75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98" w:type="dxa"/>
            <w:gridSpan w:val="2"/>
            <w:shd w:val="clear" w:color="auto" w:fill="A9A6A6"/>
            <w:vAlign w:val="top"/>
          </w:tcPr>
          <w:p>
            <w:pPr>
              <w:pStyle w:val="TableText"/>
              <w:spacing w:before="9" w:line="222" w:lineRule="auto"/>
              <w:ind w:left="29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(%)        肝(%)</w:t>
            </w:r>
          </w:p>
        </w:tc>
        <w:tc>
          <w:tcPr>
            <w:tcW w:w="308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7340" w:type="dxa"/>
          <w:tblInd w:w="5" w:type="dxa"/>
          <w:tblLayout w:type="fixed"/>
        </w:tblPrEx>
        <w:trPr>
          <w:trHeight w:val="180"/>
        </w:trPr>
        <w:tc>
          <w:tcPr>
            <w:tcW w:w="754" w:type="dxa"/>
            <w:vMerge w:val="restart"/>
            <w:tcBorders>
              <w:bottom w:val="nil"/>
            </w:tcBorders>
            <w:shd w:val="clear" w:color="auto" w:fill="E3E5E9"/>
            <w:vAlign w:val="top"/>
          </w:tcPr>
          <w:p>
            <w:pPr>
              <w:pStyle w:val="TableText"/>
              <w:spacing w:before="128" w:line="220" w:lineRule="auto"/>
              <w:ind w:left="105"/>
              <w:rPr>
                <w:sz w:val="14"/>
                <w:szCs w:val="14"/>
              </w:rPr>
            </w:pPr>
            <w:r>
              <w:rPr>
                <w:spacing w:val="-3"/>
                <w:sz w:val="14"/>
                <w:szCs w:val="14"/>
              </w:rPr>
              <w:t>就    的</w:t>
            </w:r>
          </w:p>
        </w:tc>
        <w:tc>
          <w:tcPr>
            <w:tcW w:w="569" w:type="dxa"/>
            <w:vMerge w:val="restart"/>
            <w:tcBorders>
              <w:bottom w:val="nil"/>
            </w:tcBorders>
            <w:shd w:val="clear" w:color="auto" w:fill="E3E4E8"/>
            <w:vAlign w:val="top"/>
          </w:tcPr>
          <w:p>
            <w:pPr>
              <w:pStyle w:val="TableText"/>
              <w:spacing w:before="157" w:line="391" w:lineRule="exact"/>
              <w:ind w:left="191"/>
              <w:rPr>
                <w:sz w:val="14"/>
                <w:szCs w:val="14"/>
              </w:rPr>
            </w:pPr>
            <w:r>
              <w:rPr>
                <w:spacing w:val="-2"/>
                <w:position w:val="19"/>
                <w:sz w:val="14"/>
                <w:szCs w:val="14"/>
              </w:rPr>
              <w:t>赔效</w:t>
            </w:r>
          </w:p>
          <w:p>
            <w:pPr>
              <w:pStyle w:val="TableText"/>
              <w:spacing w:line="220" w:lineRule="auto"/>
              <w:ind w:left="131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短效</w:t>
            </w:r>
          </w:p>
        </w:tc>
        <w:tc>
          <w:tcPr>
            <w:tcW w:w="1138" w:type="dxa"/>
            <w:vMerge w:val="restart"/>
            <w:tcBorders>
              <w:bottom w:val="nil"/>
            </w:tcBorders>
            <w:shd w:val="clear" w:color="auto" w:fill="E2E4E7"/>
            <w:vAlign w:val="top"/>
          </w:tcPr>
          <w:p>
            <w:pPr>
              <w:pStyle w:val="TableText"/>
              <w:spacing w:before="129" w:line="221" w:lineRule="auto"/>
              <w:ind w:left="72"/>
              <w:rPr>
                <w:sz w:val="14"/>
                <w:szCs w:val="14"/>
              </w:rPr>
            </w:pPr>
            <w:r>
              <w:rPr>
                <w:spacing w:val="-1"/>
                <w:sz w:val="14"/>
                <w:szCs w:val="14"/>
              </w:rPr>
              <w:t>想碱系施(06-的</w:t>
            </w:r>
          </w:p>
        </w:tc>
        <w:tc>
          <w:tcPr>
            <w:tcW w:w="1798" w:type="dxa"/>
            <w:gridSpan w:val="2"/>
            <w:vMerge w:val="restart"/>
            <w:tcBorders>
              <w:bottom w:val="nil"/>
            </w:tcBorders>
            <w:shd w:val="clear" w:color="auto" w:fill="E4E5E9"/>
            <w:vAlign w:val="top"/>
          </w:tcPr>
          <w:p>
            <w:pPr>
              <w:pStyle w:val="TableText"/>
              <w:spacing w:before="128" w:line="230" w:lineRule="auto"/>
              <w:ind w:left="344"/>
              <w:rPr>
                <w:sz w:val="14"/>
                <w:szCs w:val="14"/>
              </w:rPr>
            </w:pPr>
            <w:r>
              <w:rPr>
                <w:spacing w:val="-2"/>
                <w:position w:val="-1"/>
                <w:sz w:val="14"/>
                <w:szCs w:val="14"/>
              </w:rPr>
              <w:t>*2</w:t>
            </w:r>
            <w:r>
              <w:rPr>
                <w:spacing w:val="1"/>
                <w:position w:val="-1"/>
                <w:sz w:val="14"/>
                <w:szCs w:val="14"/>
              </w:rPr>
              <w:t xml:space="preserve">           </w:t>
            </w:r>
            <w:r>
              <w:rPr>
                <w:spacing w:val="-2"/>
                <w:position w:val="1"/>
                <w:sz w:val="14"/>
                <w:szCs w:val="14"/>
              </w:rPr>
              <w:t>天</w:t>
            </w:r>
          </w:p>
        </w:tc>
        <w:tc>
          <w:tcPr>
            <w:tcW w:w="3081" w:type="dxa"/>
            <w:shd w:val="clear" w:color="auto" w:fill="E0E5EB"/>
            <w:vAlign w:val="top"/>
          </w:tcPr>
          <w:p>
            <w:pPr>
              <w:pStyle w:val="TableText"/>
              <w:spacing w:before="17" w:line="201" w:lineRule="auto"/>
              <w:jc w:val="right"/>
              <w:rPr>
                <w:sz w:val="14"/>
                <w:szCs w:val="14"/>
              </w:rPr>
            </w:pPr>
            <w:r>
              <w:rPr>
                <w:spacing w:val="-1"/>
                <w:sz w:val="14"/>
                <w:szCs w:val="14"/>
              </w:rPr>
              <w:t>单(建地单形证)和形础，非胞设建的把碱</w:t>
            </w:r>
            <w:r>
              <w:rPr>
                <w:spacing w:val="-2"/>
                <w:sz w:val="14"/>
                <w:szCs w:val="14"/>
              </w:rPr>
              <w:t>代老便的</w:t>
            </w:r>
          </w:p>
        </w:tc>
      </w:tr>
      <w:tr>
        <w:tblPrEx>
          <w:tblW w:w="7340" w:type="dxa"/>
          <w:tblInd w:w="5" w:type="dxa"/>
          <w:tblLayout w:type="fixed"/>
        </w:tblPrEx>
        <w:trPr>
          <w:trHeight w:val="199"/>
        </w:trPr>
        <w:tc>
          <w:tcPr>
            <w:tcW w:w="75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98" w:type="dxa"/>
            <w:gridSpan w:val="2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081" w:type="dxa"/>
            <w:shd w:val="clear" w:color="auto" w:fill="E4E5E9"/>
            <w:vAlign w:val="top"/>
          </w:tcPr>
          <w:p>
            <w:pPr>
              <w:pStyle w:val="TableText"/>
              <w:spacing w:before="28" w:line="211" w:lineRule="auto"/>
              <w:ind w:left="1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多</w:t>
            </w:r>
          </w:p>
        </w:tc>
      </w:tr>
      <w:tr>
        <w:tblPrEx>
          <w:tblW w:w="7340" w:type="dxa"/>
          <w:tblInd w:w="5" w:type="dxa"/>
          <w:tblLayout w:type="fixed"/>
        </w:tblPrEx>
        <w:trPr>
          <w:trHeight w:val="379"/>
        </w:trPr>
        <w:tc>
          <w:tcPr>
            <w:tcW w:w="754" w:type="dxa"/>
            <w:shd w:val="clear" w:color="auto" w:fill="E3E4E8"/>
            <w:vAlign w:val="top"/>
          </w:tcPr>
          <w:p>
            <w:pPr>
              <w:pStyle w:val="TableText"/>
              <w:spacing w:before="117" w:line="219" w:lineRule="auto"/>
              <w:ind w:left="155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采集接</w:t>
            </w:r>
          </w:p>
        </w:tc>
        <w:tc>
          <w:tcPr>
            <w:tcW w:w="56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8" w:type="dxa"/>
            <w:shd w:val="clear" w:color="auto" w:fill="E3E4E8"/>
            <w:vAlign w:val="top"/>
          </w:tcPr>
          <w:p>
            <w:pPr>
              <w:pStyle w:val="TableText"/>
              <w:spacing w:before="119" w:line="220" w:lineRule="auto"/>
              <w:ind w:left="102"/>
              <w:rPr>
                <w:sz w:val="14"/>
                <w:szCs w:val="14"/>
              </w:rPr>
            </w:pPr>
            <w:r>
              <w:rPr>
                <w:spacing w:val="3"/>
                <w:sz w:val="14"/>
                <w:szCs w:val="14"/>
              </w:rPr>
              <w:t>形碱座确6-的)</w:t>
            </w:r>
          </w:p>
        </w:tc>
        <w:tc>
          <w:tcPr>
            <w:tcW w:w="1798" w:type="dxa"/>
            <w:gridSpan w:val="2"/>
            <w:shd w:val="clear" w:color="auto" w:fill="E4E5E9"/>
            <w:vAlign w:val="top"/>
          </w:tcPr>
          <w:p>
            <w:pPr>
              <w:pStyle w:val="TableText"/>
              <w:spacing w:before="119" w:line="215" w:lineRule="exact"/>
              <w:ind w:left="334"/>
              <w:rPr>
                <w:sz w:val="14"/>
                <w:szCs w:val="14"/>
              </w:rPr>
            </w:pPr>
            <w:r>
              <w:rPr>
                <w:spacing w:val="-3"/>
                <w:position w:val="-1"/>
                <w:sz w:val="14"/>
                <w:szCs w:val="14"/>
              </w:rPr>
              <w:t>&lt;5</w:t>
            </w:r>
            <w:r>
              <w:rPr>
                <w:spacing w:val="1"/>
                <w:position w:val="-1"/>
                <w:sz w:val="14"/>
                <w:szCs w:val="14"/>
              </w:rPr>
              <w:t xml:space="preserve">           </w:t>
            </w:r>
            <w:r>
              <w:rPr>
                <w:spacing w:val="-3"/>
                <w:position w:val="2"/>
                <w:sz w:val="14"/>
                <w:szCs w:val="14"/>
              </w:rPr>
              <w:t>无</w:t>
            </w:r>
          </w:p>
        </w:tc>
        <w:tc>
          <w:tcPr>
            <w:tcW w:w="3081" w:type="dxa"/>
            <w:shd w:val="clear" w:color="auto" w:fill="E3E4E8"/>
            <w:vAlign w:val="top"/>
          </w:tcPr>
          <w:p>
            <w:pPr>
              <w:pStyle w:val="TableText"/>
              <w:spacing w:before="118" w:line="219" w:lineRule="auto"/>
              <w:ind w:left="16"/>
              <w:rPr>
                <w:sz w:val="14"/>
                <w:szCs w:val="14"/>
              </w:rPr>
            </w:pPr>
            <w:r>
              <w:rPr>
                <w:spacing w:val="-1"/>
                <w:sz w:val="14"/>
                <w:szCs w:val="14"/>
              </w:rPr>
              <w:t>单脑和内册，代据产物无法性，不进一步代谢</w:t>
            </w:r>
          </w:p>
        </w:tc>
      </w:tr>
      <w:tr>
        <w:tblPrEx>
          <w:tblW w:w="7340" w:type="dxa"/>
          <w:tblInd w:w="5" w:type="dxa"/>
          <w:tblLayout w:type="fixed"/>
        </w:tblPrEx>
        <w:trPr>
          <w:trHeight w:val="568"/>
        </w:trPr>
        <w:tc>
          <w:tcPr>
            <w:tcW w:w="754" w:type="dxa"/>
            <w:vMerge w:val="restart"/>
            <w:tcBorders>
              <w:bottom w:val="nil"/>
            </w:tcBorders>
            <w:shd w:val="clear" w:color="auto" w:fill="E4E5E9"/>
            <w:vAlign w:val="top"/>
          </w:tcPr>
          <w:p>
            <w:pPr>
              <w:pStyle w:val="TableText"/>
              <w:spacing w:before="229" w:line="219" w:lineRule="auto"/>
              <w:ind w:left="85"/>
              <w:rPr>
                <w:sz w:val="14"/>
                <w:szCs w:val="14"/>
              </w:rPr>
            </w:pPr>
            <w:r>
              <w:rPr>
                <w:spacing w:val="1"/>
                <w:sz w:val="14"/>
                <w:szCs w:val="14"/>
              </w:rPr>
              <w:t>同些库驶</w:t>
            </w:r>
          </w:p>
        </w:tc>
        <w:tc>
          <w:tcPr>
            <w:tcW w:w="569" w:type="dxa"/>
            <w:vMerge w:val="restart"/>
            <w:tcBorders>
              <w:bottom w:val="nil"/>
            </w:tcBorders>
            <w:shd w:val="clear" w:color="auto" w:fill="E4E5E9"/>
            <w:vAlign w:val="top"/>
          </w:tcPr>
          <w:p>
            <w:pPr>
              <w:pStyle w:val="TableText"/>
              <w:spacing w:before="230" w:line="220" w:lineRule="auto"/>
              <w:ind w:left="131"/>
              <w:rPr>
                <w:sz w:val="14"/>
                <w:szCs w:val="14"/>
              </w:rPr>
            </w:pPr>
            <w:r>
              <w:rPr>
                <w:spacing w:val="3"/>
                <w:sz w:val="14"/>
                <w:szCs w:val="14"/>
              </w:rPr>
              <w:t>中效</w:t>
            </w:r>
          </w:p>
        </w:tc>
        <w:tc>
          <w:tcPr>
            <w:tcW w:w="1138" w:type="dxa"/>
            <w:shd w:val="clear" w:color="auto" w:fill="E3E4E8"/>
            <w:vAlign w:val="top"/>
          </w:tcPr>
          <w:p>
            <w:pPr>
              <w:pStyle w:val="TableText"/>
              <w:spacing w:before="151" w:line="207" w:lineRule="auto"/>
              <w:ind w:left="71" w:right="14" w:hanging="50"/>
              <w:rPr>
                <w:sz w:val="14"/>
                <w:szCs w:val="14"/>
              </w:rPr>
            </w:pPr>
            <w:r>
              <w:rPr>
                <w:spacing w:val="-4"/>
                <w:sz w:val="14"/>
                <w:szCs w:val="14"/>
              </w:rPr>
              <w:t>H</w:t>
            </w:r>
            <w:r>
              <w:rPr>
                <w:spacing w:val="16"/>
                <w:sz w:val="14"/>
                <w:szCs w:val="14"/>
              </w:rPr>
              <w:t xml:space="preserve">  </w:t>
            </w:r>
            <w:r>
              <w:rPr>
                <w:spacing w:val="-4"/>
                <w:sz w:val="14"/>
                <w:szCs w:val="14"/>
              </w:rPr>
              <w:t>m</w:t>
            </w:r>
            <w:r>
              <w:rPr>
                <w:spacing w:val="17"/>
                <w:sz w:val="14"/>
                <w:szCs w:val="14"/>
              </w:rPr>
              <w:t xml:space="preserve">  </w:t>
            </w:r>
            <w:r>
              <w:rPr>
                <w:spacing w:val="-4"/>
                <w:sz w:val="14"/>
                <w:szCs w:val="14"/>
              </w:rPr>
              <w:t>n</w:t>
            </w:r>
            <w:r>
              <w:rPr>
                <w:spacing w:val="15"/>
                <w:sz w:val="14"/>
                <w:szCs w:val="14"/>
              </w:rPr>
              <w:t xml:space="preserve">  </w:t>
            </w:r>
            <w:r>
              <w:rPr>
                <w:spacing w:val="-4"/>
                <w:sz w:val="14"/>
                <w:szCs w:val="14"/>
              </w:rPr>
              <w:t>A</w:t>
            </w:r>
            <w:r>
              <w:rPr>
                <w:spacing w:val="17"/>
                <w:sz w:val="14"/>
                <w:szCs w:val="14"/>
              </w:rPr>
              <w:t xml:space="preserve">  </w:t>
            </w:r>
            <w:r>
              <w:rPr>
                <w:spacing w:val="-4"/>
                <w:sz w:val="14"/>
                <w:szCs w:val="14"/>
              </w:rPr>
              <w:t>和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pacing w:val="-1"/>
                <w:sz w:val="14"/>
                <w:szCs w:val="14"/>
              </w:rPr>
              <w:t>特异性指施水新</w:t>
            </w:r>
          </w:p>
        </w:tc>
        <w:tc>
          <w:tcPr>
            <w:tcW w:w="1798" w:type="dxa"/>
            <w:gridSpan w:val="2"/>
            <w:shd w:val="clear" w:color="auto" w:fill="E3E4E8"/>
            <w:vAlign w:val="top"/>
          </w:tcPr>
          <w:p>
            <w:pPr>
              <w:pStyle w:val="TableText"/>
              <w:spacing w:before="50" w:line="217" w:lineRule="auto"/>
              <w:ind w:left="233"/>
              <w:rPr>
                <w:sz w:val="14"/>
                <w:szCs w:val="14"/>
              </w:rPr>
            </w:pPr>
            <w:r>
              <w:rPr>
                <w:spacing w:val="-4"/>
                <w:position w:val="-1"/>
                <w:sz w:val="14"/>
                <w:szCs w:val="14"/>
              </w:rPr>
              <w:t>10-</w:t>
            </w:r>
            <w:r>
              <w:rPr>
                <w:spacing w:val="5"/>
                <w:position w:val="-1"/>
                <w:sz w:val="14"/>
                <w:szCs w:val="14"/>
              </w:rPr>
              <w:t xml:space="preserve">           </w:t>
            </w:r>
            <w:r>
              <w:rPr>
                <w:spacing w:val="-4"/>
                <w:position w:val="1"/>
                <w:sz w:val="14"/>
                <w:szCs w:val="14"/>
              </w:rPr>
              <w:t>天</w:t>
            </w:r>
          </w:p>
          <w:p>
            <w:pPr>
              <w:pStyle w:val="TableText"/>
              <w:spacing w:before="115" w:line="219" w:lineRule="auto"/>
              <w:jc w:val="right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化测产能通习原相性计消验</w:t>
            </w:r>
          </w:p>
        </w:tc>
        <w:tc>
          <w:tcPr>
            <w:tcW w:w="3081" w:type="dxa"/>
            <w:vMerge w:val="restart"/>
            <w:tcBorders>
              <w:bottom w:val="nil"/>
            </w:tcBorders>
            <w:shd w:val="clear" w:color="auto" w:fill="E4E5E9"/>
            <w:vAlign w:val="top"/>
          </w:tcPr>
          <w:p>
            <w:pPr>
              <w:pStyle w:val="TableText"/>
              <w:spacing w:before="148" w:line="209" w:lineRule="auto"/>
              <w:ind w:left="16" w:right="103" w:firstLine="139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甲由笔顺单城共填规盐、发，用然小甲四能和</w:t>
            </w:r>
            <w:r>
              <w:rPr>
                <w:spacing w:val="10"/>
                <w:sz w:val="14"/>
                <w:szCs w:val="14"/>
              </w:rPr>
              <w:t xml:space="preserve"> </w:t>
            </w:r>
            <w:r>
              <w:rPr>
                <w:spacing w:val="-1"/>
                <w:sz w:val="14"/>
                <w:szCs w:val="14"/>
              </w:rPr>
              <w:t>被有中程齐奋作用，忙在床相天改应可以起路</w:t>
            </w:r>
          </w:p>
          <w:p>
            <w:pPr>
              <w:pStyle w:val="TableText"/>
              <w:spacing w:before="253" w:line="183" w:lineRule="auto"/>
              <w:ind w:left="16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华甲四重基草城和开填指生，朋指木解作用有用，由于</w:t>
            </w:r>
            <w:r>
              <w:rPr>
                <w:spacing w:val="5"/>
                <w:sz w:val="13"/>
                <w:szCs w:val="13"/>
              </w:rPr>
              <w:t xml:space="preserve"> </w:t>
            </w:r>
            <w:r>
              <w:rPr>
                <w:spacing w:val="6"/>
                <w:sz w:val="13"/>
                <w:szCs w:val="13"/>
              </w:rPr>
              <w:t>同</w:t>
            </w:r>
            <w:r>
              <w:rPr>
                <w:spacing w:val="1"/>
                <w:sz w:val="13"/>
                <w:szCs w:val="13"/>
              </w:rPr>
              <w:t xml:space="preserve">      </w:t>
            </w:r>
            <w:r>
              <w:rPr>
                <w:spacing w:val="6"/>
                <w:sz w:val="13"/>
                <w:szCs w:val="13"/>
              </w:rPr>
              <w:t>件用于网金</w:t>
            </w:r>
            <w:r>
              <w:rPr>
                <w:spacing w:val="18"/>
                <w:sz w:val="13"/>
                <w:szCs w:val="13"/>
              </w:rPr>
              <w:t xml:space="preserve">   </w:t>
            </w:r>
            <w:r>
              <w:rPr>
                <w:spacing w:val="6"/>
                <w:sz w:val="13"/>
                <w:szCs w:val="13"/>
              </w:rPr>
              <w:t>其产生N西重</w:t>
            </w:r>
          </w:p>
        </w:tc>
      </w:tr>
      <w:tr>
        <w:tblPrEx>
          <w:tblW w:w="7340" w:type="dxa"/>
          <w:tblInd w:w="5" w:type="dxa"/>
          <w:tblLayout w:type="fixed"/>
        </w:tblPrEx>
        <w:trPr>
          <w:trHeight w:val="279"/>
        </w:trPr>
        <w:tc>
          <w:tcPr>
            <w:tcW w:w="75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8" w:type="dxa"/>
            <w:vMerge w:val="restart"/>
            <w:tcBorders>
              <w:bottom w:val="nil"/>
            </w:tcBorders>
            <w:shd w:val="clear" w:color="auto" w:fill="E3E4E8"/>
            <w:vAlign w:val="top"/>
          </w:tcPr>
          <w:p>
            <w:pPr>
              <w:pStyle w:val="TableText"/>
              <w:spacing w:before="225" w:line="186" w:lineRule="auto"/>
              <w:ind w:left="132"/>
              <w:rPr>
                <w:sz w:val="14"/>
                <w:szCs w:val="14"/>
              </w:rPr>
            </w:pPr>
            <w:r>
              <w:rPr>
                <w:spacing w:val="-1"/>
                <w:sz w:val="14"/>
                <w:szCs w:val="14"/>
              </w:rPr>
              <w:t>Hohene</w:t>
            </w:r>
          </w:p>
          <w:p>
            <w:pPr>
              <w:pStyle w:val="TableText"/>
              <w:spacing w:line="218" w:lineRule="auto"/>
              <w:ind w:left="492"/>
              <w:rPr>
                <w:sz w:val="14"/>
                <w:szCs w:val="14"/>
              </w:rPr>
            </w:pPr>
            <w:r>
              <w:rPr>
                <w:spacing w:val="-8"/>
                <w:sz w:val="14"/>
                <w:szCs w:val="14"/>
              </w:rPr>
              <w:t>()</w:t>
            </w:r>
          </w:p>
        </w:tc>
        <w:tc>
          <w:tcPr>
            <w:tcW w:w="1798" w:type="dxa"/>
            <w:gridSpan w:val="2"/>
            <w:vMerge w:val="restart"/>
            <w:tcBorders>
              <w:bottom w:val="nil"/>
            </w:tcBorders>
            <w:shd w:val="clear" w:color="auto" w:fill="E4E5E9"/>
            <w:vAlign w:val="top"/>
          </w:tcPr>
          <w:p>
            <w:pPr>
              <w:pStyle w:val="TableText"/>
              <w:spacing w:before="270" w:line="219" w:lineRule="auto"/>
              <w:ind w:left="493"/>
              <w:rPr>
                <w:sz w:val="14"/>
                <w:szCs w:val="14"/>
              </w:rPr>
            </w:pPr>
            <w:r>
              <w:rPr>
                <w:spacing w:val="-1"/>
                <w:sz w:val="14"/>
                <w:szCs w:val="14"/>
              </w:rPr>
              <w:t>肃满除保616</w:t>
            </w:r>
          </w:p>
        </w:tc>
        <w:tc>
          <w:tcPr>
            <w:tcW w:w="308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7340" w:type="dxa"/>
          <w:tblInd w:w="5" w:type="dxa"/>
          <w:tblLayout w:type="fixed"/>
        </w:tblPrEx>
        <w:trPr>
          <w:trHeight w:val="120"/>
        </w:trPr>
        <w:tc>
          <w:tcPr>
            <w:tcW w:w="754" w:type="dxa"/>
            <w:vMerge w:val="restart"/>
            <w:tcBorders>
              <w:bottom w:val="nil"/>
            </w:tcBorders>
            <w:shd w:val="clear" w:color="auto" w:fill="E4E5E9"/>
            <w:vAlign w:val="top"/>
          </w:tcPr>
          <w:p>
            <w:pPr>
              <w:pStyle w:val="TableText"/>
              <w:spacing w:before="22" w:line="219" w:lineRule="auto"/>
              <w:ind w:left="15"/>
              <w:rPr>
                <w:sz w:val="14"/>
                <w:szCs w:val="14"/>
              </w:rPr>
            </w:pPr>
            <w:r>
              <w:rPr>
                <w:spacing w:val="-1"/>
                <w:sz w:val="14"/>
                <w:szCs w:val="14"/>
              </w:rPr>
              <w:t>课月盖库钱</w:t>
            </w:r>
          </w:p>
        </w:tc>
        <w:tc>
          <w:tcPr>
            <w:tcW w:w="569" w:type="dxa"/>
            <w:vMerge w:val="restart"/>
            <w:tcBorders>
              <w:bottom w:val="nil"/>
            </w:tcBorders>
            <w:shd w:val="clear" w:color="auto" w:fill="E4E5E9"/>
            <w:vAlign w:val="top"/>
          </w:tcPr>
          <w:p>
            <w:pPr>
              <w:pStyle w:val="TableText"/>
              <w:spacing w:before="12" w:line="219" w:lineRule="auto"/>
              <w:ind w:left="131"/>
              <w:rPr>
                <w:sz w:val="14"/>
                <w:szCs w:val="14"/>
              </w:rPr>
            </w:pPr>
            <w:r>
              <w:rPr>
                <w:spacing w:val="9"/>
                <w:sz w:val="14"/>
                <w:szCs w:val="14"/>
              </w:rPr>
              <w:t>申营</w:t>
            </w:r>
          </w:p>
        </w:tc>
        <w:tc>
          <w:tcPr>
            <w:tcW w:w="113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98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08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7340" w:type="dxa"/>
          <w:tblInd w:w="5" w:type="dxa"/>
          <w:tblLayout w:type="fixed"/>
        </w:tblPrEx>
        <w:trPr>
          <w:trHeight w:val="259"/>
        </w:trPr>
        <w:tc>
          <w:tcPr>
            <w:tcW w:w="75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98" w:type="dxa"/>
            <w:gridSpan w:val="2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081" w:type="dxa"/>
            <w:shd w:val="clear" w:color="auto" w:fill="E3E4E8"/>
            <w:vAlign w:val="top"/>
          </w:tcPr>
          <w:p>
            <w:pPr>
              <w:pStyle w:val="TableText"/>
              <w:spacing w:before="42" w:line="219" w:lineRule="auto"/>
              <w:ind w:left="16"/>
              <w:rPr>
                <w:sz w:val="14"/>
                <w:szCs w:val="14"/>
              </w:rPr>
            </w:pPr>
            <w:r>
              <w:rPr>
                <w:spacing w:val="-1"/>
                <w:sz w:val="14"/>
                <w:szCs w:val="14"/>
              </w:rPr>
              <w:t>截比月垂单往了-10性、放产生的不良反应也少</w:t>
            </w:r>
          </w:p>
        </w:tc>
      </w:tr>
      <w:tr>
        <w:tblPrEx>
          <w:tblW w:w="7340" w:type="dxa"/>
          <w:tblInd w:w="5" w:type="dxa"/>
          <w:tblLayout w:type="fixed"/>
        </w:tblPrEx>
        <w:trPr>
          <w:trHeight w:val="279"/>
        </w:trPr>
        <w:tc>
          <w:tcPr>
            <w:tcW w:w="754" w:type="dxa"/>
            <w:vMerge w:val="restart"/>
            <w:tcBorders>
              <w:bottom w:val="nil"/>
            </w:tcBorders>
            <w:shd w:val="clear" w:color="auto" w:fill="E4E5E9"/>
            <w:vAlign w:val="top"/>
          </w:tcPr>
          <w:p>
            <w:pPr>
              <w:pStyle w:val="TableText"/>
              <w:spacing w:before="233" w:line="219" w:lineRule="auto"/>
              <w:ind w:left="85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姓库康接</w:t>
            </w:r>
          </w:p>
        </w:tc>
        <w:tc>
          <w:tcPr>
            <w:tcW w:w="569" w:type="dxa"/>
            <w:vMerge w:val="restart"/>
            <w:tcBorders>
              <w:bottom w:val="nil"/>
            </w:tcBorders>
            <w:shd w:val="clear" w:color="auto" w:fill="E4E5E9"/>
            <w:vAlign w:val="top"/>
          </w:tcPr>
          <w:p>
            <w:pPr>
              <w:pStyle w:val="TableText"/>
              <w:spacing w:before="233" w:line="219" w:lineRule="auto"/>
              <w:ind w:left="131"/>
              <w:rPr>
                <w:sz w:val="14"/>
                <w:szCs w:val="14"/>
              </w:rPr>
            </w:pPr>
            <w:r>
              <w:rPr>
                <w:spacing w:val="2"/>
                <w:sz w:val="14"/>
                <w:szCs w:val="14"/>
              </w:rPr>
              <w:t>中姓</w:t>
            </w:r>
          </w:p>
        </w:tc>
        <w:tc>
          <w:tcPr>
            <w:tcW w:w="1138" w:type="dxa"/>
            <w:vMerge w:val="restart"/>
            <w:tcBorders>
              <w:bottom w:val="nil"/>
            </w:tcBorders>
            <w:shd w:val="clear" w:color="auto" w:fill="E4E5E9"/>
            <w:vAlign w:val="top"/>
          </w:tcPr>
          <w:p>
            <w:pPr>
              <w:pStyle w:val="TableText"/>
              <w:spacing w:before="269" w:line="183" w:lineRule="auto"/>
              <w:ind w:left="352"/>
              <w:rPr>
                <w:sz w:val="14"/>
                <w:szCs w:val="14"/>
              </w:rPr>
            </w:pPr>
            <w:r>
              <w:rPr>
                <w:spacing w:val="-1"/>
                <w:sz w:val="14"/>
                <w:szCs w:val="14"/>
              </w:rPr>
              <w:t>#00-4#</w:t>
            </w:r>
          </w:p>
        </w:tc>
        <w:tc>
          <w:tcPr>
            <w:tcW w:w="4879" w:type="dxa"/>
            <w:gridSpan w:val="3"/>
            <w:shd w:val="clear" w:color="auto" w:fill="E4E5E9"/>
            <w:vAlign w:val="top"/>
          </w:tcPr>
          <w:p>
            <w:pPr>
              <w:pStyle w:val="TableText"/>
              <w:spacing w:before="110" w:line="170" w:lineRule="auto"/>
              <w:jc w:val="right"/>
              <w:rPr>
                <w:sz w:val="14"/>
                <w:szCs w:val="14"/>
              </w:rPr>
            </w:pPr>
            <w:r>
              <w:rPr>
                <w:spacing w:val="-3"/>
                <w:position w:val="2"/>
                <w:sz w:val="14"/>
                <w:szCs w:val="14"/>
              </w:rPr>
              <w:t>40-50</w:t>
            </w:r>
            <w:r>
              <w:rPr>
                <w:spacing w:val="8"/>
                <w:position w:val="2"/>
                <w:sz w:val="14"/>
                <w:szCs w:val="14"/>
              </w:rPr>
              <w:t xml:space="preserve">      </w:t>
            </w:r>
            <w:r>
              <w:rPr>
                <w:spacing w:val="-3"/>
                <w:position w:val="3"/>
                <w:sz w:val="14"/>
                <w:szCs w:val="14"/>
              </w:rPr>
              <w:t xml:space="preserve">50-0     </w:t>
            </w:r>
            <w:r>
              <w:rPr>
                <w:spacing w:val="-3"/>
                <w:sz w:val="14"/>
                <w:szCs w:val="14"/>
              </w:rPr>
              <w:t>1-01代产物旋集，无其是在需液患者，其作所强度里</w:t>
            </w:r>
          </w:p>
        </w:tc>
      </w:tr>
      <w:tr>
        <w:tblPrEx>
          <w:tblW w:w="7340" w:type="dxa"/>
          <w:tblInd w:w="5" w:type="dxa"/>
          <w:tblLayout w:type="fixed"/>
        </w:tblPrEx>
        <w:trPr>
          <w:trHeight w:val="299"/>
        </w:trPr>
        <w:tc>
          <w:tcPr>
            <w:tcW w:w="75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0" w:type="dxa"/>
            <w:tcBorders>
              <w:right w:val="nil"/>
            </w:tcBorders>
            <w:shd w:val="clear" w:color="auto" w:fill="E3E4E8"/>
            <w:vAlign w:val="top"/>
          </w:tcPr>
          <w:p>
            <w:pPr>
              <w:pStyle w:val="TableText"/>
              <w:spacing w:before="84" w:line="219" w:lineRule="auto"/>
              <w:ind w:left="184"/>
              <w:rPr>
                <w:sz w:val="14"/>
                <w:szCs w:val="14"/>
              </w:rPr>
            </w:pPr>
            <w:r>
              <w:rPr>
                <w:spacing w:val="-1"/>
                <w:sz w:val="14"/>
                <w:szCs w:val="14"/>
              </w:rPr>
              <w:t>代测产要由序和图升分语</w:t>
            </w:r>
          </w:p>
        </w:tc>
        <w:tc>
          <w:tcPr>
            <w:tcW w:w="3119" w:type="dxa"/>
            <w:gridSpan w:val="2"/>
            <w:tcBorders>
              <w:left w:val="nil"/>
            </w:tcBorders>
            <w:shd w:val="clear" w:color="auto" w:fill="E3E4E8"/>
            <w:vAlign w:val="top"/>
          </w:tcPr>
          <w:p>
            <w:pPr>
              <w:pStyle w:val="TableText"/>
              <w:spacing w:before="42" w:line="216" w:lineRule="auto"/>
              <w:ind w:left="39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同热库键约80%,可能造成CU中患者恢复算路</w:t>
            </w:r>
          </w:p>
        </w:tc>
      </w:tr>
      <w:tr>
        <w:tblPrEx>
          <w:tblW w:w="7340" w:type="dxa"/>
          <w:tblInd w:w="5" w:type="dxa"/>
          <w:tblLayout w:type="fixed"/>
        </w:tblPrEx>
        <w:trPr>
          <w:trHeight w:val="314"/>
        </w:trPr>
        <w:tc>
          <w:tcPr>
            <w:tcW w:w="1323" w:type="dxa"/>
            <w:gridSpan w:val="2"/>
            <w:shd w:val="clear" w:color="auto" w:fill="E3E4E8"/>
            <w:vAlign w:val="top"/>
          </w:tcPr>
          <w:p>
            <w:pPr>
              <w:pStyle w:val="TableText"/>
              <w:spacing w:before="95" w:line="219" w:lineRule="auto"/>
              <w:ind w:left="10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罗库驶</w:t>
            </w:r>
            <w:r>
              <w:rPr>
                <w:spacing w:val="3"/>
                <w:sz w:val="14"/>
                <w:szCs w:val="14"/>
              </w:rPr>
              <w:t xml:space="preserve">     </w:t>
            </w:r>
            <w:r>
              <w:rPr>
                <w:sz w:val="14"/>
                <w:szCs w:val="14"/>
              </w:rPr>
              <w:t>中章</w:t>
            </w:r>
          </w:p>
        </w:tc>
        <w:tc>
          <w:tcPr>
            <w:tcW w:w="1138" w:type="dxa"/>
            <w:shd w:val="clear" w:color="auto" w:fill="E4E5E9"/>
            <w:vAlign w:val="top"/>
          </w:tcPr>
          <w:p>
            <w:pPr>
              <w:pStyle w:val="TableText"/>
              <w:spacing w:before="99" w:line="224" w:lineRule="auto"/>
              <w:ind w:left="49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黑</w:t>
            </w:r>
          </w:p>
        </w:tc>
        <w:tc>
          <w:tcPr>
            <w:tcW w:w="4879" w:type="dxa"/>
            <w:gridSpan w:val="3"/>
            <w:shd w:val="clear" w:color="auto" w:fill="E4E5E9"/>
            <w:vAlign w:val="top"/>
          </w:tcPr>
          <w:p>
            <w:pPr>
              <w:pStyle w:val="TableText"/>
              <w:spacing w:before="109" w:line="194" w:lineRule="exact"/>
              <w:ind w:left="244"/>
              <w:rPr>
                <w:sz w:val="14"/>
                <w:szCs w:val="14"/>
              </w:rPr>
            </w:pPr>
            <w:r>
              <w:rPr>
                <w:spacing w:val="-5"/>
                <w:sz w:val="14"/>
                <w:szCs w:val="14"/>
              </w:rPr>
              <w:t>《10</w:t>
            </w:r>
            <w:r>
              <w:rPr>
                <w:sz w:val="14"/>
                <w:szCs w:val="14"/>
              </w:rPr>
              <w:t xml:space="preserve">          </w:t>
            </w:r>
            <w:r>
              <w:rPr>
                <w:spacing w:val="-5"/>
                <w:sz w:val="14"/>
                <w:szCs w:val="14"/>
              </w:rPr>
              <w:t>&gt;</w:t>
            </w:r>
            <w:r>
              <w:rPr>
                <w:spacing w:val="2"/>
                <w:sz w:val="14"/>
                <w:szCs w:val="14"/>
              </w:rPr>
              <w:t xml:space="preserve">       </w:t>
            </w:r>
            <w:r>
              <w:rPr>
                <w:spacing w:val="-5"/>
                <w:position w:val="1"/>
                <w:sz w:val="14"/>
                <w:szCs w:val="14"/>
              </w:rPr>
              <w:t>黑</w:t>
            </w:r>
          </w:p>
        </w:tc>
      </w:tr>
    </w:tbl>
    <w:p>
      <w:pPr>
        <w:spacing w:line="293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pStyle w:val="BodyText"/>
        <w:spacing w:before="87" w:line="642" w:lineRule="exact"/>
        <w:ind w:left="15"/>
      </w:pPr>
      <w:r>
        <w:rPr>
          <w:spacing w:val="-14"/>
          <w:position w:val="28"/>
        </w:rPr>
        <w:t>闻大翔，欧阳葆怡,杭燕南主编《肌肉松驰药》,世界图书出版公司，2007,</w:t>
      </w:r>
    </w:p>
    <w:p>
      <w:pPr>
        <w:spacing w:line="183" w:lineRule="auto"/>
        <w:ind w:left="15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7"/>
          <w:sz w:val="33"/>
          <w:szCs w:val="33"/>
        </w:rPr>
        <w:t>38</w:t>
      </w:r>
      <w:r>
        <w:rPr>
          <w:rFonts w:ascii="SimSun" w:eastAsia="SimSun" w:hAnsi="SimSun" w:cs="SimSun"/>
          <w:spacing w:val="-2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7"/>
          <w:sz w:val="33"/>
          <w:szCs w:val="33"/>
        </w:rPr>
        <w:t>-39.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pStyle w:val="BodyText"/>
        <w:spacing w:before="88" w:line="221" w:lineRule="auto"/>
        <w:ind w:left="15"/>
      </w:pPr>
      <w:r>
        <w:rPr>
          <w:spacing w:val="-10"/>
        </w:rPr>
        <w:t>6.常用拮抗药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pStyle w:val="BodyText"/>
        <w:spacing w:before="88" w:line="426" w:lineRule="auto"/>
        <w:ind w:left="15"/>
        <w:jc w:val="both"/>
      </w:pPr>
      <w:r>
        <w:rPr>
          <w:spacing w:val="-16"/>
        </w:rPr>
        <w:t>新斯的明可以拮抗所有非去极化肌松药，在拮抗轻、中度</w:t>
      </w:r>
      <w:r>
        <w:rPr>
          <w:spacing w:val="-17"/>
        </w:rPr>
        <w:t>的肌松时更有效。</w:t>
      </w:r>
      <w:r>
        <w:t xml:space="preserve"> </w:t>
      </w:r>
      <w:r>
        <w:rPr>
          <w:spacing w:val="-11"/>
        </w:rPr>
        <w:t>但新斯的明依赖于肌肉部分自发恢复才能有效，而新斯的明且具有封顶效</w:t>
      </w:r>
      <w:r>
        <w:rPr>
          <w:spacing w:val="10"/>
        </w:rPr>
        <w:t xml:space="preserve"> </w:t>
      </w:r>
      <w:r>
        <w:rPr>
          <w:spacing w:val="-7"/>
        </w:rPr>
        <w:t>应，&gt;0.07</w:t>
      </w:r>
      <w:r>
        <w:rPr>
          <w:rFonts w:ascii="SimSun" w:eastAsia="SimSun" w:hAnsi="SimSun" w:cs="SimSun"/>
          <w:spacing w:val="-7"/>
        </w:rPr>
        <w:t>mg/kg</w:t>
      </w:r>
      <w:r>
        <w:rPr>
          <w:rFonts w:ascii="SimSun" w:eastAsia="SimSun" w:hAnsi="SimSun" w:cs="SimSun"/>
          <w:spacing w:val="63"/>
        </w:rPr>
        <w:t xml:space="preserve"> </w:t>
      </w:r>
      <w:r>
        <w:rPr>
          <w:spacing w:val="-7"/>
        </w:rPr>
        <w:t>后增加剂量不能产生更好的拮抗效果，反而会增</w:t>
      </w:r>
      <w:r>
        <w:rPr>
          <w:spacing w:val="-8"/>
        </w:rPr>
        <w:t>加副作</w:t>
      </w:r>
    </w:p>
    <w:p>
      <w:pPr>
        <w:pStyle w:val="BodyText"/>
        <w:spacing w:before="1" w:line="212" w:lineRule="auto"/>
        <w:ind w:left="15"/>
        <w:rPr>
          <w:rFonts w:ascii="SimSun" w:eastAsia="SimSun" w:hAnsi="SimSun" w:cs="SimSun"/>
        </w:rPr>
      </w:pPr>
      <w:r>
        <w:rPr>
          <w:spacing w:val="-9"/>
        </w:rPr>
        <w:t>用发生概率，还有可能诱发</w:t>
      </w:r>
      <w:r>
        <w:rPr>
          <w:spacing w:val="-43"/>
        </w:rPr>
        <w:t xml:space="preserve"> </w:t>
      </w:r>
      <w:r>
        <w:rPr>
          <w:rFonts w:ascii="SimSun" w:eastAsia="SimSun" w:hAnsi="SimSun" w:cs="SimSun"/>
          <w:spacing w:val="-9"/>
        </w:rPr>
        <w:t>PONV。</w:t>
      </w:r>
    </w:p>
    <w:p>
      <w:pPr>
        <w:spacing w:line="281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  <w:sectPr>
          <w:pgSz w:w="11910" w:h="16840"/>
          <w:pgMar w:top="1431" w:right="1744" w:bottom="0" w:left="1774" w:header="0" w:footer="0" w:gutter="0"/>
          <w:pgNumType w:start="7"/>
          <w:cols w:space="708"/>
        </w:sectPr>
      </w:pPr>
    </w:p>
    <w:p>
      <w:pPr>
        <w:pStyle w:val="BodyText"/>
        <w:spacing w:before="88" w:line="424" w:lineRule="auto"/>
        <w:ind w:left="15" w:right="66"/>
        <w:jc w:val="both"/>
      </w:pPr>
      <w:r>
        <w:rPr>
          <w:spacing w:val="-11"/>
        </w:rPr>
        <w:t>与新斯的明相比，舒更葡糖钠在任何阻滞程度时使用都可有效拮抗肌松作</w:t>
      </w:r>
      <w:r>
        <w:rPr>
          <w:spacing w:val="15"/>
        </w:rPr>
        <w:t xml:space="preserve"> </w:t>
      </w:r>
      <w:r>
        <w:rPr>
          <w:spacing w:val="-14"/>
        </w:rPr>
        <w:t>用，且拮抗速度更快、肌松残留更少。有研究指</w:t>
      </w:r>
      <w:r>
        <w:rPr>
          <w:spacing w:val="-15"/>
        </w:rPr>
        <w:t>出，与新斯的明-阿托品合</w:t>
      </w:r>
      <w:r>
        <w:t xml:space="preserve"> </w:t>
      </w:r>
      <w:r>
        <w:rPr>
          <w:spacing w:val="-6"/>
        </w:rPr>
        <w:t>剂相比，在逆转后的前6小时，使用舒更葡糖钠的患者术后</w:t>
      </w:r>
      <w:r>
        <w:rPr>
          <w:spacing w:val="-7"/>
        </w:rPr>
        <w:t>恶心、呕吐发</w:t>
      </w:r>
      <w:r>
        <w:t xml:space="preserve"> </w:t>
      </w:r>
      <w:r>
        <w:rPr>
          <w:spacing w:val="-11"/>
        </w:rPr>
        <w:t>生率更低。但舒更葡糖钠仅对甾体类的维库溴铵和罗库溴铵有效。且其存</w:t>
      </w:r>
    </w:p>
    <w:p>
      <w:pPr>
        <w:pStyle w:val="BodyText"/>
        <w:spacing w:before="1" w:line="212" w:lineRule="auto"/>
        <w:ind w:left="15"/>
      </w:pPr>
      <w:r>
        <w:rPr>
          <w:spacing w:val="-10"/>
        </w:rPr>
        <w:t>在过敏，当仅评估过敏反应的发生率时，新斯的明可能比舒更葡</w:t>
      </w:r>
      <w:r>
        <w:rPr>
          <w:spacing w:val="-11"/>
        </w:rPr>
        <w:t>糖钠更安</w:t>
      </w:r>
    </w:p>
    <w:p>
      <w:pPr>
        <w:spacing w:line="212" w:lineRule="auto"/>
        <w:sectPr>
          <w:type w:val="nextPage"/>
          <w:pgSz w:w="11910" w:h="16840"/>
          <w:pgMar w:top="1431" w:right="1744" w:bottom="0" w:left="1774" w:header="0" w:footer="0" w:gutter="0"/>
          <w:pgNumType w:start="8"/>
          <w:cols w:space="708"/>
          <w:titlePg w:val="0"/>
        </w:sectPr>
      </w:pPr>
    </w:p>
    <w:p>
      <w:pPr>
        <w:pStyle w:val="BodyText"/>
        <w:spacing w:before="187" w:line="221" w:lineRule="auto"/>
        <w:ind w:left="3"/>
      </w:pPr>
      <w:r>
        <w:rPr>
          <w:spacing w:val="-11"/>
        </w:rPr>
        <w:t>全。有文献还曾报道过舒更葡糖钠-罗库溴铵复合物致敏的过敏病例。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pStyle w:val="BodyText"/>
        <w:spacing w:before="88" w:line="221" w:lineRule="auto"/>
        <w:ind w:left="3"/>
      </w:pPr>
      <w:r>
        <w:rPr>
          <w:spacing w:val="-13"/>
        </w:rPr>
        <w:t>7.个性化精准定制肌松方案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pStyle w:val="BodyText"/>
        <w:spacing w:before="88" w:line="213" w:lineRule="auto"/>
        <w:ind w:left="3"/>
      </w:pPr>
      <w:r>
        <w:rPr>
          <w:spacing w:val="-12"/>
        </w:rPr>
        <w:t>对于肌松药选择，最重要的是遵循短、快、稳、少的原则。</w:t>
      </w:r>
    </w:p>
    <w:p>
      <w:pPr>
        <w:spacing w:line="279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pStyle w:val="BodyText"/>
        <w:spacing w:before="87" w:line="425" w:lineRule="auto"/>
        <w:ind w:left="3" w:right="8"/>
        <w:jc w:val="both"/>
      </w:pPr>
      <w:r>
        <w:rPr>
          <w:spacing w:val="-25"/>
        </w:rPr>
        <w:t>对于肌松药选择，最重要的是遵循短、快、稳、少的原则。“</w:t>
      </w:r>
      <w:r>
        <w:rPr>
          <w:spacing w:val="-26"/>
        </w:rPr>
        <w:t>无肌松“方案：</w:t>
      </w:r>
      <w:r>
        <w:t xml:space="preserve"> </w:t>
      </w:r>
      <w:r>
        <w:rPr>
          <w:spacing w:val="-2"/>
        </w:rPr>
        <w:t>中华医学会麻醉学分会2023年制定的日间手术麻醉指南指出：肌</w:t>
      </w:r>
      <w:r>
        <w:rPr>
          <w:spacing w:val="-3"/>
        </w:rPr>
        <w:t>松药使</w:t>
      </w:r>
      <w:r>
        <w:t xml:space="preserve"> </w:t>
      </w:r>
      <w:r>
        <w:rPr>
          <w:spacing w:val="-18"/>
        </w:rPr>
        <w:t>用应根据手术需要选择，短时间浅表手术一般不需要使用肌松药；“常规肌</w:t>
      </w:r>
      <w:r>
        <w:rPr>
          <w:spacing w:val="2"/>
        </w:rPr>
        <w:t xml:space="preserve"> </w:t>
      </w:r>
      <w:r>
        <w:rPr>
          <w:spacing w:val="-15"/>
        </w:rPr>
        <w:t>松+拮抗“方案：缺乏肌松检测设备，又要求快速康复时，应常规使用肌松</w:t>
      </w:r>
      <w:r>
        <w:rPr>
          <w:spacing w:val="17"/>
        </w:rPr>
        <w:t xml:space="preserve"> </w:t>
      </w:r>
      <w:r>
        <w:rPr>
          <w:spacing w:val="-10"/>
        </w:rPr>
        <w:t>拮抗，避免隐秘性的肌松残余；“深度肌松+肌松检测+拮</w:t>
      </w:r>
      <w:r>
        <w:rPr>
          <w:spacing w:val="-11"/>
        </w:rPr>
        <w:t>抗“方案：既能</w:t>
      </w:r>
      <w:r>
        <w:t xml:space="preserve"> </w:t>
      </w:r>
      <w:r>
        <w:rPr>
          <w:spacing w:val="-10"/>
        </w:rPr>
        <w:t>达到与手术要求相匹配的肌松程度，又有利于术后快速、完全的苏醒。达</w:t>
      </w:r>
    </w:p>
    <w:p>
      <w:pPr>
        <w:pStyle w:val="BodyText"/>
        <w:spacing w:line="221" w:lineRule="auto"/>
        <w:ind w:left="3"/>
      </w:pPr>
      <w:r>
        <w:rPr>
          <w:spacing w:val="-15"/>
        </w:rPr>
        <w:t>到外科和患者的双重满意。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pStyle w:val="BodyText"/>
        <w:spacing w:before="89" w:line="221" w:lineRule="auto"/>
        <w:ind w:left="3"/>
      </w:pPr>
      <w:r>
        <w:rPr>
          <w:spacing w:val="-7"/>
        </w:rPr>
        <w:t>肌松监测和拮抗研究进展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pStyle w:val="BodyText"/>
        <w:spacing w:before="88" w:line="218" w:lineRule="auto"/>
        <w:ind w:left="3"/>
      </w:pPr>
      <w:r>
        <w:rPr>
          <w:spacing w:val="-6"/>
        </w:rPr>
        <w:t>1.2023ASA</w:t>
      </w:r>
      <w:r>
        <w:rPr>
          <w:spacing w:val="52"/>
        </w:rPr>
        <w:t xml:space="preserve"> </w:t>
      </w:r>
      <w:r>
        <w:rPr>
          <w:spacing w:val="-6"/>
        </w:rPr>
        <w:t>肌松监测和拮抗实践指南</w:t>
      </w:r>
    </w:p>
    <w:p>
      <w:pPr>
        <w:pStyle w:val="BodyText"/>
        <w:spacing w:before="314" w:line="425" w:lineRule="auto"/>
        <w:ind w:left="3" w:right="29"/>
        <w:jc w:val="both"/>
      </w:pPr>
      <w:r>
        <w:rPr>
          <w:rFonts w:ascii="SimSun" w:eastAsia="SimSun" w:hAnsi="SimSun" w:cs="SimSun"/>
          <w:spacing w:val="-2"/>
        </w:rPr>
        <w:t xml:space="preserve">ASA </w:t>
      </w:r>
      <w:r>
        <w:rPr>
          <w:spacing w:val="-2"/>
        </w:rPr>
        <w:t>在2023年更新的肌松监测与拮抗指南中指出肌松监测定量评估可以</w:t>
      </w:r>
      <w:r>
        <w:rPr>
          <w:spacing w:val="2"/>
        </w:rPr>
        <w:t xml:space="preserve"> </w:t>
      </w:r>
      <w:r>
        <w:rPr>
          <w:spacing w:val="-12"/>
        </w:rPr>
        <w:t>有效降低肌松残余阻滞的发生率，保障患者的安全。</w:t>
      </w:r>
      <w:r>
        <w:rPr>
          <w:rFonts w:ascii="SimSun" w:eastAsia="SimSun" w:hAnsi="SimSun" w:cs="SimSun"/>
          <w:spacing w:val="-12"/>
        </w:rPr>
        <w:t>ASA</w:t>
      </w:r>
      <w:r>
        <w:rPr>
          <w:rFonts w:ascii="SimSun" w:eastAsia="SimSun" w:hAnsi="SimSun" w:cs="SimSun"/>
          <w:spacing w:val="62"/>
        </w:rPr>
        <w:t xml:space="preserve"> </w:t>
      </w:r>
      <w:r>
        <w:rPr>
          <w:spacing w:val="-13"/>
        </w:rPr>
        <w:t>建议在拔管前对</w:t>
      </w:r>
    </w:p>
    <w:p>
      <w:pPr>
        <w:spacing w:before="1" w:line="219" w:lineRule="auto"/>
        <w:ind w:left="3"/>
        <w:rPr>
          <w:rFonts w:ascii="SimSun" w:eastAsia="SimSun" w:hAnsi="SimSun" w:cs="SimSun"/>
          <w:sz w:val="27"/>
          <w:szCs w:val="27"/>
        </w:rPr>
        <w:sectPr>
          <w:pgSz w:w="11910" w:h="16840"/>
          <w:pgMar w:top="1431" w:right="1786" w:bottom="0" w:left="1786" w:header="0" w:footer="0" w:gutter="0"/>
          <w:pgNumType w:start="9"/>
          <w:cols w:space="708"/>
        </w:sectPr>
      </w:pPr>
      <w:r>
        <w:rPr>
          <w:rFonts w:ascii="SimSun" w:eastAsia="SimSun" w:hAnsi="SimSun" w:cs="SimSun"/>
          <w:spacing w:val="-5"/>
          <w:sz w:val="27"/>
          <w:szCs w:val="27"/>
        </w:rPr>
        <w:t>拇内收肌进行定量神经肌肉监测，并确认</w:t>
      </w:r>
      <w:r>
        <w:rPr>
          <w:rFonts w:ascii="Times New Roman" w:eastAsia="Times New Roman" w:hAnsi="Times New Roman" w:cs="Times New Roman"/>
          <w:spacing w:val="-5"/>
          <w:sz w:val="27"/>
          <w:szCs w:val="27"/>
        </w:rPr>
        <w:t xml:space="preserve">TOFr  </w:t>
      </w:r>
      <w:r>
        <w:rPr>
          <w:rFonts w:ascii="Times New Roman" w:eastAsia="Times New Roman" w:hAnsi="Times New Roman" w:cs="Times New Roman"/>
          <w:spacing w:val="-6"/>
          <w:sz w:val="27"/>
          <w:szCs w:val="27"/>
        </w:rPr>
        <w:t xml:space="preserve"> ≥0.9</w:t>
      </w:r>
      <w:r>
        <w:rPr>
          <w:rFonts w:ascii="SimSun" w:eastAsia="SimSun" w:hAnsi="SimSun" w:cs="SimSun"/>
          <w:spacing w:val="-6"/>
          <w:sz w:val="27"/>
          <w:szCs w:val="27"/>
        </w:rPr>
        <w:t>后再予以拔管。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pStyle w:val="BodyText"/>
        <w:spacing w:before="88" w:line="213" w:lineRule="auto"/>
        <w:ind w:left="3"/>
      </w:pPr>
      <w:r>
        <w:rPr>
          <w:spacing w:val="1"/>
        </w:rPr>
        <w:t>指南中给出了8条建议，分别是：</w:t>
      </w:r>
    </w:p>
    <w:p>
      <w:pPr>
        <w:spacing w:line="213" w:lineRule="auto"/>
        <w:sectPr>
          <w:type w:val="nextPage"/>
          <w:pgSz w:w="11910" w:h="16840"/>
          <w:pgMar w:top="1431" w:right="1786" w:bottom="0" w:left="1786" w:header="0" w:footer="0" w:gutter="0"/>
          <w:pgNumType w:start="10"/>
          <w:cols w:space="708"/>
          <w:titlePg w:val="0"/>
        </w:sectPr>
      </w:pPr>
    </w:p>
    <w:p>
      <w:pPr>
        <w:spacing w:line="374" w:lineRule="auto"/>
        <w:rPr>
          <w:rFonts w:ascii="Arial"/>
          <w:sz w:val="21"/>
        </w:rPr>
      </w:pPr>
      <w:r>
        <w:pict>
          <v:shape id="_x0000_s1025" style="width:180.55pt;height:0.5pt;margin-top:103.25pt;margin-left:95.5pt;mso-position-horizontal-relative:page;mso-position-vertical-relative:page;position:absolute;z-index:251659264" coordorigin="0,0" coordsize="3611,10" o:allowincell="f" path="m,5l3610,5m,5l1990,5m1990,5l3610,5e" filled="f" strokecolor="black" strokeweight="0.5pt">
            <v:stroke joinstyle="miter"/>
          </v:shape>
        </w:pict>
      </w:r>
      <w:r>
        <w:pict>
          <v:shape id="_x0000_s1026" style="width:180.55pt;height:0.5pt;margin-top:131.25pt;margin-left:95.5pt;mso-position-horizontal-relative:page;mso-position-vertical-relative:page;position:absolute;z-index:251658240" coordorigin="0,0" coordsize="3611,10" o:allowincell="f" path="m,5l1990,5m,5l270,5m270,5l3610,5e" filled="f" strokecolor="black" strokeweight="0.5pt">
            <v:stroke joinstyle="miter"/>
          </v:shape>
        </w:pict>
      </w:r>
    </w:p>
    <w:p>
      <w:pPr>
        <w:spacing w:before="55"/>
        <w:ind w:left="586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color w:val="004F84"/>
          <w:spacing w:val="-1"/>
          <w:sz w:val="17"/>
          <w:szCs w:val="17"/>
        </w:rPr>
        <w:t>Recommendations</w:t>
      </w:r>
    </w:p>
    <w:p>
      <w:pPr>
        <w:spacing w:line="121" w:lineRule="exact"/>
      </w:pPr>
    </w:p>
    <w:p>
      <w:pPr>
        <w:spacing w:line="121" w:lineRule="exact"/>
        <w:sectPr>
          <w:pgSz w:w="11910" w:h="16840"/>
          <w:pgMar w:top="1431" w:right="1786" w:bottom="0" w:left="1373" w:header="0" w:footer="0" w:gutter="0"/>
          <w:pgNumType w:start="11"/>
          <w:cols w:num="1" w:space="708" w:equalWidth="0">
            <w:col w:w="8751" w:space="0"/>
          </w:cols>
        </w:sectPr>
      </w:pPr>
    </w:p>
    <w:p>
      <w:pPr>
        <w:spacing w:before="237" w:line="184" w:lineRule="auto"/>
        <w:ind w:left="596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1"/>
          <w:sz w:val="17"/>
          <w:szCs w:val="17"/>
        </w:rPr>
        <w:t>P*cammAfihe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32" w:line="215" w:lineRule="auto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b/>
          <w:bCs/>
          <w:spacing w:val="-4"/>
          <w:sz w:val="17"/>
          <w:szCs w:val="17"/>
        </w:rPr>
        <w:t>Sueyth</w:t>
      </w:r>
    </w:p>
    <w:p>
      <w:pPr>
        <w:spacing w:before="4" w:line="186" w:lineRule="auto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b/>
          <w:bCs/>
          <w:spacing w:val="-3"/>
          <w:sz w:val="17"/>
          <w:szCs w:val="17"/>
        </w:rPr>
        <w:t>omdGfissce</w:t>
      </w:r>
    </w:p>
    <w:p>
      <w:pPr>
        <w:spacing w:line="186" w:lineRule="auto"/>
        <w:rPr>
          <w:rFonts w:ascii="SimSun" w:eastAsia="SimSun" w:hAnsi="SimSun" w:cs="SimSun"/>
          <w:sz w:val="17"/>
          <w:szCs w:val="17"/>
        </w:rPr>
        <w:sectPr>
          <w:type w:val="continuous"/>
          <w:pgSz w:w="11910" w:h="16840"/>
          <w:pgMar w:top="1431" w:right="1786" w:bottom="0" w:left="1373" w:header="0" w:footer="0" w:gutter="0"/>
          <w:pgNumType w:start="12"/>
          <w:cols w:num="2" w:space="708" w:equalWidth="0">
            <w:col w:w="2630" w:space="100"/>
            <w:col w:w="6022" w:space="0"/>
          </w:cols>
        </w:sectPr>
      </w:pPr>
    </w:p>
    <w:p>
      <w:pPr>
        <w:spacing w:before="146" w:line="160" w:lineRule="auto"/>
        <w:ind w:left="616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4"/>
          <w:position w:val="-1"/>
          <w:sz w:val="17"/>
          <w:szCs w:val="17"/>
        </w:rPr>
        <w:t>1</w:t>
      </w:r>
      <w:r>
        <w:rPr>
          <w:rFonts w:ascii="SimSun" w:eastAsia="SimSun" w:hAnsi="SimSun" w:cs="SimSun"/>
          <w:spacing w:val="4"/>
          <w:position w:val="-1"/>
          <w:sz w:val="17"/>
          <w:szCs w:val="17"/>
        </w:rPr>
        <w:t xml:space="preserve">                 </w:t>
      </w:r>
      <w:r>
        <w:rPr>
          <w:rFonts w:ascii="SimSun" w:eastAsia="SimSun" w:hAnsi="SimSun" w:cs="SimSun"/>
          <w:spacing w:val="-4"/>
          <w:sz w:val="17"/>
          <w:szCs w:val="17"/>
        </w:rPr>
        <w:t>wunp=</w:t>
      </w:r>
    </w:p>
    <w:p>
      <w:pPr>
        <w:spacing w:line="329" w:lineRule="auto"/>
        <w:rPr>
          <w:rFonts w:ascii="Arial"/>
          <w:sz w:val="21"/>
        </w:rPr>
      </w:pPr>
    </w:p>
    <w:p>
      <w:pPr>
        <w:spacing w:before="56" w:line="178" w:lineRule="auto"/>
        <w:ind w:left="1546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z w:val="17"/>
          <w:szCs w:val="17"/>
        </w:rPr>
        <w:t>d</w:t>
      </w:r>
    </w:p>
    <w:p>
      <w:pPr>
        <w:spacing w:line="231" w:lineRule="auto"/>
        <w:ind w:left="576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1"/>
          <w:position w:val="1"/>
          <w:sz w:val="17"/>
          <w:szCs w:val="17"/>
        </w:rPr>
        <w:t>2.mkmae aattthe mntrig</w:t>
      </w:r>
      <w:r>
        <w:rPr>
          <w:rFonts w:ascii="SimSun" w:eastAsia="SimSun" w:hAnsi="SimSun" w:cs="SimSun"/>
          <w:spacing w:val="6"/>
          <w:position w:val="1"/>
          <w:sz w:val="17"/>
          <w:szCs w:val="17"/>
        </w:rPr>
        <w:t xml:space="preserve">     </w:t>
      </w:r>
      <w:r>
        <w:rPr>
          <w:rFonts w:ascii="SimSun" w:eastAsia="SimSun" w:hAnsi="SimSun" w:cs="SimSun"/>
          <w:spacing w:val="-1"/>
          <w:position w:val="-3"/>
          <w:sz w:val="17"/>
          <w:szCs w:val="17"/>
        </w:rPr>
        <w:t>Qhg</w:t>
      </w:r>
      <w:r>
        <w:rPr>
          <w:rFonts w:ascii="SimSun" w:eastAsia="SimSun" w:hAnsi="SimSun" w:cs="SimSun"/>
          <w:spacing w:val="7"/>
          <w:position w:val="-3"/>
          <w:sz w:val="17"/>
          <w:szCs w:val="17"/>
        </w:rPr>
        <w:t xml:space="preserve">     </w:t>
      </w:r>
      <w:r>
        <w:rPr>
          <w:rFonts w:ascii="SimSun" w:eastAsia="SimSun" w:hAnsi="SimSun" w:cs="SimSun"/>
          <w:spacing w:val="-1"/>
          <w:position w:val="-4"/>
          <w:sz w:val="17"/>
          <w:szCs w:val="17"/>
        </w:rPr>
        <w:t>hmh</w:t>
      </w:r>
    </w:p>
    <w:p>
      <w:pPr>
        <w:spacing w:before="73" w:line="178" w:lineRule="auto"/>
        <w:ind w:left="586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3"/>
          <w:sz w:val="17"/>
          <w:szCs w:val="17"/>
        </w:rPr>
        <w:t>di</w:t>
      </w:r>
    </w:p>
    <w:p>
      <w:pPr>
        <w:spacing w:before="1" w:line="206" w:lineRule="auto"/>
        <w:ind w:left="586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2"/>
          <w:sz w:val="17"/>
          <w:szCs w:val="17"/>
        </w:rPr>
        <w:t>3</w:t>
      </w:r>
      <w:r>
        <w:rPr>
          <w:rFonts w:ascii="SimSun" w:eastAsia="SimSun" w:hAnsi="SimSun" w:cs="SimSun"/>
          <w:spacing w:val="8"/>
          <w:sz w:val="17"/>
          <w:szCs w:val="17"/>
        </w:rPr>
        <w:t xml:space="preserve">  </w:t>
      </w:r>
      <w:r>
        <w:rPr>
          <w:rFonts w:ascii="SimSun" w:eastAsia="SimSun" w:hAnsi="SimSun" w:cs="SimSun"/>
          <w:spacing w:val="-2"/>
          <w:sz w:val="17"/>
          <w:szCs w:val="17"/>
        </w:rPr>
        <w:t>me</w:t>
      </w:r>
      <w:r>
        <w:rPr>
          <w:rFonts w:ascii="SimSun" w:eastAsia="SimSun" w:hAnsi="SimSun" w:cs="SimSun"/>
          <w:spacing w:val="10"/>
          <w:sz w:val="17"/>
          <w:szCs w:val="17"/>
        </w:rPr>
        <w:t xml:space="preserve">  </w:t>
      </w:r>
      <w:r>
        <w:rPr>
          <w:rFonts w:ascii="SimSun" w:eastAsia="SimSun" w:hAnsi="SimSun" w:cs="SimSun"/>
          <w:spacing w:val="-2"/>
          <w:sz w:val="17"/>
          <w:szCs w:val="17"/>
        </w:rPr>
        <w:t>ng</w:t>
      </w:r>
      <w:r>
        <w:rPr>
          <w:rFonts w:ascii="SimSun" w:eastAsia="SimSun" w:hAnsi="SimSun" w:cs="SimSun"/>
          <w:spacing w:val="12"/>
          <w:sz w:val="17"/>
          <w:szCs w:val="17"/>
        </w:rPr>
        <w:t xml:space="preserve">  </w:t>
      </w:r>
      <w:r>
        <w:rPr>
          <w:rFonts w:ascii="SimSun" w:eastAsia="SimSun" w:hAnsi="SimSun" w:cs="SimSun"/>
          <w:spacing w:val="-2"/>
          <w:sz w:val="17"/>
          <w:szCs w:val="17"/>
        </w:rPr>
        <w:t>osttoe</w:t>
      </w:r>
      <w:r>
        <w:rPr>
          <w:rFonts w:ascii="SimSun" w:eastAsia="SimSun" w:hAnsi="SimSun" w:cs="SimSun"/>
          <w:spacing w:val="10"/>
          <w:sz w:val="17"/>
          <w:szCs w:val="17"/>
        </w:rPr>
        <w:t xml:space="preserve">  </w:t>
      </w:r>
      <w:r>
        <w:rPr>
          <w:rFonts w:ascii="SimSun" w:eastAsia="SimSun" w:hAnsi="SimSun" w:cs="SimSun"/>
          <w:spacing w:val="-2"/>
          <w:sz w:val="17"/>
          <w:szCs w:val="17"/>
        </w:rPr>
        <w:t>nig#</w:t>
      </w:r>
    </w:p>
    <w:p>
      <w:pPr>
        <w:spacing w:before="296" w:line="181" w:lineRule="auto"/>
        <w:ind w:left="716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z w:val="17"/>
          <w:szCs w:val="17"/>
        </w:rPr>
        <w:t>t</w:t>
      </w:r>
    </w:p>
    <w:p>
      <w:pPr>
        <w:spacing w:before="1" w:line="217" w:lineRule="auto"/>
        <w:ind w:left="586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3"/>
          <w:position w:val="-1"/>
          <w:sz w:val="17"/>
          <w:szCs w:val="17"/>
        </w:rPr>
        <w:t>4</w:t>
      </w:r>
      <w:r>
        <w:rPr>
          <w:rFonts w:ascii="SimSun" w:eastAsia="SimSun" w:hAnsi="SimSun" w:cs="SimSun"/>
          <w:spacing w:val="19"/>
          <w:position w:val="-1"/>
          <w:sz w:val="17"/>
          <w:szCs w:val="17"/>
        </w:rPr>
        <w:t xml:space="preserve">   </w:t>
      </w:r>
      <w:r>
        <w:rPr>
          <w:rFonts w:ascii="SimSun" w:eastAsia="SimSun" w:hAnsi="SimSun" w:cs="SimSun"/>
          <w:spacing w:val="-3"/>
          <w:sz w:val="17"/>
          <w:szCs w:val="17"/>
        </w:rPr>
        <w:t>研</w:t>
      </w:r>
    </w:p>
    <w:p>
      <w:pPr>
        <w:spacing w:before="212" w:line="178" w:lineRule="auto"/>
        <w:ind w:left="586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4"/>
          <w:sz w:val="17"/>
          <w:szCs w:val="17"/>
        </w:rPr>
        <w:t>6</w:t>
      </w:r>
      <w:r>
        <w:rPr>
          <w:rFonts w:ascii="SimSun" w:eastAsia="SimSun" w:hAnsi="SimSun" w:cs="SimSun"/>
          <w:spacing w:val="2"/>
          <w:sz w:val="17"/>
          <w:szCs w:val="17"/>
        </w:rPr>
        <w:t xml:space="preserve">  </w:t>
      </w:r>
      <w:r>
        <w:rPr>
          <w:rFonts w:ascii="SimSun" w:eastAsia="SimSun" w:hAnsi="SimSun" w:cs="SimSun"/>
          <w:spacing w:val="-4"/>
          <w:sz w:val="17"/>
          <w:szCs w:val="17"/>
        </w:rPr>
        <w:t>*</w:t>
      </w:r>
    </w:p>
    <w:p>
      <w:pPr>
        <w:spacing w:before="1" w:line="206" w:lineRule="auto"/>
        <w:ind w:left="586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3"/>
          <w:sz w:val="17"/>
          <w:szCs w:val="17"/>
        </w:rPr>
        <w:t>esim</w:t>
      </w:r>
      <w:r>
        <w:rPr>
          <w:rFonts w:ascii="SimSun" w:eastAsia="SimSun" w:hAnsi="SimSun" w:cs="SimSun"/>
          <w:spacing w:val="20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3"/>
          <w:sz w:val="17"/>
          <w:szCs w:val="17"/>
        </w:rPr>
        <w:t>f</w:t>
      </w:r>
      <w:r>
        <w:rPr>
          <w:rFonts w:ascii="SimSun" w:eastAsia="SimSun" w:hAnsi="SimSun" w:cs="SimSun"/>
          <w:spacing w:val="11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3"/>
          <w:sz w:val="17"/>
          <w:szCs w:val="17"/>
        </w:rPr>
        <w:t>e   Aa</w:t>
      </w:r>
      <w:r>
        <w:rPr>
          <w:rFonts w:ascii="SimSun" w:eastAsia="SimSun" w:hAnsi="SimSun" w:cs="SimSun"/>
          <w:spacing w:val="2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3"/>
          <w:sz w:val="17"/>
          <w:szCs w:val="17"/>
        </w:rPr>
        <w:t>msag</w:t>
      </w:r>
    </w:p>
    <w:p>
      <w:pPr>
        <w:spacing w:before="32" w:line="183" w:lineRule="auto"/>
        <w:ind w:left="586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z w:val="17"/>
          <w:szCs w:val="17"/>
        </w:rPr>
        <w:t>4</w:t>
      </w:r>
    </w:p>
    <w:p>
      <w:pPr>
        <w:spacing w:before="110" w:line="132" w:lineRule="exact"/>
        <w:ind w:left="586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2"/>
          <w:position w:val="-2"/>
          <w:sz w:val="17"/>
          <w:szCs w:val="17"/>
        </w:rPr>
        <w:t>nnAm</w:t>
      </w:r>
    </w:p>
    <w:p>
      <w:pPr>
        <w:spacing w:before="1" w:line="221" w:lineRule="auto"/>
        <w:ind w:left="586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14"/>
          <w:sz w:val="15"/>
          <w:szCs w:val="15"/>
        </w:rPr>
        <w:t>b浓</w:t>
      </w:r>
      <w:r>
        <w:rPr>
          <w:rFonts w:ascii="SimSun" w:eastAsia="SimSun" w:hAnsi="SimSun" w:cs="SimSun"/>
          <w:sz w:val="15"/>
          <w:szCs w:val="15"/>
        </w:rPr>
        <w:t>ed</w:t>
      </w:r>
      <w:r>
        <w:rPr>
          <w:rFonts w:ascii="SimSun" w:eastAsia="SimSun" w:hAnsi="SimSun" w:cs="SimSun"/>
          <w:spacing w:val="22"/>
          <w:sz w:val="15"/>
          <w:szCs w:val="15"/>
        </w:rPr>
        <w:t xml:space="preserve"> </w:t>
      </w:r>
      <w:r>
        <w:rPr>
          <w:rFonts w:ascii="SimSun" w:eastAsia="SimSun" w:hAnsi="SimSun" w:cs="SimSun"/>
          <w:sz w:val="15"/>
          <w:szCs w:val="15"/>
        </w:rPr>
        <w:t>n</w:t>
      </w:r>
      <w:r>
        <w:rPr>
          <w:rFonts w:ascii="SimSun" w:eastAsia="SimSun" w:hAnsi="SimSun" w:cs="SimSun"/>
          <w:spacing w:val="-57"/>
          <w:sz w:val="15"/>
          <w:szCs w:val="15"/>
        </w:rPr>
        <w:t xml:space="preserve"> </w:t>
      </w:r>
      <w:r>
        <w:rPr>
          <w:rFonts w:ascii="SimSun" w:eastAsia="SimSun" w:hAnsi="SimSun" w:cs="SimSun"/>
          <w:sz w:val="15"/>
          <w:szCs w:val="15"/>
        </w:rPr>
        <w:t>dee</w:t>
      </w:r>
      <w:r>
        <w:rPr>
          <w:rFonts w:ascii="SimSun" w:eastAsia="SimSun" w:hAnsi="SimSun" w:cs="SimSun"/>
          <w:spacing w:val="26"/>
          <w:sz w:val="15"/>
          <w:szCs w:val="15"/>
        </w:rPr>
        <w:t xml:space="preserve"> </w:t>
      </w:r>
      <w:r>
        <w:rPr>
          <w:rFonts w:ascii="SimSun" w:eastAsia="SimSun" w:hAnsi="SimSun" w:cs="SimSun"/>
          <w:sz w:val="15"/>
          <w:szCs w:val="15"/>
        </w:rPr>
        <w:t>gm</w:t>
      </w:r>
    </w:p>
    <w:p>
      <w:pPr>
        <w:ind w:left="1406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z w:val="15"/>
          <w:szCs w:val="15"/>
        </w:rPr>
        <w:t>d</w:t>
      </w:r>
    </w:p>
    <w:p>
      <w:pPr>
        <w:rPr>
          <w:rFonts w:ascii="SimSun" w:eastAsia="SimSun" w:hAnsi="SimSun" w:cs="SimSun"/>
          <w:sz w:val="15"/>
          <w:szCs w:val="15"/>
        </w:rPr>
        <w:sectPr>
          <w:type w:val="continuous"/>
          <w:pgSz w:w="11910" w:h="16840"/>
          <w:pgMar w:top="1431" w:right="1786" w:bottom="0" w:left="1373" w:header="0" w:footer="0" w:gutter="0"/>
          <w:pgNumType w:start="13"/>
          <w:cols w:num="1" w:space="708" w:equalWidth="0">
            <w:col w:w="8751" w:space="0"/>
          </w:cols>
        </w:sectPr>
      </w:pPr>
    </w:p>
    <w:p>
      <w:pPr>
        <w:spacing w:before="84" w:line="182" w:lineRule="auto"/>
        <w:ind w:left="576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7"/>
          <w:sz w:val="17"/>
          <w:szCs w:val="17"/>
        </w:rPr>
        <w:t>7.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32" w:line="214" w:lineRule="auto"/>
        <w:ind w:left="85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3"/>
          <w:sz w:val="17"/>
          <w:szCs w:val="17"/>
        </w:rPr>
        <w:t>g*</w:t>
      </w:r>
    </w:p>
    <w:p>
      <w:pPr>
        <w:spacing w:before="156" w:line="184" w:lineRule="auto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2"/>
          <w:sz w:val="17"/>
          <w:szCs w:val="17"/>
        </w:rPr>
        <w:t>edmnnl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28" w:lineRule="auto"/>
        <w:rPr>
          <w:rFonts w:ascii="Arial"/>
          <w:sz w:val="21"/>
        </w:rPr>
      </w:pPr>
    </w:p>
    <w:p>
      <w:pPr>
        <w:spacing w:before="55" w:line="184" w:lineRule="auto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2"/>
          <w:sz w:val="17"/>
          <w:szCs w:val="17"/>
        </w:rPr>
        <w:t>kah</w:t>
      </w:r>
    </w:p>
    <w:p>
      <w:pPr>
        <w:spacing w:line="184" w:lineRule="auto"/>
        <w:rPr>
          <w:rFonts w:ascii="SimSun" w:eastAsia="SimSun" w:hAnsi="SimSun" w:cs="SimSun"/>
          <w:sz w:val="17"/>
          <w:szCs w:val="17"/>
        </w:rPr>
        <w:sectPr>
          <w:type w:val="continuous"/>
          <w:pgSz w:w="11910" w:h="16840"/>
          <w:pgMar w:top="1431" w:right="1786" w:bottom="0" w:left="1373" w:header="0" w:footer="0" w:gutter="0"/>
          <w:pgNumType w:start="14"/>
          <w:cols w:num="3" w:space="708" w:equalWidth="0">
            <w:col w:w="947" w:space="100"/>
            <w:col w:w="1096" w:space="100"/>
            <w:col w:w="6508" w:space="0"/>
          </w:cols>
        </w:sectPr>
      </w:pPr>
    </w:p>
    <w:p>
      <w:pPr>
        <w:spacing w:before="10" w:line="239" w:lineRule="auto"/>
        <w:ind w:left="586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4"/>
          <w:sz w:val="17"/>
          <w:szCs w:val="17"/>
        </w:rPr>
        <w:t>8.fa</w:t>
      </w:r>
      <w:r>
        <w:rPr>
          <w:rFonts w:ascii="SimSun" w:eastAsia="SimSun" w:hAnsi="SimSun" w:cs="SimSun"/>
          <w:spacing w:val="13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4"/>
          <w:sz w:val="17"/>
          <w:szCs w:val="17"/>
        </w:rPr>
        <w:t>ad</w:t>
      </w:r>
      <w:r>
        <w:rPr>
          <w:rFonts w:ascii="SimSun" w:eastAsia="SimSun" w:hAnsi="SimSun" w:cs="SimSun"/>
          <w:spacing w:val="10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4"/>
          <w:sz w:val="17"/>
          <w:szCs w:val="17"/>
        </w:rPr>
        <w:t>da</w:t>
      </w:r>
    </w:p>
    <w:p>
      <w:pPr>
        <w:spacing w:before="210"/>
        <w:ind w:left="1906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z w:val="17"/>
          <w:szCs w:val="17"/>
        </w:rPr>
        <w:t>t</w:t>
      </w:r>
    </w:p>
    <w:p>
      <w:pPr>
        <w:spacing w:before="66" w:line="222" w:lineRule="auto"/>
        <w:ind w:left="866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1"/>
          <w:sz w:val="15"/>
          <w:szCs w:val="15"/>
        </w:rPr>
        <w:t>nnlr*</w:t>
      </w:r>
    </w:p>
    <w:p>
      <w:pPr>
        <w:spacing w:line="239" w:lineRule="auto"/>
        <w:ind w:left="1126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2"/>
          <w:sz w:val="15"/>
          <w:szCs w:val="15"/>
        </w:rPr>
        <w:t>te</w:t>
      </w:r>
      <w:r>
        <w:rPr>
          <w:rFonts w:ascii="SimSun" w:eastAsia="SimSun" w:hAnsi="SimSun" w:cs="SimSun"/>
          <w:spacing w:val="12"/>
          <w:sz w:val="15"/>
          <w:szCs w:val="15"/>
        </w:rPr>
        <w:t xml:space="preserve">   </w:t>
      </w:r>
      <w:r>
        <w:rPr>
          <w:rFonts w:ascii="SimSun" w:eastAsia="SimSun" w:hAnsi="SimSun" w:cs="SimSun"/>
          <w:spacing w:val="-2"/>
          <w:sz w:val="15"/>
          <w:szCs w:val="15"/>
        </w:rPr>
        <w:t>ned</w:t>
      </w:r>
      <w:r>
        <w:rPr>
          <w:rFonts w:ascii="SimSun" w:eastAsia="SimSun" w:hAnsi="SimSun" w:cs="SimSun"/>
          <w:spacing w:val="12"/>
          <w:sz w:val="15"/>
          <w:szCs w:val="15"/>
        </w:rPr>
        <w:t xml:space="preserve">   </w:t>
      </w:r>
      <w:r>
        <w:rPr>
          <w:rFonts w:ascii="SimSun" w:eastAsia="SimSun" w:hAnsi="SimSun" w:cs="SimSun"/>
          <w:spacing w:val="-2"/>
          <w:sz w:val="15"/>
          <w:szCs w:val="15"/>
        </w:rPr>
        <w:t>aactae</w:t>
      </w:r>
    </w:p>
    <w:p>
      <w:pPr>
        <w:spacing w:before="3" w:line="94" w:lineRule="exact"/>
        <w:ind w:left="726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2"/>
          <w:sz w:val="15"/>
          <w:szCs w:val="15"/>
        </w:rPr>
        <w:t>ng</w:t>
      </w:r>
    </w:p>
    <w:p>
      <w:pPr>
        <w:spacing w:before="1" w:line="195" w:lineRule="auto"/>
        <w:ind w:left="1046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5"/>
          <w:sz w:val="15"/>
          <w:szCs w:val="15"/>
        </w:rPr>
        <w:t>ln</w:t>
      </w:r>
      <w:r>
        <w:rPr>
          <w:rFonts w:ascii="SimSun" w:eastAsia="SimSun" w:hAnsi="SimSun" w:cs="SimSun"/>
          <w:spacing w:val="11"/>
          <w:sz w:val="15"/>
          <w:szCs w:val="15"/>
        </w:rPr>
        <w:t xml:space="preserve">      </w:t>
      </w:r>
      <w:r>
        <w:rPr>
          <w:rFonts w:ascii="SimSun" w:eastAsia="SimSun" w:hAnsi="SimSun" w:cs="SimSun"/>
          <w:spacing w:val="-5"/>
          <w:sz w:val="15"/>
          <w:szCs w:val="15"/>
        </w:rPr>
        <w:t>y</w:t>
      </w:r>
    </w:p>
    <w:p>
      <w:pPr>
        <w:spacing w:line="208" w:lineRule="auto"/>
        <w:ind w:left="876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1"/>
          <w:sz w:val="15"/>
          <w:szCs w:val="15"/>
        </w:rPr>
        <w:t>m atle</w:t>
      </w:r>
      <w:r>
        <w:rPr>
          <w:rFonts w:ascii="SimSun" w:eastAsia="SimSun" w:hAnsi="SimSun" w:cs="SimSun"/>
          <w:spacing w:val="10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1"/>
          <w:sz w:val="15"/>
          <w:szCs w:val="15"/>
        </w:rPr>
        <w:t>tuteng</w:t>
      </w:r>
      <w:r>
        <w:rPr>
          <w:rFonts w:ascii="SimSun" w:eastAsia="SimSun" w:hAnsi="SimSun" w:cs="SimSun"/>
          <w:spacing w:val="15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1"/>
          <w:sz w:val="15"/>
          <w:szCs w:val="15"/>
        </w:rPr>
        <w:t>i</w:t>
      </w:r>
    </w:p>
    <w:p>
      <w:pPr>
        <w:spacing w:line="197" w:lineRule="auto"/>
        <w:ind w:left="916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3"/>
          <w:sz w:val="15"/>
          <w:szCs w:val="15"/>
        </w:rPr>
        <w:t>dne</w:t>
      </w:r>
    </w:p>
    <w:p>
      <w:pPr>
        <w:spacing w:line="226" w:lineRule="auto"/>
        <w:ind w:left="836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2"/>
          <w:sz w:val="15"/>
          <w:szCs w:val="15"/>
        </w:rPr>
        <w:t>ndte</w:t>
      </w:r>
      <w:r>
        <w:rPr>
          <w:rFonts w:ascii="SimSun" w:eastAsia="SimSun" w:hAnsi="SimSun" w:cs="SimSun"/>
          <w:spacing w:val="3"/>
          <w:sz w:val="15"/>
          <w:szCs w:val="15"/>
        </w:rPr>
        <w:t xml:space="preserve">          </w:t>
      </w:r>
      <w:r>
        <w:rPr>
          <w:rFonts w:ascii="SimSun" w:eastAsia="SimSun" w:hAnsi="SimSun" w:cs="SimSun"/>
          <w:spacing w:val="-2"/>
          <w:sz w:val="15"/>
          <w:szCs w:val="15"/>
        </w:rPr>
        <w:t>nrher</w:t>
      </w:r>
    </w:p>
    <w:p>
      <w:pPr>
        <w:spacing w:line="183" w:lineRule="auto"/>
        <w:ind w:left="746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1"/>
          <w:sz w:val="15"/>
          <w:szCs w:val="15"/>
        </w:rPr>
        <w:t>498n</w:t>
      </w:r>
    </w:p>
    <w:p>
      <w:pPr>
        <w:pStyle w:val="BodyText"/>
        <w:spacing w:before="319" w:line="217" w:lineRule="auto"/>
        <w:ind w:left="426"/>
      </w:pPr>
      <w:r>
        <w:rPr>
          <w:spacing w:val="-6"/>
        </w:rPr>
        <w:t>①</w:t>
      </w:r>
      <w:r>
        <w:rPr>
          <w:spacing w:val="-6"/>
        </w:rPr>
        <w:t xml:space="preserve"> </w:t>
      </w:r>
      <w:r>
        <w:rPr>
          <w:spacing w:val="-6"/>
        </w:rPr>
        <w:t>不推荐单独进行临床评估(抬头、握手等),以避免肌松残余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pStyle w:val="BodyText"/>
        <w:spacing w:before="88" w:line="645" w:lineRule="exact"/>
        <w:ind w:right="18"/>
        <w:jc w:val="right"/>
      </w:pPr>
      <w:r>
        <w:rPr>
          <w:spacing w:val="6"/>
          <w:position w:val="29"/>
        </w:rPr>
        <w:t>0相比于定性肌松监测(周围神经刺激仪等),推荐使用定量肌松监测，</w:t>
      </w:r>
    </w:p>
    <w:p>
      <w:pPr>
        <w:pStyle w:val="BodyText"/>
        <w:spacing w:before="1" w:line="216" w:lineRule="auto"/>
        <w:ind w:left="426"/>
      </w:pPr>
      <w:r>
        <w:rPr>
          <w:spacing w:val="-11"/>
        </w:rPr>
        <w:t>因为定量肌松监测可以最大程度规避肌松残余的发生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  <w:sectPr>
          <w:type w:val="continuous"/>
          <w:pgSz w:w="11910" w:h="16840"/>
          <w:pgMar w:top="1431" w:right="1786" w:bottom="0" w:left="1373" w:header="0" w:footer="0" w:gutter="0"/>
          <w:pgNumType w:start="15"/>
          <w:cols w:num="1" w:space="708" w:equalWidth="0">
            <w:col w:w="8751" w:space="0"/>
          </w:cols>
        </w:sectPr>
      </w:pPr>
    </w:p>
    <w:p>
      <w:pPr>
        <w:spacing w:line="275" w:lineRule="auto"/>
        <w:rPr>
          <w:rFonts w:ascii="Arial"/>
          <w:sz w:val="21"/>
        </w:rPr>
      </w:pPr>
    </w:p>
    <w:p>
      <w:pPr>
        <w:pStyle w:val="BodyText"/>
        <w:spacing w:before="88" w:line="213" w:lineRule="auto"/>
        <w:ind w:left="426"/>
        <w:rPr>
          <w:rFonts w:ascii="Times New Roman" w:eastAsia="Times New Roman" w:hAnsi="Times New Roman" w:cs="Times New Roman"/>
        </w:rPr>
      </w:pPr>
      <w:r>
        <w:rPr>
          <w:spacing w:val="3"/>
        </w:rPr>
        <w:t>0当使用定量肌松监测时，推荐在拔管时</w:t>
      </w:r>
      <w:r>
        <w:rPr>
          <w:rFonts w:ascii="Times New Roman" w:eastAsia="Times New Roman" w:hAnsi="Times New Roman" w:cs="Times New Roman"/>
        </w:rPr>
        <w:t>TOFr</w:t>
      </w:r>
      <w:r>
        <w:rPr>
          <w:rFonts w:ascii="Times New Roman" w:eastAsia="Times New Roman" w:hAnsi="Times New Roman" w:cs="Times New Roman"/>
          <w:spacing w:val="3"/>
        </w:rPr>
        <w:t>≥0.9</w:t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pStyle w:val="BodyText"/>
        <w:spacing w:before="88" w:line="220" w:lineRule="auto"/>
        <w:ind w:left="426"/>
      </w:pPr>
      <w:r>
        <w:rPr>
          <w:spacing w:val="-13"/>
        </w:rPr>
        <w:t>①</w:t>
      </w:r>
      <w:r>
        <w:rPr>
          <w:spacing w:val="-13"/>
        </w:rPr>
        <w:t xml:space="preserve"> </w:t>
      </w:r>
      <w:r>
        <w:rPr>
          <w:spacing w:val="-13"/>
        </w:rPr>
        <w:t>推荐使用拇收肌进行肌松监测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pStyle w:val="BodyText"/>
        <w:spacing w:before="87" w:line="187" w:lineRule="auto"/>
        <w:ind w:left="426"/>
      </w:pPr>
      <w:r>
        <w:rPr>
          <w:spacing w:val="2"/>
        </w:rPr>
        <w:t>0不推荐使用眼部的肌肉进行肌松监测</w:t>
      </w:r>
    </w:p>
    <w:p>
      <w:pPr>
        <w:spacing w:line="187" w:lineRule="auto"/>
        <w:sectPr>
          <w:type w:val="nextPage"/>
          <w:pgSz w:w="11910" w:h="16840"/>
          <w:pgMar w:top="1431" w:right="1786" w:bottom="0" w:left="1373" w:header="0" w:footer="0" w:gutter="0"/>
          <w:pgNumType w:start="16"/>
          <w:cols w:num="1" w:space="708" w:equalWidth="0">
            <w:col w:w="8751" w:space="0"/>
          </w:cols>
          <w:titlePg w:val="0"/>
        </w:sectPr>
      </w:pPr>
    </w:p>
    <w:p>
      <w:pPr>
        <w:pStyle w:val="BodyText"/>
        <w:spacing w:before="155" w:line="640" w:lineRule="exact"/>
      </w:pPr>
      <w:r>
        <w:rPr>
          <w:spacing w:val="-13"/>
          <w:position w:val="28"/>
        </w:rPr>
        <w:t>①</w:t>
      </w:r>
      <w:r>
        <w:rPr>
          <w:spacing w:val="-33"/>
          <w:position w:val="28"/>
        </w:rPr>
        <w:t xml:space="preserve"> </w:t>
      </w:r>
      <w:r>
        <w:rPr>
          <w:spacing w:val="-13"/>
          <w:position w:val="28"/>
        </w:rPr>
        <w:t>在罗库溴铵或维库溴铵诱导的深度、中度和浅度</w:t>
      </w:r>
      <w:r>
        <w:rPr>
          <w:spacing w:val="-14"/>
          <w:position w:val="28"/>
        </w:rPr>
        <w:t>神经肌肉阻滞中，相比</w:t>
      </w:r>
    </w:p>
    <w:p>
      <w:pPr>
        <w:pStyle w:val="BodyText"/>
        <w:spacing w:before="1" w:line="212" w:lineRule="auto"/>
      </w:pPr>
      <w:r>
        <w:rPr>
          <w:spacing w:val="-14"/>
        </w:rPr>
        <w:t>于新斯的明拮抗，推荐舒更葡糖钠。</w:t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pStyle w:val="BodyText"/>
        <w:spacing w:before="87" w:line="611" w:lineRule="exact"/>
      </w:pPr>
      <w:r>
        <w:rPr>
          <w:spacing w:val="-4"/>
          <w:position w:val="25"/>
        </w:rPr>
        <w:t>①</w:t>
      </w:r>
      <w:r>
        <w:rPr>
          <w:spacing w:val="-16"/>
          <w:position w:val="25"/>
        </w:rPr>
        <w:t xml:space="preserve"> </w:t>
      </w:r>
      <w:r>
        <w:rPr>
          <w:spacing w:val="-4"/>
          <w:position w:val="25"/>
        </w:rPr>
        <w:t>推荐在最小深度肌松阻滞</w:t>
      </w:r>
      <w:r>
        <w:rPr>
          <w:rFonts w:ascii="SimSun" w:eastAsia="SimSun" w:hAnsi="SimSun" w:cs="SimSun"/>
          <w:spacing w:val="-4"/>
          <w:position w:val="25"/>
        </w:rPr>
        <w:t>(TOFr=0.4-0.9)</w:t>
      </w:r>
      <w:r>
        <w:rPr>
          <w:rFonts w:ascii="SimSun" w:eastAsia="SimSun" w:hAnsi="SimSun" w:cs="SimSun"/>
          <w:spacing w:val="103"/>
          <w:position w:val="25"/>
        </w:rPr>
        <w:t xml:space="preserve"> </w:t>
      </w:r>
      <w:r>
        <w:rPr>
          <w:spacing w:val="-4"/>
          <w:position w:val="25"/>
        </w:rPr>
        <w:t>时使用新斯的明替代舒更</w:t>
      </w:r>
    </w:p>
    <w:p>
      <w:pPr>
        <w:pStyle w:val="BodyText"/>
        <w:spacing w:before="1" w:line="220" w:lineRule="auto"/>
      </w:pPr>
      <w:r>
        <w:rPr>
          <w:spacing w:val="-2"/>
        </w:rPr>
        <w:t>葡糖钠进行肌松拮抗(可能主要考虑舒更葡糖的经济成本较高)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pStyle w:val="BodyText"/>
        <w:spacing w:before="88" w:line="434" w:lineRule="auto"/>
        <w:ind w:right="27"/>
        <w:jc w:val="both"/>
      </w:pPr>
      <w:r>
        <w:rPr>
          <w:spacing w:val="-10"/>
        </w:rPr>
        <w:t>在使用顺式阿曲库铵并使用定性评估时，为避</w:t>
      </w:r>
      <w:r>
        <w:rPr>
          <w:spacing w:val="-11"/>
        </w:rPr>
        <w:t>免肌松残余，建议在最小神</w:t>
      </w:r>
      <w:r>
        <w:t xml:space="preserve"> </w:t>
      </w:r>
      <w:r>
        <w:rPr>
          <w:spacing w:val="-10"/>
        </w:rPr>
        <w:t>经肌肉阻滞深度下使用新斯的明。在没有定量监测的情况下</w:t>
      </w:r>
      <w:r>
        <w:rPr>
          <w:spacing w:val="-11"/>
        </w:rPr>
        <w:t>，从新斯的明</w:t>
      </w:r>
      <w:r>
        <w:t xml:space="preserve"> </w:t>
      </w:r>
      <w:r>
        <w:rPr>
          <w:spacing w:val="-2"/>
        </w:rPr>
        <w:t>使用到拔管至少需要10分钟。采用定量监测时，只要确认</w:t>
      </w:r>
      <w:r>
        <w:rPr>
          <w:rFonts w:ascii="SimSun" w:eastAsia="SimSun" w:hAnsi="SimSun" w:cs="SimSun"/>
          <w:spacing w:val="-2"/>
        </w:rPr>
        <w:t>TOFr≥0.9,</w:t>
      </w:r>
      <w:r>
        <w:rPr>
          <w:spacing w:val="-2"/>
        </w:rPr>
        <w:t>即</w:t>
      </w:r>
    </w:p>
    <w:p>
      <w:pPr>
        <w:pStyle w:val="BodyText"/>
        <w:spacing w:before="1" w:line="221" w:lineRule="auto"/>
      </w:pPr>
      <w:r>
        <w:rPr>
          <w:spacing w:val="-20"/>
        </w:rPr>
        <w:t>可拔管。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pStyle w:val="BodyText"/>
        <w:spacing w:before="88" w:line="212" w:lineRule="auto"/>
      </w:pPr>
      <w:r>
        <w:rPr>
          <w:spacing w:val="-5"/>
        </w:rPr>
        <w:t>2.2020法国麻醉与重症医学会</w:t>
      </w:r>
      <w:r>
        <w:rPr>
          <w:spacing w:val="-3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(SFAR</w:t>
      </w:r>
      <w:r>
        <w:rPr>
          <w:rFonts w:ascii="Times New Roman" w:eastAsia="Times New Roman" w:hAnsi="Times New Roman" w:cs="Times New Roman"/>
          <w:spacing w:val="-6"/>
        </w:rPr>
        <w:t>)</w:t>
      </w:r>
      <w:r>
        <w:rPr>
          <w:spacing w:val="-6"/>
        </w:rPr>
        <w:t>麻醉中肌肉松弛剂和逆转指南</w:t>
      </w:r>
    </w:p>
    <w:p>
      <w:pPr>
        <w:spacing w:line="284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pStyle w:val="BodyText"/>
        <w:spacing w:before="89" w:line="424" w:lineRule="auto"/>
        <w:ind w:right="38"/>
        <w:jc w:val="both"/>
      </w:pPr>
      <w:r>
        <w:rPr>
          <w:spacing w:val="-2"/>
        </w:rPr>
        <w:t>2020发表的法国麻醉与重症医学会</w:t>
      </w:r>
      <w:r>
        <w:rPr>
          <w:rFonts w:ascii="SimSun" w:eastAsia="SimSun" w:hAnsi="SimSun" w:cs="SimSun"/>
          <w:spacing w:val="-2"/>
        </w:rPr>
        <w:t xml:space="preserve">(SFAR)  </w:t>
      </w:r>
      <w:r>
        <w:rPr>
          <w:spacing w:val="-2"/>
        </w:rPr>
        <w:t>麻醉中肌肉松弛剂和逆转指</w:t>
      </w:r>
      <w:r>
        <w:rPr>
          <w:spacing w:val="7"/>
        </w:rPr>
        <w:t xml:space="preserve"> </w:t>
      </w:r>
      <w:r>
        <w:rPr>
          <w:spacing w:val="-10"/>
        </w:rPr>
        <w:t>南</w:t>
      </w:r>
      <w:r>
        <w:rPr>
          <w:spacing w:val="-14"/>
        </w:rPr>
        <w:t xml:space="preserve"> </w:t>
      </w:r>
      <w:r>
        <w:rPr>
          <w:spacing w:val="-10"/>
        </w:rPr>
        <w:t>中</w:t>
      </w:r>
      <w:r>
        <w:rPr>
          <w:spacing w:val="-64"/>
        </w:rPr>
        <w:t xml:space="preserve"> </w:t>
      </w:r>
      <w:r>
        <w:rPr>
          <w:spacing w:val="-10"/>
        </w:rPr>
        <w:t>，</w:t>
      </w:r>
      <w:r>
        <w:rPr>
          <w:rFonts w:ascii="SimSun" w:eastAsia="SimSun" w:hAnsi="SimSun" w:cs="SimSun"/>
          <w:spacing w:val="-10"/>
        </w:rPr>
        <w:t>SFAR</w:t>
      </w:r>
      <w:r>
        <w:rPr>
          <w:rFonts w:ascii="SimSun" w:eastAsia="SimSun" w:hAnsi="SimSun" w:cs="SimSun"/>
          <w:spacing w:val="47"/>
        </w:rPr>
        <w:t xml:space="preserve"> </w:t>
      </w:r>
      <w:r>
        <w:rPr>
          <w:spacing w:val="-10"/>
        </w:rPr>
        <w:t>就肌松与气道管理、肌松监测、肌松残余、肌松拮抗等8个</w:t>
      </w:r>
      <w:r>
        <w:t xml:space="preserve"> </w:t>
      </w:r>
      <w:r>
        <w:rPr>
          <w:spacing w:val="-11"/>
        </w:rPr>
        <w:t>问题召集专家对近期文献进行分析评估并展开专家讨论，最后专家组提出</w:t>
      </w:r>
    </w:p>
    <w:p>
      <w:pPr>
        <w:pStyle w:val="BodyText"/>
        <w:spacing w:before="1" w:line="220" w:lineRule="auto"/>
      </w:pPr>
      <w:r>
        <w:t>了31项推荐意见。重点推荐意见如下：</w:t>
      </w:r>
    </w:p>
    <w:p>
      <w:pPr>
        <w:spacing w:line="287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pStyle w:val="BodyText"/>
        <w:spacing w:before="88" w:line="220" w:lineRule="auto"/>
      </w:pPr>
      <w:r>
        <w:rPr>
          <w:spacing w:val="-4"/>
        </w:rPr>
        <w:t>①</w:t>
      </w:r>
      <w:r>
        <w:rPr>
          <w:spacing w:val="-27"/>
        </w:rPr>
        <w:t xml:space="preserve"> </w:t>
      </w:r>
      <w:r>
        <w:rPr>
          <w:spacing w:val="-4"/>
        </w:rPr>
        <w:t>推荐术中使用神经肌肉功能监测(1+强推荐)</w:t>
      </w:r>
    </w:p>
    <w:p>
      <w:pPr>
        <w:spacing w:line="275" w:lineRule="auto"/>
        <w:rPr>
          <w:rFonts w:ascii="Arial"/>
          <w:sz w:val="21"/>
        </w:rPr>
      </w:pPr>
      <w:r>
        <w:rPr>
          <w:rFonts w:ascii="Arial"/>
          <w:sz w:val="21"/>
        </w:rPr>
        <w:br/>
      </w:r>
      <w:r>
        <w:rPr>
          <w:rFonts w:ascii="Arial"/>
          <w:sz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https://d.book118.com/066223100132010052</w:t>
        </w:r>
      </w:hyperlink>
    </w:p>
    <w:p>
      <w:pPr>
        <w:spacing w:line="275" w:lineRule="auto"/>
        <w:rPr>
          <w:rFonts w:ascii="Arial"/>
          <w:sz w:val="21"/>
        </w:rPr>
      </w:pPr>
    </w:p>
    <w:sectPr>
      <w:pgSz w:w="11910" w:h="16840"/>
      <w:pgMar w:top="1431" w:right="1786" w:bottom="0" w:left="1779" w:header="0" w:footer="0" w:gutter="0"/>
      <w:pgNumType w:start="1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Hei" w:eastAsia="SimHei" w:hAnsi="SimHei" w:cs="SimHei"/>
      <w:sz w:val="27"/>
      <w:szCs w:val="27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5"/>
      <w:szCs w:val="15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6622310013201005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2024-02-26T18:11:43Z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2024-02-26T18:11:45Z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65dc63dcead9b8001fb105efwl</vt:lpwstr>
  </property>
</Properties>
</file>