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烧结空心砖(粘土砖、页岩砖、煤矸石砖、粉煤灰砖)项目规划设计蓝图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649" w:history="1">
        <w:r>
          <w:rPr>
            <w:rFonts w:ascii="仿宋" w:eastAsia="仿宋" w:hAnsi="仿宋" w:cs="仿宋" w:hint="eastAsia"/>
            <w:lang w:eastAsia="zh-CN"/>
          </w:rPr>
          <w:t>序言</w:t>
        </w:r>
        <w:r>
          <w:tab/>
        </w:r>
        <w:r>
          <w:fldChar w:fldCharType="begin"/>
        </w:r>
        <w:r>
          <w:instrText xml:space="preserve"> PAGEREF _Toc9649 \h </w:instrText>
        </w:r>
        <w:r>
          <w:fldChar w:fldCharType="separate"/>
        </w:r>
        <w:r>
          <w:t>3</w:t>
        </w:r>
        <w:r>
          <w:fldChar w:fldCharType="end"/>
        </w:r>
      </w:hyperlink>
    </w:p>
    <w:p>
      <w:pPr>
        <w:pStyle w:val="TOC1"/>
        <w:tabs>
          <w:tab w:val="right" w:leader="dot" w:pos="8306"/>
        </w:tabs>
      </w:pPr>
      <w:hyperlink w:anchor="_Toc17321" w:history="1">
        <w:r>
          <w:rPr>
            <w:rFonts w:ascii="仿宋" w:eastAsia="仿宋" w:hAnsi="仿宋" w:cs="仿宋" w:hint="eastAsia"/>
            <w:lang w:eastAsia="zh-CN"/>
          </w:rPr>
          <w:t>一、烧结空心砖(粘土砖、页岩砖、煤矸石砖、粉煤灰砖)项目文档管理</w:t>
        </w:r>
        <w:r>
          <w:tab/>
        </w:r>
        <w:r>
          <w:fldChar w:fldCharType="begin"/>
        </w:r>
        <w:r>
          <w:instrText xml:space="preserve"> PAGEREF _Toc17321 \h </w:instrText>
        </w:r>
        <w:r>
          <w:fldChar w:fldCharType="separate"/>
        </w:r>
        <w:r>
          <w:t>3</w:t>
        </w:r>
        <w:r>
          <w:fldChar w:fldCharType="end"/>
        </w:r>
      </w:hyperlink>
    </w:p>
    <w:p>
      <w:pPr>
        <w:pStyle w:val="TOC2"/>
        <w:tabs>
          <w:tab w:val="right" w:leader="dot" w:pos="8306"/>
        </w:tabs>
      </w:pPr>
      <w:hyperlink w:anchor="_Toc19651" w:history="1">
        <w:r>
          <w:rPr>
            <w:rFonts w:ascii="仿宋" w:eastAsia="仿宋" w:hAnsi="仿宋" w:cs="仿宋" w:hint="eastAsia"/>
            <w:lang w:eastAsia="zh-CN"/>
          </w:rPr>
          <w:t>(一)、文档编制与审查</w:t>
        </w:r>
        <w:r>
          <w:tab/>
        </w:r>
        <w:r>
          <w:fldChar w:fldCharType="begin"/>
        </w:r>
        <w:r>
          <w:instrText xml:space="preserve"> PAGEREF _Toc19651 \h </w:instrText>
        </w:r>
        <w:r>
          <w:fldChar w:fldCharType="separate"/>
        </w:r>
        <w:r>
          <w:t>3</w:t>
        </w:r>
        <w:r>
          <w:fldChar w:fldCharType="end"/>
        </w:r>
      </w:hyperlink>
    </w:p>
    <w:p>
      <w:pPr>
        <w:pStyle w:val="TOC2"/>
        <w:tabs>
          <w:tab w:val="right" w:leader="dot" w:pos="8306"/>
        </w:tabs>
      </w:pPr>
      <w:hyperlink w:anchor="_Toc22243" w:history="1">
        <w:r>
          <w:rPr>
            <w:rFonts w:ascii="仿宋" w:eastAsia="仿宋" w:hAnsi="仿宋" w:cs="仿宋" w:hint="eastAsia"/>
            <w:lang w:eastAsia="zh-CN"/>
          </w:rPr>
          <w:t>(二)、文档发布与分发</w:t>
        </w:r>
        <w:r>
          <w:tab/>
        </w:r>
        <w:r>
          <w:fldChar w:fldCharType="begin"/>
        </w:r>
        <w:r>
          <w:instrText xml:space="preserve"> PAGEREF _Toc22243 \h </w:instrText>
        </w:r>
        <w:r>
          <w:fldChar w:fldCharType="separate"/>
        </w:r>
        <w:r>
          <w:t>5</w:t>
        </w:r>
        <w:r>
          <w:fldChar w:fldCharType="end"/>
        </w:r>
      </w:hyperlink>
    </w:p>
    <w:p>
      <w:pPr>
        <w:pStyle w:val="TOC2"/>
        <w:tabs>
          <w:tab w:val="right" w:leader="dot" w:pos="8306"/>
        </w:tabs>
      </w:pPr>
      <w:hyperlink w:anchor="_Toc7402" w:history="1">
        <w:r>
          <w:rPr>
            <w:rFonts w:ascii="仿宋" w:eastAsia="仿宋" w:hAnsi="仿宋" w:cs="仿宋" w:hint="eastAsia"/>
            <w:lang w:eastAsia="zh-CN"/>
          </w:rPr>
          <w:t>(三)、文档存档与归档</w:t>
        </w:r>
        <w:r>
          <w:tab/>
        </w:r>
        <w:r>
          <w:fldChar w:fldCharType="begin"/>
        </w:r>
        <w:r>
          <w:instrText xml:space="preserve"> PAGEREF _Toc7402 \h </w:instrText>
        </w:r>
        <w:r>
          <w:fldChar w:fldCharType="separate"/>
        </w:r>
        <w:r>
          <w:t>6</w:t>
        </w:r>
        <w:r>
          <w:fldChar w:fldCharType="end"/>
        </w:r>
      </w:hyperlink>
    </w:p>
    <w:p>
      <w:pPr>
        <w:pStyle w:val="TOC1"/>
        <w:tabs>
          <w:tab w:val="right" w:leader="dot" w:pos="8306"/>
        </w:tabs>
      </w:pPr>
      <w:hyperlink w:anchor="_Toc24461" w:history="1">
        <w:r>
          <w:rPr>
            <w:rFonts w:ascii="仿宋" w:eastAsia="仿宋" w:hAnsi="仿宋" w:cs="仿宋" w:hint="eastAsia"/>
            <w:lang w:eastAsia="zh-CN"/>
          </w:rPr>
          <w:t>二、烧结空心砖(粘土砖、页岩砖、煤矸石砖、粉煤灰砖)项目土建工程</w:t>
        </w:r>
        <w:r>
          <w:tab/>
        </w:r>
        <w:r>
          <w:fldChar w:fldCharType="begin"/>
        </w:r>
        <w:r>
          <w:instrText xml:space="preserve"> PAGEREF _Toc24461 \h </w:instrText>
        </w:r>
        <w:r>
          <w:fldChar w:fldCharType="separate"/>
        </w:r>
        <w:r>
          <w:t>7</w:t>
        </w:r>
        <w:r>
          <w:fldChar w:fldCharType="end"/>
        </w:r>
      </w:hyperlink>
    </w:p>
    <w:p>
      <w:pPr>
        <w:pStyle w:val="TOC2"/>
        <w:tabs>
          <w:tab w:val="right" w:leader="dot" w:pos="8306"/>
        </w:tabs>
      </w:pPr>
      <w:hyperlink w:anchor="_Toc21419" w:history="1">
        <w:r>
          <w:rPr>
            <w:rFonts w:ascii="仿宋" w:eastAsia="仿宋" w:hAnsi="仿宋" w:cs="仿宋" w:hint="eastAsia"/>
            <w:lang w:eastAsia="zh-CN"/>
          </w:rPr>
          <w:t>(一)、建筑工程设计原则</w:t>
        </w:r>
        <w:r>
          <w:tab/>
        </w:r>
        <w:r>
          <w:fldChar w:fldCharType="begin"/>
        </w:r>
        <w:r>
          <w:instrText xml:space="preserve"> PAGEREF _Toc21419 \h </w:instrText>
        </w:r>
        <w:r>
          <w:fldChar w:fldCharType="separate"/>
        </w:r>
        <w:r>
          <w:t>7</w:t>
        </w:r>
        <w:r>
          <w:fldChar w:fldCharType="end"/>
        </w:r>
      </w:hyperlink>
    </w:p>
    <w:p>
      <w:pPr>
        <w:pStyle w:val="TOC2"/>
        <w:tabs>
          <w:tab w:val="right" w:leader="dot" w:pos="8306"/>
        </w:tabs>
      </w:pPr>
      <w:hyperlink w:anchor="_Toc5297" w:history="1">
        <w:r>
          <w:rPr>
            <w:rFonts w:ascii="仿宋" w:eastAsia="仿宋" w:hAnsi="仿宋" w:cs="仿宋" w:hint="eastAsia"/>
            <w:lang w:eastAsia="zh-CN"/>
          </w:rPr>
          <w:t>(二)、土建工程设计年限及安全等级</w:t>
        </w:r>
        <w:r>
          <w:tab/>
        </w:r>
        <w:r>
          <w:fldChar w:fldCharType="begin"/>
        </w:r>
        <w:r>
          <w:instrText xml:space="preserve"> PAGEREF _Toc5297 \h </w:instrText>
        </w:r>
        <w:r>
          <w:fldChar w:fldCharType="separate"/>
        </w:r>
        <w:r>
          <w:t>8</w:t>
        </w:r>
        <w:r>
          <w:fldChar w:fldCharType="end"/>
        </w:r>
      </w:hyperlink>
    </w:p>
    <w:p>
      <w:pPr>
        <w:pStyle w:val="TOC2"/>
        <w:tabs>
          <w:tab w:val="right" w:leader="dot" w:pos="8306"/>
        </w:tabs>
      </w:pPr>
      <w:hyperlink w:anchor="_Toc17712" w:history="1">
        <w:r>
          <w:rPr>
            <w:rFonts w:ascii="仿宋" w:eastAsia="仿宋" w:hAnsi="仿宋" w:cs="仿宋" w:hint="eastAsia"/>
            <w:lang w:eastAsia="zh-CN"/>
          </w:rPr>
          <w:t>(三)、建筑工程设计总体要求</w:t>
        </w:r>
        <w:r>
          <w:tab/>
        </w:r>
        <w:r>
          <w:fldChar w:fldCharType="begin"/>
        </w:r>
        <w:r>
          <w:instrText xml:space="preserve"> PAGEREF _Toc17712 \h </w:instrText>
        </w:r>
        <w:r>
          <w:fldChar w:fldCharType="separate"/>
        </w:r>
        <w:r>
          <w:t>10</w:t>
        </w:r>
        <w:r>
          <w:fldChar w:fldCharType="end"/>
        </w:r>
      </w:hyperlink>
    </w:p>
    <w:p>
      <w:pPr>
        <w:pStyle w:val="TOC2"/>
        <w:tabs>
          <w:tab w:val="right" w:leader="dot" w:pos="8306"/>
        </w:tabs>
      </w:pPr>
      <w:hyperlink w:anchor="_Toc13803" w:history="1">
        <w:r>
          <w:rPr>
            <w:rFonts w:ascii="仿宋" w:eastAsia="仿宋" w:hAnsi="仿宋" w:cs="仿宋" w:hint="eastAsia"/>
            <w:lang w:eastAsia="zh-CN"/>
          </w:rPr>
          <w:t>(四)、土建工程建设指标</w:t>
        </w:r>
        <w:r>
          <w:tab/>
        </w:r>
        <w:r>
          <w:fldChar w:fldCharType="begin"/>
        </w:r>
        <w:r>
          <w:instrText xml:space="preserve"> PAGEREF _Toc13803 \h </w:instrText>
        </w:r>
        <w:r>
          <w:fldChar w:fldCharType="separate"/>
        </w:r>
        <w:r>
          <w:t>10</w:t>
        </w:r>
        <w:r>
          <w:fldChar w:fldCharType="end"/>
        </w:r>
      </w:hyperlink>
    </w:p>
    <w:p>
      <w:pPr>
        <w:pStyle w:val="TOC1"/>
        <w:tabs>
          <w:tab w:val="right" w:leader="dot" w:pos="8306"/>
        </w:tabs>
      </w:pPr>
      <w:hyperlink w:anchor="_Toc1601" w:history="1">
        <w:r>
          <w:rPr>
            <w:rFonts w:ascii="仿宋" w:eastAsia="仿宋" w:hAnsi="仿宋" w:cs="仿宋" w:hint="eastAsia"/>
            <w:lang w:eastAsia="zh-CN"/>
          </w:rPr>
          <w:t>三、烧结空心砖(粘土砖、页岩砖、煤矸石砖、粉煤灰砖)项目可持续发展</w:t>
        </w:r>
        <w:r>
          <w:tab/>
        </w:r>
        <w:r>
          <w:fldChar w:fldCharType="begin"/>
        </w:r>
        <w:r>
          <w:instrText xml:space="preserve"> PAGEREF _Toc1601 \h </w:instrText>
        </w:r>
        <w:r>
          <w:fldChar w:fldCharType="separate"/>
        </w:r>
        <w:r>
          <w:t>11</w:t>
        </w:r>
        <w:r>
          <w:fldChar w:fldCharType="end"/>
        </w:r>
      </w:hyperlink>
    </w:p>
    <w:p>
      <w:pPr>
        <w:pStyle w:val="TOC2"/>
        <w:tabs>
          <w:tab w:val="right" w:leader="dot" w:pos="8306"/>
        </w:tabs>
      </w:pPr>
      <w:hyperlink w:anchor="_Toc29212" w:history="1">
        <w:r>
          <w:rPr>
            <w:rFonts w:ascii="仿宋" w:eastAsia="仿宋" w:hAnsi="仿宋" w:cs="仿宋" w:hint="eastAsia"/>
            <w:lang w:eastAsia="zh-CN"/>
          </w:rPr>
          <w:t>(一)、可持续战略与实践</w:t>
        </w:r>
        <w:r>
          <w:tab/>
        </w:r>
        <w:r>
          <w:fldChar w:fldCharType="begin"/>
        </w:r>
        <w:r>
          <w:instrText xml:space="preserve"> PAGEREF _Toc29212 \h </w:instrText>
        </w:r>
        <w:r>
          <w:fldChar w:fldCharType="separate"/>
        </w:r>
        <w:r>
          <w:t>11</w:t>
        </w:r>
        <w:r>
          <w:fldChar w:fldCharType="end"/>
        </w:r>
      </w:hyperlink>
    </w:p>
    <w:p>
      <w:pPr>
        <w:pStyle w:val="TOC2"/>
        <w:tabs>
          <w:tab w:val="right" w:leader="dot" w:pos="8306"/>
        </w:tabs>
      </w:pPr>
      <w:hyperlink w:anchor="_Toc2724" w:history="1">
        <w:r>
          <w:rPr>
            <w:rFonts w:ascii="仿宋" w:eastAsia="仿宋" w:hAnsi="仿宋" w:cs="仿宋" w:hint="eastAsia"/>
            <w:lang w:eastAsia="zh-CN"/>
          </w:rPr>
          <w:t>(二)、环保与社会责任</w:t>
        </w:r>
        <w:r>
          <w:tab/>
        </w:r>
        <w:r>
          <w:fldChar w:fldCharType="begin"/>
        </w:r>
        <w:r>
          <w:instrText xml:space="preserve"> PAGEREF _Toc2724 \h </w:instrText>
        </w:r>
        <w:r>
          <w:fldChar w:fldCharType="separate"/>
        </w:r>
        <w:r>
          <w:t>12</w:t>
        </w:r>
        <w:r>
          <w:fldChar w:fldCharType="end"/>
        </w:r>
      </w:hyperlink>
    </w:p>
    <w:p>
      <w:pPr>
        <w:pStyle w:val="TOC1"/>
        <w:tabs>
          <w:tab w:val="right" w:leader="dot" w:pos="8306"/>
        </w:tabs>
      </w:pPr>
      <w:hyperlink w:anchor="_Toc5298" w:history="1">
        <w:r>
          <w:rPr>
            <w:rFonts w:ascii="仿宋" w:eastAsia="仿宋" w:hAnsi="仿宋" w:cs="仿宋" w:hint="eastAsia"/>
            <w:lang w:eastAsia="zh-CN"/>
          </w:rPr>
          <w:t>四、市场分析、调研</w:t>
        </w:r>
        <w:r>
          <w:tab/>
        </w:r>
        <w:r>
          <w:fldChar w:fldCharType="begin"/>
        </w:r>
        <w:r>
          <w:instrText xml:space="preserve"> PAGEREF _Toc5298 \h </w:instrText>
        </w:r>
        <w:r>
          <w:fldChar w:fldCharType="separate"/>
        </w:r>
        <w:r>
          <w:t>13</w:t>
        </w:r>
        <w:r>
          <w:fldChar w:fldCharType="end"/>
        </w:r>
      </w:hyperlink>
    </w:p>
    <w:p>
      <w:pPr>
        <w:pStyle w:val="TOC2"/>
        <w:tabs>
          <w:tab w:val="right" w:leader="dot" w:pos="8306"/>
        </w:tabs>
      </w:pPr>
      <w:hyperlink w:anchor="_Toc969" w:history="1">
        <w:r>
          <w:rPr>
            <w:rFonts w:ascii="仿宋" w:eastAsia="仿宋" w:hAnsi="仿宋" w:cs="仿宋" w:hint="eastAsia"/>
            <w:lang w:eastAsia="zh-CN"/>
          </w:rPr>
          <w:t>(一)、烧结空心砖(粘土砖、页岩砖、煤矸石砖、粉煤灰砖)行业分析</w:t>
        </w:r>
        <w:r>
          <w:tab/>
        </w:r>
        <w:r>
          <w:fldChar w:fldCharType="begin"/>
        </w:r>
        <w:r>
          <w:instrText xml:space="preserve"> PAGEREF _Toc969 \h </w:instrText>
        </w:r>
        <w:r>
          <w:fldChar w:fldCharType="separate"/>
        </w:r>
        <w:r>
          <w:t>13</w:t>
        </w:r>
        <w:r>
          <w:fldChar w:fldCharType="end"/>
        </w:r>
      </w:hyperlink>
    </w:p>
    <w:p>
      <w:pPr>
        <w:pStyle w:val="TOC2"/>
        <w:tabs>
          <w:tab w:val="right" w:leader="dot" w:pos="8306"/>
        </w:tabs>
      </w:pPr>
      <w:hyperlink w:anchor="_Toc13868" w:history="1">
        <w:r>
          <w:rPr>
            <w:rFonts w:ascii="仿宋" w:eastAsia="仿宋" w:hAnsi="仿宋" w:cs="仿宋" w:hint="eastAsia"/>
            <w:lang w:eastAsia="zh-CN"/>
          </w:rPr>
          <w:t>(二)、烧结空心砖(粘土砖、页岩砖、煤矸石砖、粉煤灰砖)市场分析预测</w:t>
        </w:r>
        <w:r>
          <w:tab/>
        </w:r>
        <w:r>
          <w:fldChar w:fldCharType="begin"/>
        </w:r>
        <w:r>
          <w:instrText xml:space="preserve"> PAGEREF _Toc13868 \h </w:instrText>
        </w:r>
        <w:r>
          <w:fldChar w:fldCharType="separate"/>
        </w:r>
        <w:r>
          <w:t>14</w:t>
        </w:r>
        <w:r>
          <w:fldChar w:fldCharType="end"/>
        </w:r>
      </w:hyperlink>
    </w:p>
    <w:p>
      <w:pPr>
        <w:pStyle w:val="TOC1"/>
        <w:tabs>
          <w:tab w:val="right" w:leader="dot" w:pos="8306"/>
        </w:tabs>
      </w:pPr>
      <w:hyperlink w:anchor="_Toc27071" w:history="1">
        <w:r>
          <w:rPr>
            <w:rFonts w:ascii="仿宋" w:eastAsia="仿宋" w:hAnsi="仿宋" w:cs="仿宋" w:hint="eastAsia"/>
            <w:lang w:eastAsia="zh-CN"/>
          </w:rPr>
          <w:t>五、烧结空心砖(粘土砖、页岩砖、煤矸石砖、粉煤灰砖)项目建设背景及必要性分析</w:t>
        </w:r>
        <w:r>
          <w:tab/>
        </w:r>
        <w:r>
          <w:fldChar w:fldCharType="begin"/>
        </w:r>
        <w:r>
          <w:instrText xml:space="preserve"> PAGEREF _Toc27071 \h </w:instrText>
        </w:r>
        <w:r>
          <w:fldChar w:fldCharType="separate"/>
        </w:r>
        <w:r>
          <w:t>15</w:t>
        </w:r>
        <w:r>
          <w:fldChar w:fldCharType="end"/>
        </w:r>
      </w:hyperlink>
    </w:p>
    <w:p>
      <w:pPr>
        <w:pStyle w:val="TOC2"/>
        <w:tabs>
          <w:tab w:val="right" w:leader="dot" w:pos="8306"/>
        </w:tabs>
      </w:pPr>
      <w:hyperlink w:anchor="_Toc20931" w:history="1">
        <w:r>
          <w:rPr>
            <w:rFonts w:ascii="仿宋" w:eastAsia="仿宋" w:hAnsi="仿宋" w:cs="仿宋" w:hint="eastAsia"/>
            <w:lang w:eastAsia="zh-CN"/>
          </w:rPr>
          <w:t>(一)、烧结空心砖(粘土砖、页岩砖、煤矸石砖、粉煤灰砖)项目背景分析</w:t>
        </w:r>
        <w:r>
          <w:tab/>
        </w:r>
        <w:r>
          <w:fldChar w:fldCharType="begin"/>
        </w:r>
        <w:r>
          <w:instrText xml:space="preserve"> PAGEREF _Toc20931 \h </w:instrText>
        </w:r>
        <w:r>
          <w:fldChar w:fldCharType="separate"/>
        </w:r>
        <w:r>
          <w:t>15</w:t>
        </w:r>
        <w:r>
          <w:fldChar w:fldCharType="end"/>
        </w:r>
      </w:hyperlink>
    </w:p>
    <w:p>
      <w:pPr>
        <w:pStyle w:val="TOC2"/>
        <w:tabs>
          <w:tab w:val="right" w:leader="dot" w:pos="8306"/>
        </w:tabs>
      </w:pPr>
      <w:hyperlink w:anchor="_Toc10418" w:history="1">
        <w:r>
          <w:rPr>
            <w:rFonts w:ascii="仿宋" w:eastAsia="仿宋" w:hAnsi="仿宋" w:cs="仿宋" w:hint="eastAsia"/>
            <w:lang w:eastAsia="zh-CN"/>
          </w:rPr>
          <w:t>(二)、烧结空心砖(粘土砖、页岩砖、煤矸石砖、粉煤灰砖)项目建设必要性分析</w:t>
        </w:r>
        <w:r>
          <w:tab/>
        </w:r>
        <w:r>
          <w:fldChar w:fldCharType="begin"/>
        </w:r>
        <w:r>
          <w:instrText xml:space="preserve"> PAGEREF _Toc10418 \h </w:instrText>
        </w:r>
        <w:r>
          <w:fldChar w:fldCharType="separate"/>
        </w:r>
        <w:r>
          <w:t>17</w:t>
        </w:r>
        <w:r>
          <w:fldChar w:fldCharType="end"/>
        </w:r>
      </w:hyperlink>
    </w:p>
    <w:p>
      <w:pPr>
        <w:pStyle w:val="TOC1"/>
        <w:tabs>
          <w:tab w:val="right" w:leader="dot" w:pos="8306"/>
        </w:tabs>
      </w:pPr>
      <w:hyperlink w:anchor="_Toc29027" w:history="1">
        <w:r>
          <w:rPr>
            <w:rFonts w:ascii="仿宋" w:eastAsia="仿宋" w:hAnsi="仿宋" w:cs="仿宋" w:hint="eastAsia"/>
            <w:lang w:eastAsia="zh-CN"/>
          </w:rPr>
          <w:t>六、烧结空心砖(粘土砖、页岩砖、煤矸石砖、粉煤灰砖)项目选址可行性分析</w:t>
        </w:r>
        <w:r>
          <w:tab/>
        </w:r>
        <w:r>
          <w:fldChar w:fldCharType="begin"/>
        </w:r>
        <w:r>
          <w:instrText xml:space="preserve"> PAGEREF _Toc29027 \h </w:instrText>
        </w:r>
        <w:r>
          <w:fldChar w:fldCharType="separate"/>
        </w:r>
        <w:r>
          <w:t>19</w:t>
        </w:r>
        <w:r>
          <w:fldChar w:fldCharType="end"/>
        </w:r>
      </w:hyperlink>
    </w:p>
    <w:p>
      <w:pPr>
        <w:pStyle w:val="TOC2"/>
        <w:tabs>
          <w:tab w:val="right" w:leader="dot" w:pos="8306"/>
        </w:tabs>
      </w:pPr>
      <w:hyperlink w:anchor="_Toc32650" w:history="1">
        <w:r>
          <w:rPr>
            <w:rFonts w:ascii="仿宋" w:eastAsia="仿宋" w:hAnsi="仿宋" w:cs="仿宋" w:hint="eastAsia"/>
            <w:lang w:eastAsia="zh-CN"/>
          </w:rPr>
          <w:t>(一)、烧结空心砖(粘土砖、页岩砖、煤矸石砖、粉煤灰砖)项目选址</w:t>
        </w:r>
        <w:r>
          <w:tab/>
        </w:r>
        <w:r>
          <w:fldChar w:fldCharType="begin"/>
        </w:r>
        <w:r>
          <w:instrText xml:space="preserve"> PAGEREF _Toc32650 \h </w:instrText>
        </w:r>
        <w:r>
          <w:fldChar w:fldCharType="separate"/>
        </w:r>
        <w:r>
          <w:t>19</w:t>
        </w:r>
        <w:r>
          <w:fldChar w:fldCharType="end"/>
        </w:r>
      </w:hyperlink>
    </w:p>
    <w:p>
      <w:pPr>
        <w:pStyle w:val="TOC2"/>
        <w:tabs>
          <w:tab w:val="right" w:leader="dot" w:pos="8306"/>
        </w:tabs>
      </w:pPr>
      <w:hyperlink w:anchor="_Toc27219" w:history="1">
        <w:r>
          <w:rPr>
            <w:rFonts w:ascii="仿宋" w:eastAsia="仿宋" w:hAnsi="仿宋" w:cs="仿宋" w:hint="eastAsia"/>
            <w:lang w:eastAsia="zh-CN"/>
          </w:rPr>
          <w:t>(二)、用地控制指标</w:t>
        </w:r>
        <w:r>
          <w:tab/>
        </w:r>
        <w:r>
          <w:fldChar w:fldCharType="begin"/>
        </w:r>
        <w:r>
          <w:instrText xml:space="preserve"> PAGEREF _Toc27219 \h </w:instrText>
        </w:r>
        <w:r>
          <w:fldChar w:fldCharType="separate"/>
        </w:r>
        <w:r>
          <w:t>19</w:t>
        </w:r>
        <w:r>
          <w:fldChar w:fldCharType="end"/>
        </w:r>
      </w:hyperlink>
    </w:p>
    <w:p>
      <w:pPr>
        <w:pStyle w:val="TOC2"/>
        <w:tabs>
          <w:tab w:val="right" w:leader="dot" w:pos="8306"/>
        </w:tabs>
      </w:pPr>
      <w:hyperlink w:anchor="_Toc16490" w:history="1">
        <w:r>
          <w:rPr>
            <w:rFonts w:ascii="仿宋" w:eastAsia="仿宋" w:hAnsi="仿宋" w:cs="仿宋" w:hint="eastAsia"/>
            <w:lang w:eastAsia="zh-CN"/>
          </w:rPr>
          <w:t>(三)、节约用地措施</w:t>
        </w:r>
        <w:r>
          <w:tab/>
        </w:r>
        <w:r>
          <w:fldChar w:fldCharType="begin"/>
        </w:r>
        <w:r>
          <w:instrText xml:space="preserve"> PAGEREF _Toc16490 \h </w:instrText>
        </w:r>
        <w:r>
          <w:fldChar w:fldCharType="separate"/>
        </w:r>
        <w:r>
          <w:t>22</w:t>
        </w:r>
        <w:r>
          <w:fldChar w:fldCharType="end"/>
        </w:r>
      </w:hyperlink>
    </w:p>
    <w:p>
      <w:pPr>
        <w:pStyle w:val="TOC2"/>
        <w:tabs>
          <w:tab w:val="right" w:leader="dot" w:pos="8306"/>
        </w:tabs>
      </w:pPr>
      <w:hyperlink w:anchor="_Toc14401" w:history="1">
        <w:r>
          <w:rPr>
            <w:rFonts w:ascii="仿宋" w:eastAsia="仿宋" w:hAnsi="仿宋" w:cs="仿宋" w:hint="eastAsia"/>
            <w:lang w:eastAsia="zh-CN"/>
          </w:rPr>
          <w:t>(四)、总图布置方案</w:t>
        </w:r>
        <w:r>
          <w:tab/>
        </w:r>
        <w:r>
          <w:fldChar w:fldCharType="begin"/>
        </w:r>
        <w:r>
          <w:instrText xml:space="preserve"> PAGEREF _Toc14401 \h </w:instrText>
        </w:r>
        <w:r>
          <w:fldChar w:fldCharType="separate"/>
        </w:r>
        <w:r>
          <w:t>23</w:t>
        </w:r>
        <w:r>
          <w:fldChar w:fldCharType="end"/>
        </w:r>
      </w:hyperlink>
    </w:p>
    <w:p>
      <w:pPr>
        <w:pStyle w:val="TOC2"/>
        <w:tabs>
          <w:tab w:val="right" w:leader="dot" w:pos="8306"/>
        </w:tabs>
      </w:pPr>
      <w:hyperlink w:anchor="_Toc27154" w:history="1">
        <w:r>
          <w:rPr>
            <w:rFonts w:ascii="仿宋" w:eastAsia="仿宋" w:hAnsi="仿宋" w:cs="仿宋" w:hint="eastAsia"/>
            <w:lang w:eastAsia="zh-CN"/>
          </w:rPr>
          <w:t>(五)、选址综合评价</w:t>
        </w:r>
        <w:r>
          <w:tab/>
        </w:r>
        <w:r>
          <w:fldChar w:fldCharType="begin"/>
        </w:r>
        <w:r>
          <w:instrText xml:space="preserve"> PAGEREF _Toc27154 \h </w:instrText>
        </w:r>
        <w:r>
          <w:fldChar w:fldCharType="separate"/>
        </w:r>
        <w:r>
          <w:t>24</w:t>
        </w:r>
        <w:r>
          <w:fldChar w:fldCharType="end"/>
        </w:r>
      </w:hyperlink>
    </w:p>
    <w:p>
      <w:pPr>
        <w:pStyle w:val="TOC1"/>
        <w:tabs>
          <w:tab w:val="right" w:leader="dot" w:pos="8306"/>
        </w:tabs>
      </w:pPr>
      <w:hyperlink w:anchor="_Toc12688" w:history="1">
        <w:r>
          <w:rPr>
            <w:rFonts w:ascii="仿宋" w:eastAsia="仿宋" w:hAnsi="仿宋" w:cs="仿宋" w:hint="eastAsia"/>
            <w:lang w:eastAsia="zh-CN"/>
          </w:rPr>
          <w:t>七、烧结空心砖(粘土砖、页岩砖、煤矸石砖、粉煤灰砖)项目人力资源管理</w:t>
        </w:r>
        <w:r>
          <w:tab/>
        </w:r>
        <w:r>
          <w:fldChar w:fldCharType="begin"/>
        </w:r>
        <w:r>
          <w:instrText xml:space="preserve"> PAGEREF _Toc12688 \h </w:instrText>
        </w:r>
        <w:r>
          <w:fldChar w:fldCharType="separate"/>
        </w:r>
        <w:r>
          <w:t>25</w:t>
        </w:r>
        <w:r>
          <w:fldChar w:fldCharType="end"/>
        </w:r>
      </w:hyperlink>
    </w:p>
    <w:p>
      <w:pPr>
        <w:pStyle w:val="TOC2"/>
        <w:tabs>
          <w:tab w:val="right" w:leader="dot" w:pos="8306"/>
        </w:tabs>
      </w:pPr>
      <w:hyperlink w:anchor="_Toc2423" w:history="1">
        <w:r>
          <w:rPr>
            <w:rFonts w:ascii="仿宋" w:eastAsia="仿宋" w:hAnsi="仿宋" w:cs="仿宋" w:hint="eastAsia"/>
            <w:lang w:eastAsia="zh-CN"/>
          </w:rPr>
          <w:t>(一)、建立健全的预算管理制度</w:t>
        </w:r>
        <w:r>
          <w:tab/>
        </w:r>
        <w:r>
          <w:fldChar w:fldCharType="begin"/>
        </w:r>
        <w:r>
          <w:instrText xml:space="preserve"> PAGEREF _Toc2423 \h </w:instrText>
        </w:r>
        <w:r>
          <w:fldChar w:fldCharType="separate"/>
        </w:r>
        <w:r>
          <w:t>25</w:t>
        </w:r>
        <w:r>
          <w:fldChar w:fldCharType="end"/>
        </w:r>
      </w:hyperlink>
    </w:p>
    <w:p>
      <w:pPr>
        <w:pStyle w:val="TOC2"/>
        <w:tabs>
          <w:tab w:val="right" w:leader="dot" w:pos="8306"/>
        </w:tabs>
      </w:pPr>
      <w:hyperlink w:anchor="_Toc26382" w:history="1">
        <w:r>
          <w:rPr>
            <w:rFonts w:ascii="仿宋" w:eastAsia="仿宋" w:hAnsi="仿宋" w:cs="仿宋" w:hint="eastAsia"/>
            <w:lang w:eastAsia="zh-CN"/>
          </w:rPr>
          <w:t>(二)、加强资金流动监控</w:t>
        </w:r>
        <w:r>
          <w:tab/>
        </w:r>
        <w:r>
          <w:fldChar w:fldCharType="begin"/>
        </w:r>
        <w:r>
          <w:instrText xml:space="preserve"> PAGEREF _Toc26382 \h </w:instrText>
        </w:r>
        <w:r>
          <w:fldChar w:fldCharType="separate"/>
        </w:r>
        <w:r>
          <w:t>28</w:t>
        </w:r>
        <w:r>
          <w:fldChar w:fldCharType="end"/>
        </w:r>
      </w:hyperlink>
    </w:p>
    <w:p>
      <w:pPr>
        <w:pStyle w:val="TOC2"/>
        <w:tabs>
          <w:tab w:val="right" w:leader="dot" w:pos="8306"/>
        </w:tabs>
      </w:pPr>
      <w:hyperlink w:anchor="_Toc3350" w:history="1">
        <w:r>
          <w:rPr>
            <w:rFonts w:ascii="仿宋" w:eastAsia="仿宋" w:hAnsi="仿宋" w:cs="仿宋" w:hint="eastAsia"/>
            <w:lang w:eastAsia="zh-CN"/>
          </w:rPr>
          <w:t>(三)、制定完善的风险控制机制</w:t>
        </w:r>
        <w:r>
          <w:tab/>
        </w:r>
        <w:r>
          <w:fldChar w:fldCharType="begin"/>
        </w:r>
        <w:r>
          <w:instrText xml:space="preserve"> PAGEREF _Toc3350 \h </w:instrText>
        </w:r>
        <w:r>
          <w:fldChar w:fldCharType="separate"/>
        </w:r>
        <w:r>
          <w:t>29</w:t>
        </w:r>
        <w:r>
          <w:fldChar w:fldCharType="end"/>
        </w:r>
      </w:hyperlink>
    </w:p>
    <w:p>
      <w:pPr>
        <w:pStyle w:val="TOC2"/>
        <w:tabs>
          <w:tab w:val="right" w:leader="dot" w:pos="8306"/>
        </w:tabs>
      </w:pPr>
      <w:hyperlink w:anchor="_Toc21127" w:history="1">
        <w:r>
          <w:rPr>
            <w:rFonts w:ascii="仿宋" w:eastAsia="仿宋" w:hAnsi="仿宋" w:cs="仿宋" w:hint="eastAsia"/>
            <w:lang w:eastAsia="zh-CN"/>
          </w:rPr>
          <w:t>(四)、优化成本管理</w:t>
        </w:r>
        <w:r>
          <w:tab/>
        </w:r>
        <w:r>
          <w:fldChar w:fldCharType="begin"/>
        </w:r>
        <w:r>
          <w:instrText xml:space="preserve"> PAGEREF _Toc21127 \h </w:instrText>
        </w:r>
        <w:r>
          <w:fldChar w:fldCharType="separate"/>
        </w:r>
        <w:r>
          <w:t>31</w:t>
        </w:r>
        <w:r>
          <w:fldChar w:fldCharType="end"/>
        </w:r>
      </w:hyperlink>
    </w:p>
    <w:p>
      <w:pPr>
        <w:pStyle w:val="TOC1"/>
        <w:tabs>
          <w:tab w:val="right" w:leader="dot" w:pos="8306"/>
        </w:tabs>
      </w:pPr>
      <w:hyperlink w:anchor="_Toc16324" w:history="1">
        <w:r>
          <w:rPr>
            <w:rFonts w:ascii="仿宋" w:eastAsia="仿宋" w:hAnsi="仿宋" w:cs="仿宋" w:hint="eastAsia"/>
            <w:lang w:eastAsia="zh-CN"/>
          </w:rPr>
          <w:t>八、烧结空心砖(粘土砖、页岩砖、煤矸石砖、粉煤灰砖)项目创新与研发</w:t>
        </w:r>
        <w:r>
          <w:tab/>
        </w:r>
        <w:r>
          <w:fldChar w:fldCharType="begin"/>
        </w:r>
        <w:r>
          <w:instrText xml:space="preserve"> PAGEREF _Toc16324 \h </w:instrText>
        </w:r>
        <w:r>
          <w:fldChar w:fldCharType="separate"/>
        </w:r>
        <w:r>
          <w:t>33</w:t>
        </w:r>
        <w:r>
          <w:fldChar w:fldCharType="end"/>
        </w:r>
      </w:hyperlink>
    </w:p>
    <w:p>
      <w:pPr>
        <w:pStyle w:val="TOC2"/>
        <w:tabs>
          <w:tab w:val="right" w:leader="dot" w:pos="8306"/>
        </w:tabs>
      </w:pPr>
      <w:hyperlink w:anchor="_Toc21203" w:history="1">
        <w:r>
          <w:rPr>
            <w:rFonts w:ascii="仿宋" w:eastAsia="仿宋" w:hAnsi="仿宋" w:cs="仿宋" w:hint="eastAsia"/>
            <w:lang w:eastAsia="zh-CN"/>
          </w:rPr>
          <w:t>(一)、创新策略与方向</w:t>
        </w:r>
        <w:r>
          <w:tab/>
        </w:r>
        <w:r>
          <w:fldChar w:fldCharType="begin"/>
        </w:r>
        <w:r>
          <w:instrText xml:space="preserve"> PAGEREF _Toc21203 \h </w:instrText>
        </w:r>
        <w:r>
          <w:fldChar w:fldCharType="separate"/>
        </w:r>
        <w:r>
          <w:t>33</w:t>
        </w:r>
        <w:r>
          <w:fldChar w:fldCharType="end"/>
        </w:r>
      </w:hyperlink>
    </w:p>
    <w:p>
      <w:pPr>
        <w:pStyle w:val="TOC2"/>
        <w:tabs>
          <w:tab w:val="right" w:leader="dot" w:pos="8306"/>
        </w:tabs>
      </w:pPr>
      <w:hyperlink w:anchor="_Toc3844" w:history="1">
        <w:r>
          <w:rPr>
            <w:rFonts w:ascii="仿宋" w:eastAsia="仿宋" w:hAnsi="仿宋" w:cs="仿宋" w:hint="eastAsia"/>
            <w:lang w:eastAsia="zh-CN"/>
          </w:rPr>
          <w:t>(二)、研发规划与投入</w:t>
        </w:r>
        <w:r>
          <w:tab/>
        </w:r>
        <w:r>
          <w:fldChar w:fldCharType="begin"/>
        </w:r>
        <w:r>
          <w:instrText xml:space="preserve"> PAGEREF _Toc3844 \h </w:instrText>
        </w:r>
        <w:r>
          <w:fldChar w:fldCharType="separate"/>
        </w:r>
        <w:r>
          <w:t>34</w:t>
        </w:r>
        <w:r>
          <w:fldChar w:fldCharType="end"/>
        </w:r>
      </w:hyperlink>
    </w:p>
    <w:p>
      <w:pPr>
        <w:pStyle w:val="TOC1"/>
        <w:tabs>
          <w:tab w:val="right" w:leader="dot" w:pos="8306"/>
        </w:tabs>
      </w:pPr>
      <w:hyperlink w:anchor="_Toc10565" w:history="1">
        <w:r>
          <w:rPr>
            <w:rFonts w:ascii="仿宋" w:eastAsia="仿宋" w:hAnsi="仿宋" w:cs="仿宋" w:hint="eastAsia"/>
            <w:lang w:eastAsia="zh-CN"/>
          </w:rPr>
          <w:t>九、烧结空心砖(粘土砖、页岩砖、煤矸石砖、粉煤灰砖)项目经营效益</w:t>
        </w:r>
        <w:r>
          <w:tab/>
        </w:r>
        <w:r>
          <w:fldChar w:fldCharType="begin"/>
        </w:r>
        <w:r>
          <w:instrText xml:space="preserve"> PAGEREF _Toc10565 \h </w:instrText>
        </w:r>
        <w:r>
          <w:fldChar w:fldCharType="separate"/>
        </w:r>
        <w:r>
          <w:t>37</w:t>
        </w:r>
        <w:r>
          <w:fldChar w:fldCharType="end"/>
        </w:r>
      </w:hyperlink>
    </w:p>
    <w:p>
      <w:pPr>
        <w:pStyle w:val="TOC2"/>
        <w:tabs>
          <w:tab w:val="right" w:leader="dot" w:pos="8306"/>
        </w:tabs>
      </w:pPr>
      <w:hyperlink w:anchor="_Toc8504" w:history="1">
        <w:r>
          <w:rPr>
            <w:rFonts w:ascii="仿宋" w:eastAsia="仿宋" w:hAnsi="仿宋" w:cs="仿宋" w:hint="eastAsia"/>
            <w:lang w:eastAsia="zh-CN"/>
          </w:rPr>
          <w:t>(一)、经济评价财务测算</w:t>
        </w:r>
        <w:r>
          <w:tab/>
        </w:r>
        <w:r>
          <w:fldChar w:fldCharType="begin"/>
        </w:r>
        <w:r>
          <w:instrText xml:space="preserve"> PAGEREF _Toc8504 \h </w:instrText>
        </w:r>
        <w:r>
          <w:fldChar w:fldCharType="separate"/>
        </w:r>
        <w:r>
          <w:t>37</w:t>
        </w:r>
        <w:r>
          <w:fldChar w:fldCharType="end"/>
        </w:r>
      </w:hyperlink>
    </w:p>
    <w:p>
      <w:pPr>
        <w:pStyle w:val="TOC2"/>
        <w:tabs>
          <w:tab w:val="right" w:leader="dot" w:pos="8306"/>
        </w:tabs>
      </w:pPr>
      <w:hyperlink w:anchor="_Toc2986" w:history="1">
        <w:r>
          <w:rPr>
            <w:rFonts w:ascii="仿宋" w:eastAsia="仿宋" w:hAnsi="仿宋" w:cs="仿宋" w:hint="eastAsia"/>
            <w:lang w:eastAsia="zh-CN"/>
          </w:rPr>
          <w:t>(二)、烧结空心砖(粘土砖、页岩砖、煤矸石砖、粉煤灰砖)项目盈利能力分析</w:t>
        </w:r>
        <w:r>
          <w:tab/>
        </w:r>
        <w:r>
          <w:fldChar w:fldCharType="begin"/>
        </w:r>
        <w:r>
          <w:instrText xml:space="preserve"> PAGEREF _Toc2986 \h </w:instrText>
        </w:r>
        <w:r>
          <w:fldChar w:fldCharType="separate"/>
        </w:r>
        <w:r>
          <w:t>38</w:t>
        </w:r>
        <w:r>
          <w:fldChar w:fldCharType="end"/>
        </w:r>
      </w:hyperlink>
    </w:p>
    <w:p>
      <w:pPr>
        <w:pStyle w:val="TOC1"/>
        <w:tabs>
          <w:tab w:val="right" w:leader="dot" w:pos="8306"/>
        </w:tabs>
      </w:pPr>
      <w:hyperlink w:anchor="_Toc8740" w:history="1">
        <w:r>
          <w:rPr>
            <w:rFonts w:ascii="仿宋" w:eastAsia="仿宋" w:hAnsi="仿宋" w:cs="仿宋" w:hint="eastAsia"/>
            <w:lang w:eastAsia="zh-CN"/>
          </w:rPr>
          <w:t>十、生产安全保护</w:t>
        </w:r>
        <w:r>
          <w:tab/>
        </w:r>
        <w:r>
          <w:fldChar w:fldCharType="begin"/>
        </w:r>
        <w:r>
          <w:instrText xml:space="preserve"> PAGEREF _Toc8740 \h </w:instrText>
        </w:r>
        <w:r>
          <w:fldChar w:fldCharType="separate"/>
        </w:r>
        <w:r>
          <w:t>39</w:t>
        </w:r>
        <w:r>
          <w:fldChar w:fldCharType="end"/>
        </w:r>
      </w:hyperlink>
    </w:p>
    <w:p>
      <w:pPr>
        <w:pStyle w:val="TOC2"/>
        <w:tabs>
          <w:tab w:val="right" w:leader="dot" w:pos="8306"/>
        </w:tabs>
      </w:pPr>
      <w:hyperlink w:anchor="_Toc14140" w:history="1">
        <w:r>
          <w:rPr>
            <w:rFonts w:ascii="仿宋" w:eastAsia="仿宋" w:hAnsi="仿宋" w:cs="仿宋" w:hint="eastAsia"/>
            <w:lang w:eastAsia="zh-CN"/>
          </w:rPr>
          <w:t>(一)、消防安全</w:t>
        </w:r>
        <w:r>
          <w:tab/>
        </w:r>
        <w:r>
          <w:fldChar w:fldCharType="begin"/>
        </w:r>
        <w:r>
          <w:instrText xml:space="preserve"> PAGEREF _Toc14140 \h </w:instrText>
        </w:r>
        <w:r>
          <w:fldChar w:fldCharType="separate"/>
        </w:r>
        <w:r>
          <w:t>39</w:t>
        </w:r>
        <w:r>
          <w:fldChar w:fldCharType="end"/>
        </w:r>
      </w:hyperlink>
    </w:p>
    <w:p>
      <w:pPr>
        <w:pStyle w:val="TOC2"/>
        <w:tabs>
          <w:tab w:val="right" w:leader="dot" w:pos="8306"/>
        </w:tabs>
      </w:pPr>
      <w:hyperlink w:anchor="_Toc8333" w:history="1">
        <w:r>
          <w:rPr>
            <w:rFonts w:ascii="仿宋" w:eastAsia="仿宋" w:hAnsi="仿宋" w:cs="仿宋" w:hint="eastAsia"/>
            <w:lang w:eastAsia="zh-CN"/>
          </w:rPr>
          <w:t>(二)、防火防爆总图布置措施</w:t>
        </w:r>
        <w:r>
          <w:tab/>
        </w:r>
        <w:r>
          <w:fldChar w:fldCharType="begin"/>
        </w:r>
        <w:r>
          <w:instrText xml:space="preserve"> PAGEREF _Toc8333 \h </w:instrText>
        </w:r>
        <w:r>
          <w:fldChar w:fldCharType="separate"/>
        </w:r>
        <w:r>
          <w:t>42</w:t>
        </w:r>
        <w:r>
          <w:fldChar w:fldCharType="end"/>
        </w:r>
      </w:hyperlink>
    </w:p>
    <w:p>
      <w:pPr>
        <w:pStyle w:val="TOC2"/>
        <w:tabs>
          <w:tab w:val="right" w:leader="dot" w:pos="8306"/>
        </w:tabs>
      </w:pPr>
      <w:hyperlink w:anchor="_Toc5175" w:history="1">
        <w:r>
          <w:rPr>
            <w:rFonts w:ascii="仿宋" w:eastAsia="仿宋" w:hAnsi="仿宋" w:cs="仿宋" w:hint="eastAsia"/>
            <w:lang w:eastAsia="zh-CN"/>
          </w:rPr>
          <w:t>(三)、自然灾害防范措施</w:t>
        </w:r>
        <w:r>
          <w:tab/>
        </w:r>
        <w:r>
          <w:fldChar w:fldCharType="begin"/>
        </w:r>
        <w:r>
          <w:instrText xml:space="preserve"> PAGEREF _Toc5175 \h </w:instrText>
        </w:r>
        <w:r>
          <w:fldChar w:fldCharType="separate"/>
        </w:r>
        <w:r>
          <w:t>42</w:t>
        </w:r>
        <w:r>
          <w:fldChar w:fldCharType="end"/>
        </w:r>
      </w:hyperlink>
    </w:p>
    <w:p>
      <w:pPr>
        <w:pStyle w:val="TOC2"/>
        <w:tabs>
          <w:tab w:val="right" w:leader="dot" w:pos="8306"/>
        </w:tabs>
      </w:pPr>
      <w:hyperlink w:anchor="_Toc28178" w:history="1">
        <w:r>
          <w:rPr>
            <w:rFonts w:ascii="仿宋" w:eastAsia="仿宋" w:hAnsi="仿宋" w:cs="仿宋" w:hint="eastAsia"/>
            <w:lang w:eastAsia="zh-CN"/>
          </w:rPr>
          <w:t>(四)、安全色及安全标志使用要求</w:t>
        </w:r>
        <w:r>
          <w:tab/>
        </w:r>
        <w:r>
          <w:fldChar w:fldCharType="begin"/>
        </w:r>
        <w:r>
          <w:instrText xml:space="preserve"> PAGEREF _Toc28178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057" w:history="1">
        <w:r>
          <w:rPr>
            <w:rFonts w:ascii="仿宋" w:eastAsia="仿宋" w:hAnsi="仿宋" w:cs="仿宋" w:hint="eastAsia"/>
            <w:lang w:eastAsia="zh-CN"/>
          </w:rPr>
          <w:t>(五)、防尘防毒措施</w:t>
        </w:r>
        <w:r>
          <w:tab/>
        </w:r>
        <w:r>
          <w:fldChar w:fldCharType="begin"/>
        </w:r>
        <w:r>
          <w:instrText xml:space="preserve"> PAGEREF _Toc14057 \h </w:instrText>
        </w:r>
        <w:r>
          <w:fldChar w:fldCharType="separate"/>
        </w:r>
        <w:r>
          <w:t>45</w:t>
        </w:r>
        <w:r>
          <w:fldChar w:fldCharType="end"/>
        </w:r>
      </w:hyperlink>
    </w:p>
    <w:p>
      <w:pPr>
        <w:pStyle w:val="TOC2"/>
        <w:tabs>
          <w:tab w:val="right" w:leader="dot" w:pos="8306"/>
        </w:tabs>
      </w:pPr>
      <w:hyperlink w:anchor="_Toc14944" w:history="1">
        <w:r>
          <w:rPr>
            <w:rFonts w:ascii="仿宋" w:eastAsia="仿宋" w:hAnsi="仿宋" w:cs="仿宋" w:hint="eastAsia"/>
            <w:lang w:eastAsia="zh-CN"/>
          </w:rPr>
          <w:t>(六)、防静电、触电防护及防雷措施</w:t>
        </w:r>
        <w:r>
          <w:tab/>
        </w:r>
        <w:r>
          <w:fldChar w:fldCharType="begin"/>
        </w:r>
        <w:r>
          <w:instrText xml:space="preserve"> PAGEREF _Toc14944 \h </w:instrText>
        </w:r>
        <w:r>
          <w:fldChar w:fldCharType="separate"/>
        </w:r>
        <w:r>
          <w:t>46</w:t>
        </w:r>
        <w:r>
          <w:fldChar w:fldCharType="end"/>
        </w:r>
      </w:hyperlink>
    </w:p>
    <w:p>
      <w:pPr>
        <w:pStyle w:val="TOC2"/>
        <w:tabs>
          <w:tab w:val="right" w:leader="dot" w:pos="8306"/>
        </w:tabs>
      </w:pPr>
      <w:hyperlink w:anchor="_Toc12919" w:history="1">
        <w:r>
          <w:rPr>
            <w:rFonts w:ascii="仿宋" w:eastAsia="仿宋" w:hAnsi="仿宋" w:cs="仿宋" w:hint="eastAsia"/>
            <w:lang w:eastAsia="zh-CN"/>
          </w:rPr>
          <w:t>(七)、机械设备安全保障措施</w:t>
        </w:r>
        <w:r>
          <w:tab/>
        </w:r>
        <w:r>
          <w:fldChar w:fldCharType="begin"/>
        </w:r>
        <w:r>
          <w:instrText xml:space="preserve"> PAGEREF _Toc12919 \h </w:instrText>
        </w:r>
        <w:r>
          <w:fldChar w:fldCharType="separate"/>
        </w:r>
        <w:r>
          <w:t>48</w:t>
        </w:r>
        <w:r>
          <w:fldChar w:fldCharType="end"/>
        </w:r>
      </w:hyperlink>
    </w:p>
    <w:p>
      <w:pPr>
        <w:pStyle w:val="TOC1"/>
        <w:tabs>
          <w:tab w:val="right" w:leader="dot" w:pos="8306"/>
        </w:tabs>
      </w:pPr>
      <w:hyperlink w:anchor="_Toc11633" w:history="1">
        <w:r>
          <w:rPr>
            <w:rFonts w:ascii="仿宋" w:eastAsia="仿宋" w:hAnsi="仿宋" w:cs="仿宋" w:hint="eastAsia"/>
            <w:lang w:eastAsia="zh-CN"/>
          </w:rPr>
          <w:t>十一、烧结空心砖(粘土砖、页岩砖、煤矸石砖、粉煤灰砖)项目人力资源培养与发展</w:t>
        </w:r>
        <w:r>
          <w:tab/>
        </w:r>
        <w:r>
          <w:fldChar w:fldCharType="begin"/>
        </w:r>
        <w:r>
          <w:instrText xml:space="preserve"> PAGEREF _Toc11633 \h </w:instrText>
        </w:r>
        <w:r>
          <w:fldChar w:fldCharType="separate"/>
        </w:r>
        <w:r>
          <w:t>49</w:t>
        </w:r>
        <w:r>
          <w:fldChar w:fldCharType="end"/>
        </w:r>
      </w:hyperlink>
    </w:p>
    <w:p>
      <w:pPr>
        <w:pStyle w:val="TOC2"/>
        <w:tabs>
          <w:tab w:val="right" w:leader="dot" w:pos="8306"/>
        </w:tabs>
      </w:pPr>
      <w:hyperlink w:anchor="_Toc4788" w:history="1">
        <w:r>
          <w:rPr>
            <w:rFonts w:ascii="仿宋" w:eastAsia="仿宋" w:hAnsi="仿宋" w:cs="仿宋" w:hint="eastAsia"/>
            <w:lang w:eastAsia="zh-CN"/>
          </w:rPr>
          <w:t>(一)、人才需求与规划</w:t>
        </w:r>
        <w:r>
          <w:tab/>
        </w:r>
        <w:r>
          <w:fldChar w:fldCharType="begin"/>
        </w:r>
        <w:r>
          <w:instrText xml:space="preserve"> PAGEREF _Toc4788 \h </w:instrText>
        </w:r>
        <w:r>
          <w:fldChar w:fldCharType="separate"/>
        </w:r>
        <w:r>
          <w:t>49</w:t>
        </w:r>
        <w:r>
          <w:fldChar w:fldCharType="end"/>
        </w:r>
      </w:hyperlink>
    </w:p>
    <w:p>
      <w:pPr>
        <w:pStyle w:val="TOC2"/>
        <w:tabs>
          <w:tab w:val="right" w:leader="dot" w:pos="8306"/>
        </w:tabs>
      </w:pPr>
      <w:hyperlink w:anchor="_Toc8324" w:history="1">
        <w:r>
          <w:rPr>
            <w:rFonts w:ascii="仿宋" w:eastAsia="仿宋" w:hAnsi="仿宋" w:cs="仿宋" w:hint="eastAsia"/>
            <w:lang w:eastAsia="zh-CN"/>
          </w:rPr>
          <w:t>(二)、培训与发展计划</w:t>
        </w:r>
        <w:r>
          <w:tab/>
        </w:r>
        <w:r>
          <w:fldChar w:fldCharType="begin"/>
        </w:r>
        <w:r>
          <w:instrText xml:space="preserve"> PAGEREF _Toc8324 \h </w:instrText>
        </w:r>
        <w:r>
          <w:fldChar w:fldCharType="separate"/>
        </w:r>
        <w:r>
          <w:t>50</w:t>
        </w:r>
        <w:r>
          <w:fldChar w:fldCharType="end"/>
        </w:r>
      </w:hyperlink>
    </w:p>
    <w:p>
      <w:pPr>
        <w:pStyle w:val="TOC1"/>
        <w:tabs>
          <w:tab w:val="right" w:leader="dot" w:pos="8306"/>
        </w:tabs>
      </w:pPr>
      <w:hyperlink w:anchor="_Toc15800" w:history="1">
        <w:r>
          <w:rPr>
            <w:rFonts w:ascii="仿宋" w:eastAsia="仿宋" w:hAnsi="仿宋" w:cs="仿宋" w:hint="eastAsia"/>
            <w:lang w:eastAsia="zh-CN"/>
          </w:rPr>
          <w:t>十二、烧结空心砖(粘土砖、页岩砖、煤矸石砖、粉煤灰砖)项目投资规划</w:t>
        </w:r>
        <w:r>
          <w:tab/>
        </w:r>
        <w:r>
          <w:fldChar w:fldCharType="begin"/>
        </w:r>
        <w:r>
          <w:instrText xml:space="preserve"> PAGEREF _Toc15800 \h </w:instrText>
        </w:r>
        <w:r>
          <w:fldChar w:fldCharType="separate"/>
        </w:r>
        <w:r>
          <w:t>51</w:t>
        </w:r>
        <w:r>
          <w:fldChar w:fldCharType="end"/>
        </w:r>
      </w:hyperlink>
    </w:p>
    <w:p>
      <w:pPr>
        <w:pStyle w:val="TOC2"/>
        <w:tabs>
          <w:tab w:val="right" w:leader="dot" w:pos="8306"/>
        </w:tabs>
      </w:pPr>
      <w:hyperlink w:anchor="_Toc21470" w:history="1">
        <w:r>
          <w:rPr>
            <w:rFonts w:ascii="仿宋" w:eastAsia="仿宋" w:hAnsi="仿宋" w:cs="仿宋" w:hint="eastAsia"/>
            <w:lang w:eastAsia="zh-CN"/>
          </w:rPr>
          <w:t>(一)、烧结空心砖(粘土砖、页岩砖、煤矸石砖、粉煤灰砖)项目总投资估算</w:t>
        </w:r>
        <w:r>
          <w:tab/>
        </w:r>
        <w:r>
          <w:fldChar w:fldCharType="begin"/>
        </w:r>
        <w:r>
          <w:instrText xml:space="preserve"> PAGEREF _Toc21470 \h </w:instrText>
        </w:r>
        <w:r>
          <w:fldChar w:fldCharType="separate"/>
        </w:r>
        <w:r>
          <w:t>51</w:t>
        </w:r>
        <w:r>
          <w:fldChar w:fldCharType="end"/>
        </w:r>
      </w:hyperlink>
    </w:p>
    <w:p>
      <w:pPr>
        <w:pStyle w:val="TOC2"/>
        <w:tabs>
          <w:tab w:val="right" w:leader="dot" w:pos="8306"/>
        </w:tabs>
      </w:pPr>
      <w:hyperlink w:anchor="_Toc17176" w:history="1">
        <w:r>
          <w:rPr>
            <w:rFonts w:ascii="仿宋" w:eastAsia="仿宋" w:hAnsi="仿宋" w:cs="仿宋" w:hint="eastAsia"/>
            <w:lang w:eastAsia="zh-CN"/>
          </w:rPr>
          <w:t>(二)、资金筹措</w:t>
        </w:r>
        <w:r>
          <w:tab/>
        </w:r>
        <w:r>
          <w:fldChar w:fldCharType="begin"/>
        </w:r>
        <w:r>
          <w:instrText xml:space="preserve"> PAGEREF _Toc17176 \h </w:instrText>
        </w:r>
        <w:r>
          <w:fldChar w:fldCharType="separate"/>
        </w:r>
        <w:r>
          <w:t>53</w:t>
        </w:r>
        <w:r>
          <w:fldChar w:fldCharType="end"/>
        </w:r>
      </w:hyperlink>
    </w:p>
    <w:p>
      <w:pPr>
        <w:pStyle w:val="TOC1"/>
        <w:tabs>
          <w:tab w:val="right" w:leader="dot" w:pos="8306"/>
        </w:tabs>
      </w:pPr>
      <w:hyperlink w:anchor="_Toc12188" w:history="1">
        <w:r>
          <w:rPr>
            <w:rFonts w:ascii="仿宋" w:eastAsia="仿宋" w:hAnsi="仿宋" w:cs="仿宋" w:hint="eastAsia"/>
            <w:lang w:eastAsia="zh-CN"/>
          </w:rPr>
          <w:t>十三、利益相关者分析与沟通计划</w:t>
        </w:r>
        <w:r>
          <w:tab/>
        </w:r>
        <w:r>
          <w:fldChar w:fldCharType="begin"/>
        </w:r>
        <w:r>
          <w:instrText xml:space="preserve"> PAGEREF _Toc12188 \h </w:instrText>
        </w:r>
        <w:r>
          <w:fldChar w:fldCharType="separate"/>
        </w:r>
        <w:r>
          <w:t>53</w:t>
        </w:r>
        <w:r>
          <w:fldChar w:fldCharType="end"/>
        </w:r>
      </w:hyperlink>
    </w:p>
    <w:p>
      <w:pPr>
        <w:pStyle w:val="TOC2"/>
        <w:tabs>
          <w:tab w:val="right" w:leader="dot" w:pos="8306"/>
        </w:tabs>
      </w:pPr>
      <w:hyperlink w:anchor="_Toc3561" w:history="1">
        <w:r>
          <w:rPr>
            <w:rFonts w:ascii="仿宋" w:eastAsia="仿宋" w:hAnsi="仿宋" w:cs="仿宋" w:hint="eastAsia"/>
            <w:lang w:eastAsia="zh-CN"/>
          </w:rPr>
          <w:t>(一)、利益相关者分析</w:t>
        </w:r>
        <w:r>
          <w:tab/>
        </w:r>
        <w:r>
          <w:fldChar w:fldCharType="begin"/>
        </w:r>
        <w:r>
          <w:instrText xml:space="preserve"> PAGEREF _Toc3561 \h </w:instrText>
        </w:r>
        <w:r>
          <w:fldChar w:fldCharType="separate"/>
        </w:r>
        <w:r>
          <w:t>53</w:t>
        </w:r>
        <w:r>
          <w:fldChar w:fldCharType="end"/>
        </w:r>
      </w:hyperlink>
    </w:p>
    <w:p>
      <w:pPr>
        <w:pStyle w:val="TOC2"/>
        <w:tabs>
          <w:tab w:val="right" w:leader="dot" w:pos="8306"/>
        </w:tabs>
      </w:pPr>
      <w:hyperlink w:anchor="_Toc20515" w:history="1">
        <w:r>
          <w:rPr>
            <w:rFonts w:ascii="仿宋" w:eastAsia="仿宋" w:hAnsi="仿宋" w:cs="仿宋" w:hint="eastAsia"/>
            <w:lang w:eastAsia="zh-CN"/>
          </w:rPr>
          <w:t>(二)、沟通计划</w:t>
        </w:r>
        <w:r>
          <w:tab/>
        </w:r>
        <w:r>
          <w:fldChar w:fldCharType="begin"/>
        </w:r>
        <w:r>
          <w:instrText xml:space="preserve"> PAGEREF _Toc20515 \h </w:instrText>
        </w:r>
        <w:r>
          <w:fldChar w:fldCharType="separate"/>
        </w:r>
        <w:r>
          <w:t>55</w:t>
        </w:r>
        <w:r>
          <w:fldChar w:fldCharType="end"/>
        </w:r>
      </w:hyperlink>
    </w:p>
    <w:p>
      <w:pPr>
        <w:pStyle w:val="TOC1"/>
        <w:tabs>
          <w:tab w:val="right" w:leader="dot" w:pos="8306"/>
        </w:tabs>
      </w:pPr>
      <w:hyperlink w:anchor="_Toc22531" w:history="1">
        <w:r>
          <w:rPr>
            <w:rFonts w:ascii="仿宋" w:eastAsia="仿宋" w:hAnsi="仿宋" w:cs="仿宋" w:hint="eastAsia"/>
            <w:lang w:eastAsia="zh-CN"/>
          </w:rPr>
          <w:t>十四、营销与推广策略</w:t>
        </w:r>
        <w:r>
          <w:tab/>
        </w:r>
        <w:r>
          <w:fldChar w:fldCharType="begin"/>
        </w:r>
        <w:r>
          <w:instrText xml:space="preserve"> PAGEREF _Toc22531 \h </w:instrText>
        </w:r>
        <w:r>
          <w:fldChar w:fldCharType="separate"/>
        </w:r>
        <w:r>
          <w:t>56</w:t>
        </w:r>
        <w:r>
          <w:fldChar w:fldCharType="end"/>
        </w:r>
      </w:hyperlink>
    </w:p>
    <w:p>
      <w:pPr>
        <w:pStyle w:val="TOC2"/>
        <w:tabs>
          <w:tab w:val="right" w:leader="dot" w:pos="8306"/>
        </w:tabs>
      </w:pPr>
      <w:hyperlink w:anchor="_Toc25321" w:history="1">
        <w:r>
          <w:rPr>
            <w:rFonts w:ascii="仿宋" w:eastAsia="仿宋" w:hAnsi="仿宋" w:cs="仿宋" w:hint="eastAsia"/>
            <w:lang w:eastAsia="zh-CN"/>
          </w:rPr>
          <w:t>(一)、产品/服务定位与特点</w:t>
        </w:r>
        <w:r>
          <w:tab/>
        </w:r>
        <w:r>
          <w:fldChar w:fldCharType="begin"/>
        </w:r>
        <w:r>
          <w:instrText xml:space="preserve"> PAGEREF _Toc25321 \h </w:instrText>
        </w:r>
        <w:r>
          <w:fldChar w:fldCharType="separate"/>
        </w:r>
        <w:r>
          <w:t>56</w:t>
        </w:r>
        <w:r>
          <w:fldChar w:fldCharType="end"/>
        </w:r>
      </w:hyperlink>
    </w:p>
    <w:p>
      <w:pPr>
        <w:pStyle w:val="TOC2"/>
        <w:tabs>
          <w:tab w:val="right" w:leader="dot" w:pos="8306"/>
        </w:tabs>
      </w:pPr>
      <w:hyperlink w:anchor="_Toc28692" w:history="1">
        <w:r>
          <w:rPr>
            <w:rFonts w:ascii="仿宋" w:eastAsia="仿宋" w:hAnsi="仿宋" w:cs="仿宋" w:hint="eastAsia"/>
            <w:lang w:eastAsia="zh-CN"/>
          </w:rPr>
          <w:t>(二)、市场定位与竞争分析</w:t>
        </w:r>
        <w:r>
          <w:tab/>
        </w:r>
        <w:r>
          <w:fldChar w:fldCharType="begin"/>
        </w:r>
        <w:r>
          <w:instrText xml:space="preserve"> PAGEREF _Toc28692 \h </w:instrText>
        </w:r>
        <w:r>
          <w:fldChar w:fldCharType="separate"/>
        </w:r>
        <w:r>
          <w:t>57</w:t>
        </w:r>
        <w:r>
          <w:fldChar w:fldCharType="end"/>
        </w:r>
      </w:hyperlink>
    </w:p>
    <w:p>
      <w:pPr>
        <w:pStyle w:val="TOC2"/>
        <w:tabs>
          <w:tab w:val="right" w:leader="dot" w:pos="8306"/>
        </w:tabs>
      </w:pPr>
      <w:hyperlink w:anchor="_Toc16045" w:history="1">
        <w:r>
          <w:rPr>
            <w:rFonts w:ascii="仿宋" w:eastAsia="仿宋" w:hAnsi="仿宋" w:cs="仿宋" w:hint="eastAsia"/>
            <w:lang w:eastAsia="zh-CN"/>
          </w:rPr>
          <w:t>(三)、营销渠道与策略</w:t>
        </w:r>
        <w:r>
          <w:tab/>
        </w:r>
        <w:r>
          <w:fldChar w:fldCharType="begin"/>
        </w:r>
        <w:r>
          <w:instrText xml:space="preserve"> PAGEREF _Toc16045 \h </w:instrText>
        </w:r>
        <w:r>
          <w:fldChar w:fldCharType="separate"/>
        </w:r>
        <w:r>
          <w:t>59</w:t>
        </w:r>
        <w:r>
          <w:fldChar w:fldCharType="end"/>
        </w:r>
      </w:hyperlink>
    </w:p>
    <w:p>
      <w:pPr>
        <w:pStyle w:val="TOC2"/>
        <w:tabs>
          <w:tab w:val="right" w:leader="dot" w:pos="8306"/>
        </w:tabs>
      </w:pPr>
      <w:hyperlink w:anchor="_Toc12672" w:history="1">
        <w:r>
          <w:rPr>
            <w:rFonts w:ascii="仿宋" w:eastAsia="仿宋" w:hAnsi="仿宋" w:cs="仿宋" w:hint="eastAsia"/>
            <w:lang w:eastAsia="zh-CN"/>
          </w:rPr>
          <w:t>(四)、推广与宣传活动</w:t>
        </w:r>
        <w:r>
          <w:tab/>
        </w:r>
        <w:r>
          <w:fldChar w:fldCharType="begin"/>
        </w:r>
        <w:r>
          <w:instrText xml:space="preserve"> PAGEREF _Toc12672 \h </w:instrText>
        </w:r>
        <w:r>
          <w:fldChar w:fldCharType="separate"/>
        </w:r>
        <w:r>
          <w:t>60</w:t>
        </w:r>
        <w:r>
          <w:fldChar w:fldCharType="end"/>
        </w:r>
      </w:hyperlink>
    </w:p>
    <w:p>
      <w:pPr>
        <w:pStyle w:val="TOC1"/>
        <w:tabs>
          <w:tab w:val="right" w:leader="dot" w:pos="8306"/>
        </w:tabs>
      </w:pPr>
      <w:hyperlink w:anchor="_Toc17449" w:history="1">
        <w:r>
          <w:rPr>
            <w:rFonts w:ascii="仿宋" w:eastAsia="仿宋" w:hAnsi="仿宋" w:cs="仿宋" w:hint="eastAsia"/>
            <w:lang w:eastAsia="zh-CN"/>
          </w:rPr>
          <w:t>十五、烧结空心砖(粘土砖、页岩砖、煤矸石砖、粉煤灰砖)项目变更管理</w:t>
        </w:r>
        <w:r>
          <w:tab/>
        </w:r>
        <w:r>
          <w:fldChar w:fldCharType="begin"/>
        </w:r>
        <w:r>
          <w:instrText xml:space="preserve"> PAGEREF _Toc17449 \h </w:instrText>
        </w:r>
        <w:r>
          <w:fldChar w:fldCharType="separate"/>
        </w:r>
        <w:r>
          <w:t>65</w:t>
        </w:r>
        <w:r>
          <w:fldChar w:fldCharType="end"/>
        </w:r>
      </w:hyperlink>
    </w:p>
    <w:p>
      <w:pPr>
        <w:pStyle w:val="TOC2"/>
        <w:tabs>
          <w:tab w:val="right" w:leader="dot" w:pos="8306"/>
        </w:tabs>
      </w:pPr>
      <w:hyperlink w:anchor="_Toc8257" w:history="1">
        <w:r>
          <w:rPr>
            <w:rFonts w:ascii="仿宋" w:eastAsia="仿宋" w:hAnsi="仿宋" w:cs="仿宋" w:hint="eastAsia"/>
            <w:lang w:eastAsia="zh-CN"/>
          </w:rPr>
          <w:t>(一)、变更申请与评估</w:t>
        </w:r>
        <w:r>
          <w:tab/>
        </w:r>
        <w:r>
          <w:fldChar w:fldCharType="begin"/>
        </w:r>
        <w:r>
          <w:instrText xml:space="preserve"> PAGEREF _Toc8257 \h </w:instrText>
        </w:r>
        <w:r>
          <w:fldChar w:fldCharType="separate"/>
        </w:r>
        <w:r>
          <w:t>65</w:t>
        </w:r>
        <w:r>
          <w:fldChar w:fldCharType="end"/>
        </w:r>
      </w:hyperlink>
    </w:p>
    <w:p>
      <w:pPr>
        <w:pStyle w:val="TOC2"/>
        <w:tabs>
          <w:tab w:val="right" w:leader="dot" w:pos="8306"/>
        </w:tabs>
      </w:pPr>
      <w:hyperlink w:anchor="_Toc11155" w:history="1">
        <w:r>
          <w:rPr>
            <w:rFonts w:ascii="仿宋" w:eastAsia="仿宋" w:hAnsi="仿宋" w:cs="仿宋" w:hint="eastAsia"/>
            <w:lang w:eastAsia="zh-CN"/>
          </w:rPr>
          <w:t>(二)、变更实施与控制</w:t>
        </w:r>
        <w:r>
          <w:tab/>
        </w:r>
        <w:r>
          <w:fldChar w:fldCharType="begin"/>
        </w:r>
        <w:r>
          <w:instrText xml:space="preserve"> PAGEREF _Toc11155 \h </w:instrText>
        </w:r>
        <w:r>
          <w:fldChar w:fldCharType="separate"/>
        </w:r>
        <w:r>
          <w:t>66</w:t>
        </w:r>
        <w:r>
          <w:fldChar w:fldCharType="end"/>
        </w:r>
      </w:hyperlink>
    </w:p>
    <w:p>
      <w:pPr>
        <w:pStyle w:val="TOC1"/>
        <w:tabs>
          <w:tab w:val="right" w:leader="dot" w:pos="8306"/>
        </w:tabs>
      </w:pPr>
      <w:hyperlink w:anchor="_Toc18176" w:history="1">
        <w:r>
          <w:rPr>
            <w:rFonts w:ascii="仿宋" w:eastAsia="仿宋" w:hAnsi="仿宋" w:cs="仿宋" w:hint="eastAsia"/>
            <w:lang w:eastAsia="zh-CN"/>
          </w:rPr>
          <w:t>十六、烧结空心砖(粘土砖、页岩砖、煤矸石砖、粉煤灰砖)项目治理与监督</w:t>
        </w:r>
        <w:r>
          <w:tab/>
        </w:r>
        <w:r>
          <w:fldChar w:fldCharType="begin"/>
        </w:r>
        <w:r>
          <w:instrText xml:space="preserve"> PAGEREF _Toc18176 \h </w:instrText>
        </w:r>
        <w:r>
          <w:fldChar w:fldCharType="separate"/>
        </w:r>
        <w:r>
          <w:t>67</w:t>
        </w:r>
        <w:r>
          <w:fldChar w:fldCharType="end"/>
        </w:r>
      </w:hyperlink>
    </w:p>
    <w:p>
      <w:pPr>
        <w:pStyle w:val="TOC2"/>
        <w:tabs>
          <w:tab w:val="right" w:leader="dot" w:pos="8306"/>
        </w:tabs>
      </w:pPr>
      <w:hyperlink w:anchor="_Toc10237" w:history="1">
        <w:r>
          <w:rPr>
            <w:rFonts w:ascii="仿宋" w:eastAsia="仿宋" w:hAnsi="仿宋" w:cs="仿宋" w:hint="eastAsia"/>
            <w:lang w:eastAsia="zh-CN"/>
          </w:rPr>
          <w:t>(一)、烧结空心砖(粘土砖、页岩砖、煤矸石砖、粉煤灰砖)项目治理结构</w:t>
        </w:r>
        <w:r>
          <w:tab/>
        </w:r>
        <w:r>
          <w:fldChar w:fldCharType="begin"/>
        </w:r>
        <w:r>
          <w:instrText xml:space="preserve"> PAGEREF _Toc10237 \h </w:instrText>
        </w:r>
        <w:r>
          <w:fldChar w:fldCharType="separate"/>
        </w:r>
        <w:r>
          <w:t>67</w:t>
        </w:r>
        <w:r>
          <w:fldChar w:fldCharType="end"/>
        </w:r>
      </w:hyperlink>
    </w:p>
    <w:p>
      <w:pPr>
        <w:pStyle w:val="TOC2"/>
        <w:tabs>
          <w:tab w:val="right" w:leader="dot" w:pos="8306"/>
        </w:tabs>
      </w:pPr>
      <w:hyperlink w:anchor="_Toc26858" w:history="1">
        <w:r>
          <w:rPr>
            <w:rFonts w:ascii="仿宋" w:eastAsia="仿宋" w:hAnsi="仿宋" w:cs="仿宋" w:hint="eastAsia"/>
            <w:lang w:eastAsia="zh-CN"/>
          </w:rPr>
          <w:t>(二)、监督与审计</w:t>
        </w:r>
        <w:r>
          <w:tab/>
        </w:r>
        <w:r>
          <w:fldChar w:fldCharType="begin"/>
        </w:r>
        <w:r>
          <w:instrText xml:space="preserve"> PAGEREF _Toc26858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64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321"/>
      <w:r>
        <w:rPr>
          <w:rFonts w:ascii="仿宋" w:eastAsia="仿宋" w:hAnsi="仿宋" w:cs="仿宋" w:hint="eastAsia"/>
          <w:sz w:val="28"/>
          <w:lang w:eastAsia="zh-CN"/>
        </w:rPr>
        <w:t>一、烧结空心砖(粘土砖、页岩砖、煤矸石砖、粉煤灰砖)项目文档管理</w:t>
      </w:r>
      <w:bookmarkEnd w:id="2"/>
    </w:p>
    <w:p>
      <w:pPr>
        <w:pStyle w:val="Heading2"/>
        <w:rPr>
          <w:rFonts w:ascii="仿宋" w:eastAsia="仿宋" w:hAnsi="仿宋" w:cs="仿宋" w:hint="eastAsia"/>
          <w:lang w:eastAsia="zh-CN"/>
        </w:rPr>
      </w:pPr>
      <w:bookmarkStart w:id="3" w:name="_Toc1965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烧结空心砖(粘土砖、页岩砖、煤矸石砖、粉煤灰砖)项目高度重视文档的质量和准确性，以支持烧结空心砖(粘土砖、页岩砖、煤矸石砖、粉煤灰砖)项目的各项活动和决策。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烧结空心砖(粘土砖、页岩砖、煤矸石砖、粉煤灰砖)项目文档的编制始于烧结空心砖(粘土砖、页岩砖、煤矸石砖、粉煤灰砖)项目计划的初期，我们制定了详细的文档编制计划，明确了每个文档的内容、格式和编写责任人。在烧结空心砖(粘土砖、页岩砖、煤矸石砖、粉煤灰砖)项目启动阶段，我们首先编制了烧结空心砖(粘土砖、页岩砖、煤矸石砖、粉煤灰砖)项目章程，明确定义了烧结空心砖(粘土砖、页岩砖、煤矸石砖、粉煤灰砖)项目的目标、范围、风险等关键要素。随后，烧结空心砖(粘土砖、页岩砖、煤矸石砖、粉煤灰砖)项目团队根据计划陆续编制了需求文档、设计文档、测试文档等各类文档，确保烧结空心砖(粘土砖、页岩砖、煤矸石砖、粉煤灰砖)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烧结空心砖(粘土砖、页岩砖、煤矸石砖、粉煤灰砖)项目管理中的重要环节，旨在确保烧结空心砖(粘土砖、页岩砖、煤矸石砖、粉煤灰砖)项目文档符合质量标准和烧结空心砖(粘土砖、页岩砖、煤矸石砖、粉煤灰砖)项目需求。在烧结空心砖(粘土砖、页岩砖、煤矸石砖、粉煤灰砖)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烧结空心砖(粘土砖、页岩砖、煤矸石砖、粉煤灰砖)项目相关利益方和专业领域的专家对文档进行独立审查。这有助于获取更全面、客观的反馈，确保烧结空心砖(粘土砖、页岩砖、煤矸石砖、粉煤灰砖)项目文档不仅符合内部标准，也满足外部需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烧结空心砖(粘土砖、页岩砖、煤矸石砖、粉煤灰砖)项目在文档编制与审查方面建立了严格的管理机制，通过规范的流程和多维度的审查，确保烧结空心砖(粘土砖、页岩砖、煤矸石砖、粉煤灰砖)项目文档的质量、准确性和可靠性，为烧结空心砖(粘土砖、页岩砖、煤矸石砖、粉煤灰砖)项目的顺利推进提供了有力支持。</w:t>
      </w:r>
    </w:p>
    <w:p>
      <w:pPr>
        <w:pStyle w:val="Heading2"/>
        <w:ind w:firstLine="560" w:firstLineChars="200"/>
        <w:rPr>
          <w:rFonts w:ascii="仿宋" w:eastAsia="仿宋" w:hAnsi="仿宋" w:cs="仿宋" w:hint="eastAsia"/>
          <w:sz w:val="28"/>
          <w:lang w:eastAsia="zh-CN"/>
        </w:rPr>
      </w:pPr>
      <w:bookmarkStart w:id="4" w:name="_Toc2224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在烧结空心砖(粘土砖、页岩砖、煤矸石砖、粉煤灰砖)项目中，我们致力于优化文档发布与分发过程，以确保信息的高效传递和团队间协作的顺畅进行。以下是我们采取的关键优化策略：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我们通过多渠道发布文档，包括电子邮件、烧结空心砖(粘土砖、页岩砖、煤矸石砖、粉煤灰砖)项目管理平台、内部网站等，以满足不同团队成员的偏好和需求。多渠道发布确保了信息的全面覆盖。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我们采用了精细的权限控制，确保只有授权人员可以访问敏感信息。这种安全措施保护了烧结空心砖(粘土砖、页岩砖、煤矸石砖、粉煤灰砖)项目文档的机密性，防止了未经授权的信息泄露。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740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烧结空心砖(粘土砖、页岩砖、煤矸石砖、粉煤灰砖)项目生命周期中一个至关重要的环节，直接关系到烧结空心砖(粘土砖、页岩砖、煤矸石砖、粉煤灰砖)项目信息的长期保存和历史记录的完整性。在烧结空心砖(粘土砖、页岩砖、煤矸石砖、粉煤灰砖)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4461"/>
      <w:r>
        <w:rPr>
          <w:rFonts w:ascii="仿宋" w:eastAsia="仿宋" w:hAnsi="仿宋" w:cs="仿宋" w:hint="eastAsia"/>
          <w:sz w:val="28"/>
          <w:lang w:eastAsia="zh-CN"/>
        </w:rPr>
        <w:t>二、烧结空心砖(粘土砖、页岩砖、煤矸石砖、粉煤灰砖)项目土建工程</w:t>
      </w:r>
      <w:bookmarkEnd w:id="6"/>
    </w:p>
    <w:p>
      <w:pPr>
        <w:pStyle w:val="Heading2"/>
        <w:rPr>
          <w:rFonts w:ascii="仿宋" w:eastAsia="仿宋" w:hAnsi="仿宋" w:cs="仿宋" w:hint="eastAsia"/>
          <w:lang w:eastAsia="zh-CN"/>
        </w:rPr>
      </w:pPr>
      <w:bookmarkStart w:id="7" w:name="_Toc21419"/>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烧结空心砖(粘土砖、页岩砖、煤矸石砖、粉煤灰砖)项目的建筑工程设计中，我们将秉承一系列重要的设计原则，以确保烧结空心砖(粘土砖、页岩砖、煤矸石砖、粉煤灰砖)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烧结空心砖(粘土砖、页岩砖、煤矸石砖、粉煤灰砖)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在建筑设计中，我们将综合考虑建设和运营成本。通过精细的经济效益分析，确保设计方案在高效利用资源的同时，对烧结空心砖(粘土砖、页岩砖、煤矸石砖、粉煤灰砖)项目的长期盈利能力有积极的贡献。</w:t>
      </w:r>
    </w:p>
    <w:p>
      <w:pPr>
        <w:pStyle w:val="Heading2"/>
        <w:ind w:firstLine="560" w:firstLineChars="200"/>
        <w:rPr>
          <w:rFonts w:ascii="仿宋" w:eastAsia="仿宋" w:hAnsi="仿宋" w:cs="仿宋" w:hint="eastAsia"/>
          <w:sz w:val="28"/>
          <w:lang w:eastAsia="zh-CN"/>
        </w:rPr>
      </w:pPr>
      <w:bookmarkStart w:id="8" w:name="_Toc5297"/>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烧结空心砖(粘土砖、页岩砖、煤矸石砖、粉煤灰砖)项目的土建工程设计中，我们将精准设定设计年限，结合烧结空心砖(粘土砖、页岩砖、煤矸石砖、粉煤灰砖)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烧结空心砖(粘土砖、页岩砖、煤矸石砖、粉煤灰砖)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7712"/>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烧结空心砖(粘土砖、页岩砖、煤矸石砖、粉煤灰砖)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烧结空心砖(粘土砖、页岩砖、煤矸石砖、粉煤灰砖)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烧结空心砖(粘土砖、页岩砖、煤矸石砖、粉煤灰砖)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3803"/>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本期工程烧结空心砖(粘土砖、页岩砖、煤矸石砖、粉煤灰砖)项目预计总建筑面积XXX平方米，其中：计容建筑面积XXX平方米，计划建筑工程投资XX万元，占烧结空心砖(粘土砖、页岩砖、煤矸石砖、粉煤灰砖)项目总投资的XX%。</w:t>
      </w:r>
    </w:p>
    <w:p>
      <w:pPr>
        <w:pStyle w:val="Heading1"/>
        <w:ind w:firstLine="560" w:firstLineChars="200"/>
        <w:rPr>
          <w:rFonts w:ascii="仿宋" w:eastAsia="仿宋" w:hAnsi="仿宋" w:cs="仿宋" w:hint="eastAsia"/>
          <w:sz w:val="28"/>
          <w:lang w:eastAsia="zh-CN"/>
        </w:rPr>
      </w:pPr>
      <w:bookmarkStart w:id="11" w:name="_Toc1601"/>
      <w:r>
        <w:rPr>
          <w:rFonts w:ascii="仿宋" w:eastAsia="仿宋" w:hAnsi="仿宋" w:cs="仿宋" w:hint="eastAsia"/>
          <w:sz w:val="28"/>
          <w:lang w:eastAsia="zh-CN"/>
        </w:rPr>
        <w:t>三、烧结空心砖(粘土砖、页岩砖、煤矸石砖、粉煤灰砖)项目可持续发展</w:t>
      </w:r>
      <w:bookmarkEnd w:id="11"/>
    </w:p>
    <w:p>
      <w:pPr>
        <w:pStyle w:val="Heading2"/>
        <w:rPr>
          <w:rFonts w:ascii="仿宋" w:eastAsia="仿宋" w:hAnsi="仿宋" w:cs="仿宋" w:hint="eastAsia"/>
          <w:lang w:eastAsia="zh-CN"/>
        </w:rPr>
      </w:pPr>
      <w:bookmarkStart w:id="12" w:name="_Toc29212"/>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烧结空心砖(粘土砖、页岩砖、煤矸石砖、粉煤灰砖)项目中，烧结空心砖(粘土砖、页岩砖、煤矸石砖、粉煤灰砖)项目团队着眼于未来，明确了可持续发展的战略方向。制定的具体可持续发展目标包括降低资源使用、采用环保技术、最大化社会效益等。这一步骤不仅有助于烧结空心砖(粘土砖、页岩砖、煤矸石砖、粉煤灰砖)项目在环保和社会责任方面达到最高标准，也为未来提供了明确的指引，确保烧结空心砖(粘土砖、页岩砖、煤矸石砖、粉煤灰砖)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可持续实践的融入烧结空心砖(粘土砖、页岩砖、煤矸石砖、粉煤灰砖)项目管理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烧结空心砖(粘土砖、页岩砖、煤矸石砖、粉煤灰砖)项目管理周期。从烧结空心砖(粘土砖、页岩砖、煤矸石砖、粉煤灰砖)项目规划开始，烧结空心砖(粘土砖、页岩砖、煤矸石砖、粉煤灰砖)项目团队就考虑了环境和社会的因素。在执行阶段，烧结空心砖(粘土砖、页岩砖、煤矸石砖、粉煤灰砖)项目团队积极推动绿色技术的应用，优化资源利用。此外，关注员工的社会责任，通过培训和沟通活动提高员工对可持续发展的认知，使他们能够在日常工作中践行可持续实践。这些举措不仅为烧结空心砖(粘土砖、页岩砖、煤矸石砖、粉煤灰砖)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724"/>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烧结空心砖(粘土砖、页岩砖、煤矸石砖、粉煤灰砖)项目的可持续发展理念，我们深信环保与社会责任是烧结空心砖(粘土砖、页岩砖、煤矸石砖、粉煤灰砖)项目成功的关键支柱。在烧结空心砖(粘土砖、页岩砖、煤矸石砖、粉煤灰砖)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烧结空心砖(粘土砖、页岩砖、煤矸石砖、粉煤灰砖)项目团队通过引入先进的环保技术、建立高效的废物处理系统以及推动能源节约措施，积极履行环保责任。定期的环保监测和评估确保烧结空心砖(粘土砖、页岩砖、煤矸石砖、粉煤灰砖)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烧结空心砖(粘土砖、页岩砖、煤矸石砖、粉煤灰砖)项目不仅致力于自身可持续发展，还注重对社会的回馈。通过支持社区烧结空心砖(粘土砖、页岩砖、煤矸石砖、粉煤灰砖)项目、参与慈善事业、提供培训机会等方式，烧结空心砖(粘土砖、页岩砖、煤矸石砖、粉煤灰砖)项目积极履行社会责任。与当地社区建立积极互动，关注员工的工作与生活平衡，以及员工的身心健康，是烧结空心砖(粘土砖、页岩砖、煤矸石砖、粉煤灰砖)项目在社会责任层面的关键举措。这样的实践不仅增强了烧结空心砖(粘土砖、页岩砖、煤矸石砖、粉煤灰砖)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5298"/>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969"/>
      <w:r>
        <w:rPr>
          <w:rFonts w:ascii="仿宋" w:eastAsia="仿宋" w:hAnsi="仿宋" w:cs="仿宋" w:hint="eastAsia"/>
          <w:lang w:eastAsia="zh-CN"/>
        </w:rPr>
        <w:t>(一)、烧结空心砖(粘土砖、页岩砖、煤矸石砖、粉煤灰砖)行业分析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烧结空心砖(粘土砖、页岩砖、煤矸石砖、粉煤灰砖)行业一直以来都是市场的关注焦点。行业内的发展趋势、竞争态势以及潜在机会都对烧结空心砖(粘土砖、页岩砖、煤矸石砖、粉煤灰砖)项目的推进产生深远的影响。通过深入研究行业的整体概貌，我们将更好地理解行业的核心特征，为烧结空心砖(粘土砖、页岩砖、煤矸石砖、粉煤灰砖)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烧结空心砖(粘土砖、页岩砖、煤矸石砖、粉煤灰砖)行业，技术一直是推动创新和发展的关键因素。我们将对当前技术趋势进行详尽分析，包括但不限于人工智能、大数据应用、先进制造技术等。这有助于烧结空心砖(粘土砖、页岩砖、煤矸石砖、粉煤灰砖)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烧结空心砖(粘土砖、页岩砖、煤矸石砖、粉煤灰砖)项目成功的基础。我们将对主要竞争对手进行深入研究，包括其市场份额、产品特点、市场定位等。通过全面了解竞争对手的优势和劣势，烧结空心砖(粘土砖、页岩砖、煤矸石砖、粉煤灰砖)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13868"/>
      <w:r>
        <w:rPr>
          <w:rFonts w:ascii="仿宋" w:eastAsia="仿宋" w:hAnsi="仿宋" w:cs="仿宋" w:hint="eastAsia"/>
          <w:sz w:val="28"/>
          <w:lang w:eastAsia="zh-CN"/>
        </w:rPr>
        <w:t>(二)、烧结空心砖(粘土砖、页岩砖、煤矸石砖、粉煤灰砖)市场分析预测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烧结空心砖(粘土砖、页岩砖、煤矸石砖、粉煤灰砖)市场未来的增长趋势。这包括市场的整体规模、各细分领域的发展趋势等。烧结空心砖(粘土砖、页岩砖、煤矸石砖、粉煤灰砖)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烧结空心砖(粘土砖、页岩砖、煤矸石砖、粉煤灰砖)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烧结空心砖(粘土砖、页岩砖、煤矸石砖、粉煤灰砖)项目实施过程中需要充分考虑的因素。我们将对市场风险进行全面评估，包括但不限于政策法规风险、市场竞争风险、技术变革风险等。通过对潜在风险的深入分析，烧结空心砖(粘土砖、页岩砖、煤矸石砖、粉煤灰砖)项目可以制定相应的风险缓解策略，降低不确定性对烧结空心砖(粘土砖、页岩砖、煤矸石砖、粉煤灰砖)项目的影响。</w:t>
      </w:r>
    </w:p>
    <w:p>
      <w:pPr>
        <w:pStyle w:val="Heading1"/>
        <w:ind w:firstLine="560" w:firstLineChars="200"/>
        <w:rPr>
          <w:rFonts w:ascii="仿宋" w:eastAsia="仿宋" w:hAnsi="仿宋" w:cs="仿宋" w:hint="eastAsia"/>
          <w:sz w:val="28"/>
          <w:lang w:eastAsia="zh-CN"/>
        </w:rPr>
      </w:pPr>
      <w:bookmarkStart w:id="17" w:name="_Toc27071"/>
      <w:r>
        <w:rPr>
          <w:rFonts w:ascii="仿宋" w:eastAsia="仿宋" w:hAnsi="仿宋" w:cs="仿宋" w:hint="eastAsia"/>
          <w:sz w:val="28"/>
          <w:lang w:eastAsia="zh-CN"/>
        </w:rPr>
        <w:t>五、烧结空心砖(粘土砖、页岩砖、煤矸石砖、粉煤灰砖)项目建设背景及必要性分析</w:t>
      </w:r>
      <w:bookmarkEnd w:id="17"/>
    </w:p>
    <w:p>
      <w:pPr>
        <w:pStyle w:val="Heading2"/>
        <w:rPr>
          <w:rFonts w:ascii="仿宋" w:eastAsia="仿宋" w:hAnsi="仿宋" w:cs="仿宋" w:hint="eastAsia"/>
          <w:lang w:eastAsia="zh-CN"/>
        </w:rPr>
      </w:pPr>
      <w:bookmarkStart w:id="18" w:name="_Toc20931"/>
      <w:r>
        <w:rPr>
          <w:rFonts w:ascii="仿宋" w:eastAsia="仿宋" w:hAnsi="仿宋" w:cs="仿宋" w:hint="eastAsia"/>
          <w:lang w:eastAsia="zh-CN"/>
        </w:rPr>
        <w:t>(一)、烧结空心砖(粘土砖、页岩砖、煤矸石砖、粉煤灰砖)项目背景分析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烧结空心砖(粘土砖、页岩砖、煤矸石砖、粉煤灰砖)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烧结空心砖(粘土砖、页岩砖、煤矸石砖、粉煤灰砖)项目提供了机遇和挑战的交汇点。</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烧结空心砖(粘土砖、页岩砖、煤矸石砖、粉煤灰砖)项目在这个潮流中的定位。同时，我们将关注行业内涌现的新兴机遇，以便烧结空心砖(粘土砖、页岩砖、煤矸石砖、粉煤灰砖)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烧结空心砖(粘土砖、页岩砖、煤矸石砖、粉煤灰砖)项目提供了强大的发展动力。我们将聚焦于行业内最新的技术发展趋势，包括但不限于人工智能、大数据分析、物联网等领域。通过深度的技术研究，我们将确保烧结空心砖(粘土砖、页岩砖、煤矸石砖、粉煤灰砖)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烧结空心砖(粘土砖、页岩砖、煤矸石砖、粉煤灰砖)项目发展的源泉。我们将投入更多的精力对市场需求进行深入剖析，超越表面的需求，深入挖掘潜在的市场痛点和机遇。通过对市场需求的细致了解，烧结空心砖(粘土砖、页岩砖、煤矸石砖、粉煤灰砖)项目将更有针对性地设计解决方案，满足市场的多样化需求，从而更好地促进烧结空心砖(粘土砖、页岩砖、煤矸石砖、粉煤灰砖)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https://d.book118.com/066235154155010100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B72D35"/>
    <w:rsid w:val="01B72D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6235154155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2024-03-02T07:58:00Z</dcterms:created>
  <dcterms:modified xsi:type="dcterms:W3CDTF">2024-03-02T07:59:04Z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FC11C26416E448DE817C6C5E0758FB6D_11</vt:lpwstr>
  </property>
  <property fmtid="{D5CDD505-2E9C-101B-9397-08002B2CF9AE}" pid="3" name="KSOProductBuildVer">
    <vt:lpwstr>2052-12.1.0.16388</vt:lpwstr>
  </property>
</Properties>
</file>