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ind w:firstLine="786" w:firstLineChars="393"/>
        <w:rPr>
          <w:rFonts w:ascii="宋体" w:hAnsi="宋体" w:hint="eastAsia"/>
          <w:b/>
          <w:bCs/>
          <w:sz w:val="28"/>
        </w:rPr>
        <w:sectPr>
          <w:type w:val="oddPage"/>
          <w:pgSz w:w="23814" w:h="16840" w:orient="landscape"/>
          <w:pgMar w:top="1162" w:right="1270" w:bottom="1162" w:left="1230" w:header="851" w:footer="992" w:gutter="0"/>
          <w:cols w:num="2" w:space="1200" w:equalWidth="1"/>
          <w:titlePg/>
          <w:docGrid w:type="lines" w:linePitch="312"/>
        </w:sectPr>
      </w:pPr>
      <w:r>
        <w:rPr>
          <w:rFonts w:ascii="宋体" w:hAnsi="宋体"/>
          <w:b/>
          <w:bCs/>
          <w:sz w:val="20"/>
        </w:rPr>
        <w:pict>
          <v:shapetype id="_x0000_t202" coordsize="21600,21600" o:spt="202" path="m,l,21600r21600,l21600,xe">
            <v:stroke joinstyle="miter"/>
            <v:path gradientshapeok="t" o:connecttype="rect"/>
          </v:shapetype>
          <v:shape id="_x0000_s1025" type="#_x0000_t202" style="width:765pt;height:382.2pt;margin-top:148.2pt;margin-left:171pt;mso-wrap-style:square;position:absolute;z-index:251658240" stroked="t" strokecolor="white">
            <v:stroke linestyle="single"/>
            <o:lock v:ext="edit" aspectratio="f"/>
            <v:textbox>
              <w:txbxContent>
                <w:p>
                  <w:pPr>
                    <w:ind w:firstLine="1687"/>
                    <w:rPr>
                      <w:rFonts w:ascii="宋体" w:hAnsi="宋体" w:hint="eastAsia"/>
                      <w:b/>
                      <w:bCs/>
                      <w:sz w:val="84"/>
                    </w:rPr>
                  </w:pPr>
                </w:p>
                <w:p>
                  <w:pPr>
                    <w:ind w:firstLine="1687"/>
                    <w:rPr>
                      <w:rFonts w:ascii="宋体" w:hAnsi="宋体" w:hint="eastAsia"/>
                      <w:b/>
                      <w:bCs/>
                      <w:sz w:val="84"/>
                    </w:rPr>
                  </w:pPr>
                </w:p>
                <w:p>
                  <w:pPr>
                    <w:spacing w:line="240" w:lineRule="auto"/>
                    <w:ind w:firstLine="0" w:firstLineChars="0"/>
                    <w:rPr>
                      <w:rFonts w:ascii="宋体" w:hAnsi="宋体" w:hint="eastAsia"/>
                      <w:b/>
                      <w:bCs/>
                      <w:sz w:val="72"/>
                    </w:rPr>
                  </w:pPr>
                  <w:r>
                    <w:rPr>
                      <w:rFonts w:ascii="宋体" w:hAnsi="宋体" w:hint="eastAsia"/>
                      <w:b/>
                      <w:bCs/>
                      <w:sz w:val="72"/>
                      <w:lang w:val="en-US" w:eastAsia="zh-CN"/>
                    </w:rPr>
                    <w:t xml:space="preserve">      </w:t>
                  </w:r>
                  <w:r>
                    <w:rPr>
                      <w:rFonts w:ascii="宋体" w:hAnsi="宋体" w:hint="eastAsia"/>
                      <w:b/>
                      <w:bCs/>
                      <w:sz w:val="72"/>
                      <w:lang w:eastAsia="zh-CN"/>
                    </w:rPr>
                    <w:t>桦南镇</w:t>
                  </w:r>
                  <w:r>
                    <w:rPr>
                      <w:rFonts w:ascii="宋体" w:hAnsi="宋体" w:hint="eastAsia"/>
                      <w:b/>
                      <w:bCs/>
                      <w:sz w:val="72"/>
                    </w:rPr>
                    <w:t>中心城区控制性详细规划</w:t>
                  </w:r>
                </w:p>
                <w:p>
                  <w:pPr>
                    <w:spacing w:line="240" w:lineRule="auto"/>
                    <w:ind w:firstLine="0" w:firstLineChars="0"/>
                    <w:rPr>
                      <w:rFonts w:ascii="宋体" w:hAnsi="宋体" w:hint="eastAsia"/>
                      <w:b/>
                      <w:bCs/>
                      <w:sz w:val="72"/>
                    </w:rPr>
                  </w:pPr>
                </w:p>
                <w:p>
                  <w:pPr>
                    <w:spacing w:line="240" w:lineRule="auto"/>
                    <w:ind w:firstLine="0" w:firstLineChars="0"/>
                    <w:rPr>
                      <w:rFonts w:ascii="宋体" w:hAnsi="宋体" w:hint="eastAsia"/>
                      <w:b/>
                      <w:bCs/>
                      <w:sz w:val="72"/>
                    </w:rPr>
                  </w:pPr>
                </w:p>
                <w:p>
                  <w:pPr>
                    <w:numPr>
                      <w:ilvl w:val="0"/>
                      <w:numId w:val="5"/>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文    本</w:t>
                  </w:r>
                </w:p>
                <w:p>
                  <w:pPr>
                    <w:numPr>
                      <w:ilvl w:val="0"/>
                      <w:numId w:val="5"/>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说 明 书</w:t>
                  </w:r>
                </w:p>
                <w:p>
                  <w:pPr>
                    <w:numPr>
                      <w:ilvl w:val="0"/>
                      <w:numId w:val="5"/>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附    图</w:t>
                  </w:r>
                </w:p>
                <w:p>
                  <w:pPr>
                    <w:numPr>
                      <w:ilvl w:val="0"/>
                      <w:numId w:val="5"/>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分图图册</w:t>
                  </w:r>
                </w:p>
              </w:txbxContent>
            </v:textbox>
          </v:shape>
        </w:pict>
      </w:r>
    </w:p>
    <w:p>
      <w:pPr>
        <w:spacing w:line="360" w:lineRule="auto"/>
        <w:ind w:firstLine="786" w:firstLineChars="393"/>
        <w:rPr>
          <w:rFonts w:ascii="宋体" w:hAnsi="宋体" w:hint="eastAsia"/>
          <w:b/>
          <w:bCs/>
          <w:sz w:val="28"/>
        </w:rPr>
        <w:sectPr>
          <w:type w:val="oddPage"/>
          <w:pgSz w:w="23814" w:h="16840" w:orient="landscape"/>
          <w:pgMar w:top="1162" w:right="1270" w:bottom="1162" w:left="1230" w:header="851" w:footer="992" w:gutter="0"/>
          <w:cols w:num="2" w:space="1200" w:equalWidth="1"/>
          <w:titlePg/>
          <w:docGrid w:type="lines" w:linePitch="312"/>
        </w:sectPr>
      </w:pPr>
      <w:r>
        <w:rPr>
          <w:rFonts w:ascii="宋体" w:hAnsi="宋体"/>
          <w:b/>
          <w:bCs/>
          <w:sz w:val="20"/>
        </w:rPr>
        <w:pict>
          <v:shape id="_x0000_s1026" type="#_x0000_t202" style="width:765pt;height:382.2pt;margin-top:148.2pt;margin-left:171pt;mso-wrap-style:square;position:absolute;z-index:251659264" stroked="t" strokecolor="white">
            <v:stroke linestyle="single"/>
            <o:lock v:ext="edit" aspectratio="f"/>
            <v:textbox>
              <w:txbxContent>
                <w:p>
                  <w:pPr>
                    <w:ind w:firstLine="1687"/>
                    <w:rPr>
                      <w:rFonts w:ascii="宋体" w:hAnsi="宋体" w:hint="eastAsia"/>
                      <w:b/>
                      <w:bCs/>
                      <w:sz w:val="84"/>
                    </w:rPr>
                  </w:pPr>
                </w:p>
                <w:p>
                  <w:pPr>
                    <w:ind w:firstLine="1687"/>
                    <w:rPr>
                      <w:rFonts w:ascii="宋体" w:hAnsi="宋体" w:hint="eastAsia"/>
                      <w:b/>
                      <w:bCs/>
                      <w:sz w:val="84"/>
                    </w:rPr>
                  </w:pPr>
                </w:p>
                <w:p>
                  <w:pPr>
                    <w:spacing w:line="240" w:lineRule="auto"/>
                    <w:ind w:firstLine="0" w:firstLineChars="0"/>
                    <w:rPr>
                      <w:rFonts w:ascii="宋体" w:hAnsi="宋体" w:hint="eastAsia"/>
                      <w:b/>
                      <w:bCs/>
                      <w:sz w:val="72"/>
                    </w:rPr>
                  </w:pPr>
                  <w:r>
                    <w:rPr>
                      <w:rFonts w:ascii="宋体" w:hAnsi="宋体" w:hint="eastAsia"/>
                      <w:b/>
                      <w:bCs/>
                      <w:sz w:val="72"/>
                      <w:lang w:val="en-US" w:eastAsia="zh-CN"/>
                    </w:rPr>
                    <w:t xml:space="preserve">      </w:t>
                  </w:r>
                  <w:r>
                    <w:rPr>
                      <w:rFonts w:ascii="宋体" w:hAnsi="宋体" w:hint="eastAsia"/>
                      <w:b/>
                      <w:bCs/>
                      <w:sz w:val="72"/>
                      <w:lang w:eastAsia="zh-CN"/>
                    </w:rPr>
                    <w:t>桦南镇</w:t>
                  </w:r>
                  <w:r>
                    <w:rPr>
                      <w:rFonts w:ascii="宋体" w:hAnsi="宋体" w:hint="eastAsia"/>
                      <w:b/>
                      <w:bCs/>
                      <w:sz w:val="72"/>
                    </w:rPr>
                    <w:t>中心城区控制性详细规划</w:t>
                  </w:r>
                </w:p>
                <w:p>
                  <w:pPr>
                    <w:spacing w:line="240" w:lineRule="auto"/>
                    <w:ind w:firstLine="0" w:firstLineChars="0"/>
                    <w:rPr>
                      <w:rFonts w:ascii="宋体" w:hAnsi="宋体" w:hint="eastAsia"/>
                      <w:b/>
                      <w:bCs/>
                      <w:sz w:val="72"/>
                    </w:rPr>
                  </w:pPr>
                </w:p>
                <w:p>
                  <w:pPr>
                    <w:spacing w:line="240" w:lineRule="auto"/>
                    <w:ind w:firstLine="0" w:firstLineChars="0"/>
                    <w:rPr>
                      <w:rFonts w:ascii="宋体" w:hAnsi="宋体" w:hint="eastAsia"/>
                      <w:b/>
                      <w:bCs/>
                      <w:sz w:val="72"/>
                    </w:rPr>
                  </w:pPr>
                </w:p>
                <w:p>
                  <w:pPr>
                    <w:numPr>
                      <w:ilvl w:val="0"/>
                      <w:numId w:val="10"/>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文    本</w:t>
                  </w:r>
                </w:p>
                <w:p>
                  <w:pPr>
                    <w:numPr>
                      <w:ilvl w:val="0"/>
                      <w:numId w:val="10"/>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说 明 书</w:t>
                  </w:r>
                </w:p>
                <w:p>
                  <w:pPr>
                    <w:numPr>
                      <w:ilvl w:val="0"/>
                      <w:numId w:val="10"/>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附    图</w:t>
                  </w:r>
                </w:p>
                <w:p>
                  <w:pPr>
                    <w:numPr>
                      <w:ilvl w:val="0"/>
                      <w:numId w:val="10"/>
                    </w:numPr>
                    <w:spacing w:after="156" w:afterLines="50" w:line="240" w:lineRule="auto"/>
                    <w:ind w:left="900" w:leftChars="200" w:firstLineChars="0"/>
                    <w:rPr>
                      <w:rFonts w:ascii="幼圆" w:eastAsia="幼圆" w:hAnsi="宋体" w:hint="eastAsia"/>
                      <w:b/>
                      <w:bCs/>
                      <w:sz w:val="48"/>
                    </w:rPr>
                  </w:pPr>
                  <w:r>
                    <w:rPr>
                      <w:rFonts w:ascii="幼圆" w:eastAsia="幼圆" w:hAnsi="宋体" w:hint="eastAsia"/>
                      <w:b/>
                      <w:bCs/>
                      <w:sz w:val="48"/>
                    </w:rPr>
                    <w:t>分图图册</w:t>
                  </w:r>
                </w:p>
              </w:txbxContent>
            </v:textbox>
          </v:shape>
        </w:pict>
      </w:r>
    </w:p>
    <w:p>
      <w:pPr>
        <w:spacing w:line="360" w:lineRule="auto"/>
        <w:ind w:firstLine="943" w:firstLineChars="393"/>
        <w:rPr>
          <w:rFonts w:ascii="黑体" w:eastAsia="黑体" w:hint="eastAsia"/>
        </w:rPr>
      </w:pPr>
      <w:r>
        <w:rPr>
          <w:rFonts w:ascii="黑体" w:eastAsia="黑体" w:hint="eastAsia"/>
        </w:rPr>
        <w:t xml:space="preserve">项 目   名 称：   </w:t>
      </w:r>
      <w:r>
        <w:rPr>
          <w:rFonts w:ascii="黑体" w:eastAsia="黑体" w:hint="eastAsia"/>
          <w:lang w:eastAsia="zh-CN"/>
        </w:rPr>
        <w:t>桦南镇</w:t>
      </w:r>
      <w:r>
        <w:rPr>
          <w:rFonts w:ascii="黑体" w:eastAsia="黑体" w:hint="eastAsia"/>
        </w:rPr>
        <w:t>中心区控制性详细规划</w:t>
      </w:r>
    </w:p>
    <w:p>
      <w:pPr>
        <w:spacing w:line="360" w:lineRule="auto"/>
        <w:ind w:firstLine="943" w:firstLineChars="393"/>
        <w:rPr>
          <w:rFonts w:ascii="黑体" w:eastAsia="黑体" w:hint="eastAsia"/>
        </w:rPr>
      </w:pPr>
      <w:r>
        <w:rPr>
          <w:rFonts w:ascii="黑体" w:eastAsia="黑体" w:hint="eastAsia"/>
        </w:rPr>
        <w:t xml:space="preserve">委托方〔甲方〕：   </w:t>
      </w:r>
      <w:r>
        <w:rPr>
          <w:rFonts w:ascii="黑体" w:eastAsia="黑体" w:hint="eastAsia"/>
          <w:lang w:eastAsia="zh-CN"/>
        </w:rPr>
        <w:t>桦南镇</w:t>
      </w:r>
      <w:r>
        <w:rPr>
          <w:rFonts w:ascii="黑体" w:eastAsia="黑体" w:hint="eastAsia"/>
        </w:rPr>
        <w:t xml:space="preserve">人民政府    </w:t>
      </w:r>
      <w:r>
        <w:rPr>
          <w:rFonts w:ascii="黑体" w:eastAsia="黑体" w:hint="eastAsia"/>
          <w:lang w:eastAsia="zh-CN"/>
        </w:rPr>
        <w:t>桦南镇</w:t>
      </w:r>
      <w:r>
        <w:rPr>
          <w:rFonts w:ascii="黑体" w:eastAsia="黑体" w:hint="eastAsia"/>
        </w:rPr>
        <w:t>城乡规划局</w:t>
      </w:r>
    </w:p>
    <w:p>
      <w:pPr>
        <w:spacing w:line="360" w:lineRule="auto"/>
        <w:ind w:firstLine="943" w:firstLineChars="393"/>
        <w:rPr>
          <w:rFonts w:ascii="黑体" w:eastAsia="黑体" w:hint="eastAsia"/>
        </w:rPr>
      </w:pPr>
      <w:r>
        <w:rPr>
          <w:rFonts w:ascii="黑体" w:eastAsia="黑体" w:hint="eastAsia"/>
        </w:rPr>
        <w:t xml:space="preserve">承当方〔乙方〕：   </w:t>
      </w:r>
      <w:r>
        <w:rPr>
          <w:rFonts w:ascii="黑体" w:eastAsia="黑体" w:hint="eastAsia"/>
          <w:lang w:eastAsia="zh-CN"/>
        </w:rPr>
        <w:t>聚义</w:t>
      </w:r>
      <w:r>
        <w:rPr>
          <w:rFonts w:ascii="黑体" w:eastAsia="黑体" w:hint="eastAsia"/>
        </w:rPr>
        <w:t>规划建筑设计</w:t>
      </w:r>
      <w:r>
        <w:rPr>
          <w:rFonts w:ascii="黑体" w:eastAsia="黑体" w:hint="eastAsia"/>
          <w:lang w:eastAsia="zh-CN"/>
        </w:rPr>
        <w:t>股份</w:t>
      </w:r>
    </w:p>
    <w:p>
      <w:pPr>
        <w:spacing w:line="360" w:lineRule="auto"/>
        <w:ind w:firstLine="943" w:firstLineChars="393"/>
        <w:rPr>
          <w:rFonts w:ascii="黑体" w:eastAsia="黑体" w:hint="eastAsia"/>
        </w:rPr>
      </w:pPr>
      <w:r>
        <w:rPr>
          <w:rFonts w:ascii="黑体" w:eastAsia="黑体" w:hint="eastAsia"/>
        </w:rPr>
        <w:t xml:space="preserve">国家事业法人代码： </w:t>
      </w:r>
    </w:p>
    <w:p>
      <w:pPr>
        <w:spacing w:line="360" w:lineRule="auto"/>
        <w:ind w:firstLine="943" w:firstLineChars="393"/>
        <w:rPr>
          <w:rFonts w:ascii="黑体" w:eastAsia="黑体" w:hint="eastAsia"/>
        </w:rPr>
      </w:pPr>
      <w:r>
        <w:rPr>
          <w:rFonts w:ascii="黑体" w:eastAsia="黑体" w:hint="eastAsia"/>
        </w:rPr>
        <w:t xml:space="preserve">城市规划编制资质证书等级：  </w:t>
      </w:r>
      <w:r>
        <w:rPr>
          <w:rFonts w:ascii="黑体" w:eastAsia="黑体" w:hint="eastAsia"/>
          <w:lang w:eastAsia="zh-CN"/>
        </w:rPr>
        <w:t>甲</w:t>
      </w:r>
      <w:r>
        <w:rPr>
          <w:rFonts w:ascii="黑体" w:eastAsia="黑体" w:hint="eastAsia"/>
        </w:rPr>
        <w:t>级</w:t>
      </w:r>
    </w:p>
    <w:p>
      <w:pPr>
        <w:spacing w:line="360" w:lineRule="auto"/>
        <w:ind w:firstLine="943" w:firstLineChars="393"/>
        <w:rPr>
          <w:rFonts w:ascii="黑体" w:eastAsia="黑体"/>
        </w:rPr>
      </w:pPr>
      <w:r>
        <w:rPr>
          <w:rFonts w:ascii="黑体" w:eastAsia="黑体" w:hint="eastAsia"/>
        </w:rPr>
        <w:t>城市规划编制资质证书编号：  [黑]城规编第〔022016〕号</w:t>
      </w: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r>
        <w:rPr>
          <w:rFonts w:ascii="黑体" w:eastAsia="黑体" w:hint="eastAsia"/>
        </w:rPr>
        <w:t>院    长：</w:t>
      </w:r>
    </w:p>
    <w:p>
      <w:pPr>
        <w:spacing w:line="360" w:lineRule="auto"/>
        <w:ind w:firstLine="943" w:firstLineChars="393"/>
        <w:rPr>
          <w:rFonts w:ascii="黑体" w:eastAsia="黑体" w:hint="eastAsia"/>
        </w:rPr>
      </w:pPr>
      <w:r>
        <w:rPr>
          <w:rFonts w:ascii="黑体" w:eastAsia="黑体" w:hint="eastAsia"/>
          <w:lang w:eastAsia="zh-CN"/>
        </w:rPr>
        <w:t>万亚男</w:t>
      </w: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r>
        <w:rPr>
          <w:rFonts w:ascii="黑体" w:eastAsia="黑体" w:hint="eastAsia"/>
        </w:rPr>
        <w:t>总规划师：</w:t>
      </w:r>
    </w:p>
    <w:p>
      <w:pPr>
        <w:spacing w:line="360" w:lineRule="auto"/>
        <w:ind w:firstLine="943" w:firstLineChars="393"/>
        <w:rPr>
          <w:rFonts w:ascii="黑体" w:eastAsia="黑体" w:hint="eastAsia"/>
        </w:rPr>
      </w:pPr>
      <w:r>
        <w:rPr>
          <w:rFonts w:ascii="黑体" w:eastAsia="黑体" w:hint="eastAsia"/>
          <w:lang w:eastAsia="zh-CN"/>
        </w:rPr>
        <w:t>万亚男</w:t>
      </w: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r>
        <w:rPr>
          <w:rFonts w:ascii="黑体" w:eastAsia="黑体" w:hint="eastAsia"/>
        </w:rPr>
        <w:t>院规划设计成果专用章：</w:t>
      </w:r>
    </w:p>
    <w:p>
      <w:pPr>
        <w:ind w:firstLine="480"/>
        <w:rPr>
          <w:rFonts w:ascii="黑体" w:eastAsia="黑体" w:hint="eastAsia"/>
        </w:rPr>
      </w:pPr>
    </w:p>
    <w:p>
      <w:pPr>
        <w:ind w:firstLine="480"/>
        <w:rPr>
          <w:rFonts w:ascii="黑体" w:eastAsia="黑体" w:hint="eastAsia"/>
        </w:rPr>
      </w:pPr>
    </w:p>
    <w:p>
      <w:pPr>
        <w:ind w:firstLine="480"/>
        <w:rPr>
          <w:rFonts w:ascii="黑体" w:eastAsia="黑体" w:hint="eastAsia"/>
        </w:rPr>
      </w:pPr>
    </w:p>
    <w:p>
      <w:pPr>
        <w:ind w:firstLine="480"/>
        <w:rPr>
          <w:rFonts w:ascii="黑体" w:eastAsia="黑体" w:hint="eastAsia"/>
        </w:rPr>
      </w:pPr>
    </w:p>
    <w:p>
      <w:pPr>
        <w:ind w:firstLine="480"/>
        <w:rPr>
          <w:rFonts w:ascii="黑体" w:eastAsia="黑体" w:hint="eastAsia"/>
        </w:rPr>
      </w:pPr>
    </w:p>
    <w:p>
      <w:pPr>
        <w:ind w:firstLine="480"/>
        <w:rPr>
          <w:rFonts w:ascii="黑体" w:eastAsia="黑体" w:hint="eastAsia"/>
        </w:rPr>
      </w:pPr>
    </w:p>
    <w:p>
      <w:pPr>
        <w:ind w:firstLine="480"/>
        <w:rPr>
          <w:rFonts w:ascii="黑体" w:eastAsia="黑体" w:hint="eastAsia"/>
        </w:rPr>
      </w:pPr>
    </w:p>
    <w:p>
      <w:pPr>
        <w:ind w:firstLine="0" w:firstLineChars="0"/>
        <w:rPr>
          <w:rFonts w:ascii="黑体" w:eastAsia="黑体" w:hint="eastAsia"/>
        </w:rPr>
      </w:pPr>
    </w:p>
    <w:p>
      <w:pPr>
        <w:ind w:firstLine="960" w:firstLineChars="400"/>
        <w:rPr>
          <w:rFonts w:ascii="黑体" w:eastAsia="黑体" w:hint="eastAsia"/>
        </w:rPr>
      </w:pPr>
    </w:p>
    <w:p>
      <w:pPr>
        <w:ind w:firstLine="0" w:firstLineChars="0"/>
        <w:rPr>
          <w:rFonts w:ascii="黑体" w:eastAsia="黑体" w:hint="eastAsia"/>
        </w:rPr>
      </w:pPr>
    </w:p>
    <w:p>
      <w:pPr>
        <w:ind w:firstLine="960" w:firstLineChars="400"/>
        <w:sectPr>
          <w:type w:val="nextPage"/>
          <w:pgSz w:w="23814" w:h="16840" w:orient="landscape"/>
          <w:pgMar w:top="1162" w:right="1270" w:bottom="1162" w:left="1230" w:header="851" w:footer="992" w:gutter="0"/>
          <w:pgNumType w:start="2"/>
          <w:cols w:num="2" w:space="1200" w:equalWidth="1"/>
          <w:titlePg w:val="0"/>
          <w:docGrid w:type="lines" w:linePitch="312"/>
        </w:sectPr>
      </w:pPr>
      <w:r>
        <w:rPr>
          <w:rFonts w:ascii="黑体" w:eastAsia="黑体" w:hint="eastAsia"/>
        </w:rPr>
        <w:t>规划设计编制完成时间：       20</w:t>
      </w:r>
      <w:r>
        <w:rPr>
          <w:rFonts w:ascii="黑体" w:eastAsia="黑体" w:hint="eastAsia"/>
          <w:lang w:val="en-US" w:eastAsia="zh-CN"/>
        </w:rPr>
        <w:t>13</w:t>
      </w:r>
      <w:r>
        <w:rPr>
          <w:rFonts w:ascii="黑体" w:eastAsia="黑体" w:hint="eastAsia"/>
        </w:rPr>
        <w:t xml:space="preserve">年 </w:t>
      </w:r>
      <w:r>
        <w:rPr>
          <w:rFonts w:ascii="黑体" w:eastAsia="黑体" w:hint="eastAsia"/>
          <w:lang w:val="en-US" w:eastAsia="zh-CN"/>
        </w:rPr>
        <w:t>6</w:t>
      </w:r>
      <w:r>
        <w:rPr>
          <w:rFonts w:ascii="黑体" w:eastAsia="黑体" w:hint="eastAsia"/>
        </w:rPr>
        <w:t xml:space="preserve"> 月 </w:t>
      </w: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r>
        <w:rPr>
          <w:rFonts w:ascii="黑体" w:eastAsia="黑体" w:hint="eastAsia"/>
        </w:rPr>
        <w:t xml:space="preserve">编制单位： </w:t>
      </w:r>
    </w:p>
    <w:p>
      <w:pPr>
        <w:spacing w:line="360" w:lineRule="auto"/>
        <w:ind w:firstLine="943" w:firstLineChars="393"/>
        <w:rPr>
          <w:rFonts w:ascii="黑体" w:eastAsia="黑体" w:hint="eastAsia"/>
        </w:rPr>
      </w:pPr>
      <w:r>
        <w:rPr>
          <w:rFonts w:ascii="黑体" w:eastAsia="黑体" w:hint="eastAsia"/>
          <w:lang w:eastAsia="zh-CN"/>
        </w:rPr>
        <w:t>聚义</w:t>
      </w:r>
      <w:r>
        <w:rPr>
          <w:rFonts w:ascii="黑体" w:eastAsia="黑体" w:hint="eastAsia"/>
        </w:rPr>
        <w:t>规划建筑设计</w:t>
      </w:r>
      <w:r>
        <w:rPr>
          <w:rFonts w:ascii="黑体" w:eastAsia="黑体" w:hint="eastAsia"/>
          <w:lang w:eastAsia="zh-CN"/>
        </w:rPr>
        <w:t>股份</w:t>
      </w:r>
    </w:p>
    <w:p>
      <w:pPr>
        <w:spacing w:line="360" w:lineRule="auto"/>
        <w:ind w:firstLine="943" w:firstLineChars="393"/>
        <w:rPr>
          <w:rFonts w:ascii="黑体" w:eastAsia="黑体" w:hint="eastAsia"/>
        </w:rPr>
      </w:pPr>
      <w:r>
        <w:rPr>
          <w:rFonts w:ascii="黑体" w:eastAsia="黑体" w:hint="eastAsia"/>
        </w:rPr>
        <w:t>编制人员名单：</w:t>
      </w:r>
    </w:p>
    <w:p>
      <w:pPr>
        <w:spacing w:line="360" w:lineRule="auto"/>
        <w:ind w:firstLine="943" w:firstLineChars="393"/>
        <w:rPr>
          <w:rFonts w:ascii="楷体_GB2312" w:eastAsia="楷体_GB2312" w:hint="eastAsia"/>
        </w:rPr>
      </w:pPr>
      <w:r>
        <w:rPr>
          <w:rFonts w:ascii="黑体" w:eastAsia="黑体" w:hint="eastAsia"/>
        </w:rPr>
        <w:t>工程负责人：</w:t>
      </w:r>
      <w:r>
        <w:rPr>
          <w:rFonts w:ascii="黑体" w:eastAsia="黑体" w:hint="eastAsia"/>
          <w:lang w:eastAsia="zh-CN"/>
        </w:rPr>
        <w:t>万亚男</w:t>
      </w:r>
      <w:r>
        <w:rPr>
          <w:rFonts w:ascii="楷体_GB2312" w:eastAsia="楷体_GB2312" w:hint="eastAsia"/>
        </w:rPr>
        <w:t xml:space="preserve">            </w:t>
      </w:r>
    </w:p>
    <w:p>
      <w:pPr>
        <w:spacing w:line="360" w:lineRule="auto"/>
        <w:ind w:firstLine="943" w:firstLineChars="393"/>
        <w:rPr>
          <w:rFonts w:ascii="黑体" w:eastAsia="黑体" w:hint="eastAsia"/>
        </w:rPr>
      </w:pPr>
    </w:p>
    <w:p>
      <w:pPr>
        <w:spacing w:line="360" w:lineRule="auto"/>
        <w:ind w:firstLine="943" w:firstLineChars="393"/>
        <w:rPr>
          <w:rFonts w:ascii="楷体_GB2312" w:eastAsia="楷体_GB2312" w:hint="eastAsia"/>
        </w:rPr>
      </w:pPr>
      <w:r>
        <w:rPr>
          <w:rFonts w:ascii="黑体" w:eastAsia="黑体" w:hint="eastAsia"/>
        </w:rPr>
        <w:t xml:space="preserve">  </w:t>
      </w:r>
    </w:p>
    <w:p>
      <w:pPr>
        <w:spacing w:line="360" w:lineRule="auto"/>
        <w:ind w:firstLine="943" w:firstLineChars="393"/>
        <w:rPr>
          <w:rFonts w:ascii="黑体" w:eastAsia="黑体" w:hint="eastAsia"/>
        </w:rPr>
      </w:pPr>
      <w:r>
        <w:rPr>
          <w:rFonts w:ascii="黑体" w:eastAsia="黑体" w:hint="eastAsia"/>
        </w:rPr>
        <w:t xml:space="preserve">  </w:t>
      </w:r>
    </w:p>
    <w:p>
      <w:pPr>
        <w:spacing w:line="360" w:lineRule="auto"/>
        <w:ind w:firstLine="943" w:firstLineChars="393"/>
        <w:rPr>
          <w:rFonts w:ascii="黑体" w:eastAsia="黑体" w:hint="eastAsia"/>
        </w:rPr>
      </w:pPr>
      <w:r>
        <w:rPr>
          <w:rFonts w:ascii="黑体" w:eastAsia="黑体" w:hint="eastAsia"/>
        </w:rPr>
        <w:t xml:space="preserve">         </w:t>
      </w:r>
    </w:p>
    <w:p>
      <w:pPr>
        <w:spacing w:line="360" w:lineRule="auto"/>
        <w:ind w:firstLine="943" w:firstLineChars="393"/>
        <w:rPr>
          <w:rFonts w:ascii="黑体" w:eastAsia="黑体" w:hint="eastAsia"/>
        </w:rPr>
      </w:pPr>
    </w:p>
    <w:p>
      <w:pPr>
        <w:spacing w:line="360" w:lineRule="auto"/>
        <w:ind w:firstLine="943" w:firstLineChars="393"/>
        <w:rPr>
          <w:rFonts w:ascii="黑体" w:eastAsia="黑体" w:hint="eastAsia"/>
        </w:rPr>
      </w:pPr>
      <w:r>
        <w:rPr>
          <w:rFonts w:ascii="黑体" w:eastAsia="黑体" w:hint="eastAsia"/>
        </w:rPr>
        <w:t xml:space="preserve"> </w:t>
      </w:r>
    </w:p>
    <w:p>
      <w:pPr>
        <w:spacing w:line="360" w:lineRule="auto"/>
        <w:ind w:firstLine="960" w:firstLineChars="400"/>
        <w:rPr>
          <w:rFonts w:ascii="楷体_GB2312" w:eastAsia="楷体_GB2312" w:hint="eastAsia"/>
        </w:rPr>
      </w:pPr>
      <w:r>
        <w:rPr>
          <w:rFonts w:ascii="黑体" w:eastAsia="黑体" w:hint="eastAsia"/>
        </w:rPr>
        <w:t xml:space="preserve">       </w:t>
      </w:r>
    </w:p>
    <w:p>
      <w:pPr>
        <w:spacing w:line="360" w:lineRule="auto"/>
        <w:ind w:firstLine="943" w:firstLineChars="393"/>
        <w:rPr>
          <w:rFonts w:ascii="楷体_GB2312" w:eastAsia="楷体_GB2312" w:hint="eastAsia"/>
        </w:rPr>
      </w:pPr>
      <w:r>
        <w:rPr>
          <w:rFonts w:ascii="楷体_GB2312" w:eastAsia="楷体_GB2312" w:hint="eastAsia"/>
        </w:rPr>
        <w:t xml:space="preserve">  </w:t>
        <w:tab/>
        <w:t xml:space="preserve">         </w:t>
      </w:r>
    </w:p>
    <w:p>
      <w:pPr>
        <w:spacing w:line="360" w:lineRule="auto"/>
        <w:ind w:firstLine="2381" w:firstLineChars="992"/>
        <w:rPr>
          <w:rFonts w:ascii="楷体_GB2312" w:eastAsia="楷体_GB2312" w:hint="eastAsia"/>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pPr>
    </w:p>
    <w:p>
      <w:pPr>
        <w:ind w:firstLine="0" w:firstLineChars="0"/>
        <w:rPr>
          <w:rFonts w:hint="eastAsia"/>
          <w:b/>
          <w:bCs/>
          <w:caps/>
          <w:sz w:val="28"/>
          <w:szCs w:val="28"/>
        </w:rPr>
        <w:sectPr>
          <w:type w:val="nextPage"/>
          <w:pgSz w:w="23814" w:h="16840" w:orient="landscape"/>
          <w:pgMar w:top="1162" w:right="1270" w:bottom="1162" w:left="1230" w:header="851" w:footer="992" w:gutter="0"/>
          <w:pgNumType w:start="3"/>
          <w:cols w:num="2" w:space="1200" w:equalWidth="1"/>
          <w:titlePg w:val="0"/>
          <w:docGrid w:type="lines" w:linePitch="312"/>
        </w:sectPr>
      </w:pPr>
    </w:p>
    <w:p>
      <w:pPr>
        <w:spacing w:line="240" w:lineRule="auto"/>
        <w:ind w:firstLine="0" w:firstLineChars="0"/>
        <w:rPr>
          <w:rFonts w:hint="eastAsia"/>
          <w:b/>
          <w:bCs/>
          <w:sz w:val="48"/>
        </w:rPr>
      </w:pPr>
      <w:r>
        <w:rPr>
          <w:rFonts w:hint="eastAsia"/>
          <w:b/>
          <w:bCs/>
          <w:sz w:val="48"/>
        </w:rPr>
        <w:t>目       录</w:t>
      </w:r>
    </w:p>
    <w:p>
      <w:pPr>
        <w:spacing w:line="240" w:lineRule="auto"/>
        <w:ind w:firstLine="0" w:firstLineChars="0"/>
        <w:rPr>
          <w:rFonts w:hint="eastAsia"/>
          <w:b/>
          <w:bCs/>
          <w:sz w:val="48"/>
        </w:rPr>
      </w:pPr>
      <w:r>
        <w:rPr>
          <w:b/>
          <w:bCs/>
          <w:sz w:val="20"/>
        </w:rPr>
        <w:pict>
          <v:shape id="_x0000_s1027" type="#_x0000_t202" style="width:171pt;height:62.4pt;margin-top:19pt;margin-left:-30.65pt;mso-wrap-style:square;position:absolute;z-index:-251656192" wrapcoords="-95 0 -95 21600 21695 21600 21695 0 -95 0" stroked="t" strokecolor="white">
            <v:stroke linestyle="single"/>
            <o:lock v:ext="edit" aspectratio="f"/>
            <v:textbox>
              <w:txbxContent>
                <w:p>
                  <w:pPr>
                    <w:numPr>
                      <w:ilvl w:val="0"/>
                      <w:numId w:val="6"/>
                    </w:numPr>
                    <w:spacing w:line="240" w:lineRule="auto"/>
                    <w:ind w:left="1305" w:firstLineChars="0"/>
                    <w:rPr>
                      <w:b/>
                      <w:bCs/>
                      <w:sz w:val="44"/>
                    </w:rPr>
                  </w:pPr>
                  <w:r>
                    <w:rPr>
                      <w:rFonts w:hint="eastAsia"/>
                      <w:b/>
                      <w:bCs/>
                      <w:sz w:val="44"/>
                    </w:rPr>
                    <w:t>文  本</w:t>
                  </w:r>
                </w:p>
              </w:txbxContent>
            </v:textbox>
          </v:shape>
        </w:pict>
      </w:r>
    </w:p>
    <w:p>
      <w:pPr>
        <w:spacing w:line="240" w:lineRule="auto"/>
        <w:ind w:firstLine="0" w:firstLineChars="0"/>
        <w:rPr>
          <w:rFonts w:hint="eastAsia"/>
          <w:b/>
          <w:bCs/>
          <w:sz w:val="48"/>
        </w:rPr>
      </w:pPr>
    </w:p>
    <w:p>
      <w:pPr>
        <w:pStyle w:val="TOC1"/>
        <w:tabs>
          <w:tab w:val="right" w:leader="dot" w:pos="8398"/>
        </w:tabs>
        <w:ind w:firstLine="562"/>
        <w:rPr>
          <w:color w:val="auto"/>
          <w:sz w:val="21"/>
          <w:szCs w:val="24"/>
        </w:rPr>
      </w:pPr>
      <w:r>
        <w:rPr>
          <w:color w:val="auto"/>
        </w:rPr>
        <w:fldChar w:fldCharType="begin"/>
      </w:r>
      <w:r>
        <w:rPr>
          <w:color w:val="auto"/>
        </w:rPr>
        <w:instrText xml:space="preserve"> TOC \o "1-1" \h \z </w:instrText>
      </w:r>
      <w:r>
        <w:rPr>
          <w:color w:val="auto"/>
        </w:rPr>
        <w:fldChar w:fldCharType="separate"/>
      </w:r>
      <w:hyperlink w:anchor="_Toc94589638" w:history="1">
        <w:r>
          <w:rPr>
            <w:rStyle w:val="Hyperlink"/>
            <w:rFonts w:hint="eastAsia"/>
            <w:color w:val="auto"/>
          </w:rPr>
          <w:t>第一章</w:t>
        </w:r>
        <w:r>
          <w:rPr>
            <w:rStyle w:val="Hyperlink"/>
            <w:color w:val="auto"/>
          </w:rPr>
          <w:t xml:space="preserve"> </w:t>
        </w:r>
        <w:r>
          <w:rPr>
            <w:rStyle w:val="Hyperlink"/>
            <w:rFonts w:hint="eastAsia"/>
            <w:color w:val="auto"/>
          </w:rPr>
          <w:t>总</w:t>
        </w:r>
        <w:r>
          <w:rPr>
            <w:rStyle w:val="Hyperlink"/>
            <w:color w:val="auto"/>
          </w:rPr>
          <w:t xml:space="preserve">    </w:t>
        </w:r>
        <w:r>
          <w:rPr>
            <w:rStyle w:val="Hyperlink"/>
            <w:rFonts w:hint="eastAsia"/>
            <w:color w:val="auto"/>
          </w:rPr>
          <w:t>那么</w:t>
        </w:r>
        <w:r>
          <w:rPr>
            <w:color w:val="auto"/>
          </w:rPr>
          <w:tab/>
        </w:r>
        <w:r>
          <w:rPr>
            <w:color w:val="auto"/>
          </w:rPr>
          <w:fldChar w:fldCharType="begin" w:dirty="1"/>
        </w:r>
        <w:r>
          <w:rPr>
            <w:color w:val="auto"/>
          </w:rPr>
          <w:instrText xml:space="preserve"> PAGEREF _Toc94589638 \h </w:instrText>
        </w:r>
        <w:r>
          <w:rPr>
            <w:color w:val="auto"/>
          </w:rPr>
          <w:fldChar w:fldCharType="separate"/>
        </w:r>
        <w:r>
          <w:rPr>
            <w:color w:val="auto"/>
          </w:rPr>
          <w:t>7</w:t>
        </w:r>
        <w:r>
          <w:rPr>
            <w:color w:val="auto"/>
          </w:rPr>
          <w:fldChar w:fldCharType="end"/>
        </w:r>
      </w:hyperlink>
    </w:p>
    <w:p>
      <w:pPr>
        <w:pStyle w:val="TOC1"/>
        <w:tabs>
          <w:tab w:val="right" w:leader="dot" w:pos="8398"/>
        </w:tabs>
        <w:ind w:firstLine="562"/>
        <w:rPr>
          <w:color w:val="auto"/>
          <w:sz w:val="21"/>
          <w:szCs w:val="24"/>
        </w:rPr>
      </w:pPr>
      <w:hyperlink w:anchor="_Toc94589639" w:history="1">
        <w:r>
          <w:rPr>
            <w:rStyle w:val="Hyperlink"/>
            <w:rFonts w:hint="eastAsia"/>
            <w:color w:val="auto"/>
          </w:rPr>
          <w:t>第二章</w:t>
        </w:r>
        <w:r>
          <w:rPr>
            <w:rStyle w:val="Hyperlink"/>
            <w:color w:val="auto"/>
          </w:rPr>
          <w:t xml:space="preserve"> </w:t>
        </w:r>
        <w:r>
          <w:rPr>
            <w:rStyle w:val="Hyperlink"/>
            <w:rFonts w:hint="eastAsia"/>
            <w:color w:val="auto"/>
          </w:rPr>
          <w:t>功能定位与总体布局</w:t>
        </w:r>
        <w:r>
          <w:rPr>
            <w:color w:val="auto"/>
          </w:rPr>
          <w:tab/>
        </w:r>
        <w:r>
          <w:rPr>
            <w:color w:val="auto"/>
          </w:rPr>
          <w:fldChar w:fldCharType="begin" w:dirty="1"/>
        </w:r>
        <w:r>
          <w:rPr>
            <w:color w:val="auto"/>
          </w:rPr>
          <w:instrText xml:space="preserve"> PAGEREF _Toc94589639 \h </w:instrText>
        </w:r>
        <w:r>
          <w:rPr>
            <w:color w:val="auto"/>
          </w:rPr>
          <w:fldChar w:fldCharType="separate"/>
        </w:r>
        <w:r>
          <w:rPr>
            <w:color w:val="auto"/>
          </w:rPr>
          <w:t>8</w:t>
        </w:r>
        <w:r>
          <w:rPr>
            <w:color w:val="auto"/>
          </w:rPr>
          <w:fldChar w:fldCharType="end"/>
        </w:r>
      </w:hyperlink>
    </w:p>
    <w:p>
      <w:pPr>
        <w:pStyle w:val="TOC1"/>
        <w:tabs>
          <w:tab w:val="right" w:leader="dot" w:pos="8398"/>
        </w:tabs>
        <w:ind w:firstLine="562"/>
        <w:rPr>
          <w:color w:val="auto"/>
          <w:sz w:val="21"/>
          <w:szCs w:val="24"/>
        </w:rPr>
      </w:pPr>
      <w:hyperlink w:anchor="_Toc94589640" w:history="1">
        <w:r>
          <w:rPr>
            <w:rStyle w:val="Hyperlink"/>
            <w:rFonts w:hint="eastAsia"/>
            <w:color w:val="auto"/>
          </w:rPr>
          <w:t>第三章</w:t>
        </w:r>
        <w:r>
          <w:rPr>
            <w:rStyle w:val="Hyperlink"/>
            <w:color w:val="auto"/>
          </w:rPr>
          <w:t xml:space="preserve"> </w:t>
        </w:r>
        <w:r>
          <w:rPr>
            <w:rStyle w:val="Hyperlink"/>
            <w:rFonts w:hint="eastAsia"/>
            <w:color w:val="auto"/>
          </w:rPr>
          <w:t>土地使用性质</w:t>
        </w:r>
        <w:bookmarkStart w:id="0" w:name="_Hlt122577556"/>
        <w:r>
          <w:rPr>
            <w:rStyle w:val="Hyperlink"/>
            <w:rFonts w:hint="eastAsia"/>
            <w:color w:val="auto"/>
          </w:rPr>
          <w:t>分</w:t>
        </w:r>
        <w:bookmarkEnd w:id="0"/>
        <w:r>
          <w:rPr>
            <w:rStyle w:val="Hyperlink"/>
            <w:rFonts w:hint="eastAsia"/>
            <w:color w:val="auto"/>
          </w:rPr>
          <w:t>类及控制</w:t>
        </w:r>
        <w:r>
          <w:rPr>
            <w:color w:val="auto"/>
          </w:rPr>
          <w:tab/>
        </w:r>
        <w:r>
          <w:rPr>
            <w:color w:val="auto"/>
          </w:rPr>
          <w:fldChar w:fldCharType="begin" w:dirty="1"/>
        </w:r>
        <w:r>
          <w:rPr>
            <w:color w:val="auto"/>
          </w:rPr>
          <w:instrText xml:space="preserve"> PAGEREF _Toc94589640 \h </w:instrText>
        </w:r>
        <w:r>
          <w:rPr>
            <w:color w:val="auto"/>
          </w:rPr>
          <w:fldChar w:fldCharType="separate"/>
        </w:r>
        <w:r>
          <w:rPr>
            <w:color w:val="auto"/>
          </w:rPr>
          <w:t>8</w:t>
        </w:r>
        <w:r>
          <w:rPr>
            <w:color w:val="auto"/>
          </w:rPr>
          <w:fldChar w:fldCharType="end"/>
        </w:r>
      </w:hyperlink>
    </w:p>
    <w:p>
      <w:pPr>
        <w:pStyle w:val="TOC1"/>
        <w:tabs>
          <w:tab w:val="right" w:leader="dot" w:pos="8398"/>
        </w:tabs>
        <w:ind w:firstLine="562"/>
        <w:rPr>
          <w:color w:val="auto"/>
          <w:sz w:val="21"/>
          <w:szCs w:val="24"/>
        </w:rPr>
      </w:pPr>
      <w:hyperlink w:anchor="_Toc94589640" w:history="1">
        <w:r>
          <w:rPr>
            <w:rStyle w:val="Hyperlink"/>
            <w:rFonts w:hint="eastAsia"/>
            <w:color w:val="auto"/>
          </w:rPr>
          <w:t>第四章</w:t>
        </w:r>
        <w:r>
          <w:rPr>
            <w:rStyle w:val="Hyperlink"/>
            <w:color w:val="auto"/>
          </w:rPr>
          <w:t xml:space="preserve"> </w:t>
        </w:r>
        <w:r>
          <w:rPr>
            <w:rStyle w:val="Hyperlink"/>
            <w:rFonts w:hint="eastAsia"/>
            <w:color w:val="auto"/>
          </w:rPr>
          <w:t>土地使用强度控制</w:t>
        </w:r>
        <w:r>
          <w:rPr>
            <w:color w:val="auto"/>
          </w:rPr>
          <w:tab/>
        </w:r>
        <w:r>
          <w:rPr>
            <w:color w:val="auto"/>
          </w:rPr>
          <w:fldChar w:fldCharType="begin" w:dirty="1"/>
        </w:r>
        <w:r>
          <w:rPr>
            <w:color w:val="auto"/>
          </w:rPr>
          <w:instrText xml:space="preserve"> PAGEREF _Toc94589640 \h </w:instrText>
        </w:r>
        <w:r>
          <w:rPr>
            <w:color w:val="auto"/>
          </w:rPr>
          <w:fldChar w:fldCharType="separate"/>
        </w:r>
        <w:r>
          <w:rPr>
            <w:color w:val="auto"/>
          </w:rPr>
          <w:t>8</w:t>
        </w:r>
        <w:r>
          <w:rPr>
            <w:color w:val="auto"/>
          </w:rPr>
          <w:fldChar w:fldCharType="end"/>
        </w:r>
      </w:hyperlink>
    </w:p>
    <w:p>
      <w:pPr>
        <w:pStyle w:val="TOC1"/>
        <w:tabs>
          <w:tab w:val="right" w:leader="dot" w:pos="8398"/>
        </w:tabs>
        <w:ind w:firstLine="562"/>
        <w:rPr>
          <w:rStyle w:val="Hyperlink"/>
          <w:rFonts w:hint="eastAsia"/>
          <w:color w:val="auto"/>
        </w:rPr>
      </w:pPr>
      <w:hyperlink w:anchor="_Toc94589641" w:history="1">
        <w:r>
          <w:rPr>
            <w:rStyle w:val="Hyperlink"/>
            <w:rFonts w:hint="eastAsia"/>
            <w:color w:val="auto"/>
          </w:rPr>
          <w:t>第五章</w:t>
        </w:r>
        <w:r>
          <w:rPr>
            <w:rStyle w:val="Hyperlink"/>
            <w:color w:val="auto"/>
          </w:rPr>
          <w:t xml:space="preserve"> </w:t>
        </w:r>
        <w:r>
          <w:rPr>
            <w:rStyle w:val="Hyperlink"/>
            <w:rFonts w:hint="eastAsia"/>
            <w:color w:val="auto"/>
          </w:rPr>
          <w:t>道路交通规划及控制</w:t>
        </w:r>
        <w:r>
          <w:rPr>
            <w:color w:val="auto"/>
          </w:rPr>
          <w:tab/>
        </w:r>
        <w:r>
          <w:rPr>
            <w:color w:val="auto"/>
          </w:rPr>
          <w:fldChar w:fldCharType="begin" w:dirty="1"/>
        </w:r>
        <w:r>
          <w:rPr>
            <w:color w:val="auto"/>
          </w:rPr>
          <w:instrText xml:space="preserve"> PAGEREF _Toc94589641 \h </w:instrText>
        </w:r>
        <w:r>
          <w:rPr>
            <w:color w:val="auto"/>
          </w:rPr>
          <w:fldChar w:fldCharType="separate"/>
        </w:r>
        <w:r>
          <w:rPr>
            <w:color w:val="auto"/>
          </w:rPr>
          <w:t>12</w:t>
        </w:r>
        <w:r>
          <w:rPr>
            <w:color w:val="auto"/>
          </w:rPr>
          <w:fldChar w:fldCharType="end"/>
        </w:r>
      </w:hyperlink>
    </w:p>
    <w:p>
      <w:pPr>
        <w:pStyle w:val="TOC1"/>
        <w:tabs>
          <w:tab w:val="right" w:leader="dot" w:pos="8398"/>
        </w:tabs>
        <w:ind w:firstLine="562"/>
        <w:rPr>
          <w:color w:val="auto"/>
          <w:sz w:val="21"/>
          <w:szCs w:val="24"/>
        </w:rPr>
      </w:pPr>
      <w:hyperlink w:anchor="_Toc94589641" w:history="1">
        <w:r>
          <w:rPr>
            <w:rStyle w:val="Hyperlink"/>
            <w:rFonts w:hint="eastAsia"/>
            <w:color w:val="auto"/>
          </w:rPr>
          <w:t>第六章</w:t>
        </w:r>
        <w:r>
          <w:rPr>
            <w:rStyle w:val="Hyperlink"/>
            <w:color w:val="auto"/>
          </w:rPr>
          <w:t xml:space="preserve"> </w:t>
        </w:r>
        <w:r>
          <w:rPr>
            <w:rStyle w:val="Hyperlink"/>
            <w:rFonts w:hint="eastAsia"/>
            <w:color w:val="auto"/>
          </w:rPr>
          <w:t>配套公共效劳设施</w:t>
        </w:r>
        <w:r>
          <w:rPr>
            <w:color w:val="auto"/>
          </w:rPr>
          <w:tab/>
        </w:r>
        <w:r>
          <w:rPr>
            <w:color w:val="auto"/>
          </w:rPr>
          <w:fldChar w:fldCharType="begin" w:dirty="1"/>
        </w:r>
        <w:r>
          <w:rPr>
            <w:color w:val="auto"/>
          </w:rPr>
          <w:instrText xml:space="preserve"> PAGEREF _Toc94589641 \h </w:instrText>
        </w:r>
        <w:r>
          <w:rPr>
            <w:color w:val="auto"/>
          </w:rPr>
          <w:fldChar w:fldCharType="separate"/>
        </w:r>
        <w:r>
          <w:rPr>
            <w:color w:val="auto"/>
          </w:rPr>
          <w:t>12</w:t>
        </w:r>
        <w:r>
          <w:rPr>
            <w:color w:val="auto"/>
          </w:rPr>
          <w:fldChar w:fldCharType="end"/>
        </w:r>
      </w:hyperlink>
    </w:p>
    <w:p>
      <w:pPr>
        <w:pStyle w:val="TOC1"/>
        <w:tabs>
          <w:tab w:val="right" w:leader="dot" w:pos="8398"/>
        </w:tabs>
        <w:ind w:firstLine="562"/>
        <w:rPr>
          <w:color w:val="auto"/>
          <w:sz w:val="21"/>
          <w:szCs w:val="24"/>
        </w:rPr>
      </w:pPr>
      <w:hyperlink w:anchor="_Toc94589642" w:history="1">
        <w:r>
          <w:rPr>
            <w:rStyle w:val="Hyperlink"/>
            <w:rFonts w:hint="eastAsia"/>
            <w:color w:val="auto"/>
          </w:rPr>
          <w:t>第七章</w:t>
        </w:r>
        <w:r>
          <w:rPr>
            <w:rStyle w:val="Hyperlink"/>
            <w:color w:val="auto"/>
          </w:rPr>
          <w:t xml:space="preserve"> </w:t>
        </w:r>
        <w:r>
          <w:rPr>
            <w:rStyle w:val="Hyperlink"/>
            <w:rFonts w:hint="eastAsia"/>
            <w:color w:val="auto"/>
          </w:rPr>
          <w:t>景观系</w:t>
        </w:r>
        <w:bookmarkStart w:id="1" w:name="_Hlt122577536"/>
        <w:bookmarkStart w:id="2" w:name="_Hlt122577537"/>
        <w:r>
          <w:rPr>
            <w:rStyle w:val="Hyperlink"/>
            <w:rFonts w:hint="eastAsia"/>
            <w:color w:val="auto"/>
          </w:rPr>
          <w:t>统</w:t>
        </w:r>
        <w:bookmarkEnd w:id="1"/>
        <w:bookmarkEnd w:id="2"/>
        <w:r>
          <w:rPr>
            <w:rStyle w:val="Hyperlink"/>
            <w:rFonts w:hint="eastAsia"/>
            <w:color w:val="auto"/>
          </w:rPr>
          <w:t>规划及控制</w:t>
        </w:r>
        <w:r>
          <w:rPr>
            <w:color w:val="auto"/>
          </w:rPr>
          <w:tab/>
        </w:r>
        <w:r>
          <w:rPr>
            <w:color w:val="auto"/>
          </w:rPr>
          <w:fldChar w:fldCharType="begin" w:dirty="1"/>
        </w:r>
        <w:r>
          <w:rPr>
            <w:color w:val="auto"/>
          </w:rPr>
          <w:instrText xml:space="preserve"> PAGEREF _Toc94589642 \h </w:instrText>
        </w:r>
        <w:r>
          <w:rPr>
            <w:color w:val="auto"/>
          </w:rPr>
          <w:fldChar w:fldCharType="separate"/>
        </w:r>
        <w:r>
          <w:rPr>
            <w:color w:val="auto"/>
          </w:rPr>
          <w:t>13</w:t>
        </w:r>
        <w:r>
          <w:rPr>
            <w:color w:val="auto"/>
          </w:rPr>
          <w:fldChar w:fldCharType="end"/>
        </w:r>
      </w:hyperlink>
    </w:p>
    <w:p>
      <w:pPr>
        <w:pStyle w:val="TOC1"/>
        <w:tabs>
          <w:tab w:val="right" w:leader="dot" w:pos="8398"/>
        </w:tabs>
        <w:ind w:firstLine="562"/>
        <w:rPr>
          <w:color w:val="auto"/>
          <w:sz w:val="21"/>
          <w:szCs w:val="24"/>
        </w:rPr>
      </w:pPr>
      <w:hyperlink w:anchor="_Toc94589643" w:history="1">
        <w:r>
          <w:rPr>
            <w:rStyle w:val="Hyperlink"/>
            <w:rFonts w:hint="eastAsia"/>
            <w:color w:val="auto"/>
          </w:rPr>
          <w:t>第八章</w:t>
        </w:r>
        <w:r>
          <w:rPr>
            <w:rStyle w:val="Hyperlink"/>
            <w:color w:val="auto"/>
          </w:rPr>
          <w:t xml:space="preserve"> </w:t>
        </w:r>
        <w:r>
          <w:rPr>
            <w:rStyle w:val="Hyperlink"/>
            <w:rFonts w:hint="eastAsia"/>
            <w:color w:val="auto"/>
          </w:rPr>
          <w:t>市政工程规划及控制</w:t>
        </w:r>
        <w:r>
          <w:rPr>
            <w:color w:val="auto"/>
          </w:rPr>
          <w:tab/>
        </w:r>
        <w:r>
          <w:rPr>
            <w:color w:val="auto"/>
          </w:rPr>
          <w:fldChar w:fldCharType="begin" w:dirty="1"/>
        </w:r>
        <w:r>
          <w:rPr>
            <w:color w:val="auto"/>
          </w:rPr>
          <w:instrText xml:space="preserve"> PAGEREF _Toc94589643 \h </w:instrText>
        </w:r>
        <w:r>
          <w:rPr>
            <w:color w:val="auto"/>
          </w:rPr>
          <w:fldChar w:fldCharType="separate"/>
        </w:r>
        <w:r>
          <w:rPr>
            <w:color w:val="auto"/>
          </w:rPr>
          <w:t>14</w:t>
        </w:r>
        <w:r>
          <w:rPr>
            <w:color w:val="auto"/>
          </w:rPr>
          <w:fldChar w:fldCharType="end"/>
        </w:r>
      </w:hyperlink>
    </w:p>
    <w:p>
      <w:pPr>
        <w:pStyle w:val="TOC1"/>
        <w:tabs>
          <w:tab w:val="right" w:leader="dot" w:pos="8398"/>
        </w:tabs>
        <w:ind w:firstLine="562"/>
        <w:rPr>
          <w:rStyle w:val="Hyperlink"/>
          <w:rFonts w:hint="eastAsia"/>
          <w:color w:val="auto"/>
        </w:rPr>
      </w:pPr>
      <w:hyperlink w:anchor="_Toc94589646" w:history="1">
        <w:r>
          <w:rPr>
            <w:rStyle w:val="Hyperlink"/>
            <w:rFonts w:hint="eastAsia"/>
            <w:color w:val="auto"/>
          </w:rPr>
          <w:t>第九章 建筑高度及间距控制</w:t>
        </w:r>
        <w:r>
          <w:rPr>
            <w:color w:val="auto"/>
          </w:rPr>
          <w:tab/>
        </w:r>
        <w:r>
          <w:rPr>
            <w:color w:val="auto"/>
          </w:rPr>
          <w:fldChar w:fldCharType="begin" w:dirty="1"/>
        </w:r>
        <w:r>
          <w:rPr>
            <w:color w:val="auto"/>
          </w:rPr>
          <w:instrText xml:space="preserve"> PAGEREF _Toc94589646 \h </w:instrText>
        </w:r>
        <w:r>
          <w:rPr>
            <w:color w:val="auto"/>
          </w:rPr>
          <w:fldChar w:fldCharType="separate"/>
        </w:r>
        <w:r>
          <w:rPr>
            <w:color w:val="auto"/>
          </w:rPr>
          <w:t>16</w:t>
        </w:r>
        <w:r>
          <w:rPr>
            <w:color w:val="auto"/>
          </w:rPr>
          <w:fldChar w:fldCharType="end"/>
        </w:r>
      </w:hyperlink>
    </w:p>
    <w:p>
      <w:pPr>
        <w:pStyle w:val="TOC1"/>
        <w:tabs>
          <w:tab w:val="right" w:leader="dot" w:pos="8398"/>
        </w:tabs>
        <w:ind w:firstLine="562"/>
        <w:rPr>
          <w:rStyle w:val="Hyperlink"/>
          <w:rFonts w:hint="eastAsia"/>
          <w:color w:val="auto"/>
        </w:rPr>
      </w:pPr>
      <w:hyperlink w:anchor="_Toc94589646" w:history="1">
        <w:r>
          <w:rPr>
            <w:rStyle w:val="Hyperlink"/>
            <w:rFonts w:hint="eastAsia"/>
            <w:color w:val="auto"/>
          </w:rPr>
          <w:t>第十章 建筑物边界退让控制</w:t>
        </w:r>
        <w:r>
          <w:rPr>
            <w:color w:val="auto"/>
          </w:rPr>
          <w:tab/>
        </w:r>
        <w:r>
          <w:rPr>
            <w:color w:val="auto"/>
          </w:rPr>
          <w:fldChar w:fldCharType="begin" w:dirty="1"/>
        </w:r>
        <w:r>
          <w:rPr>
            <w:color w:val="auto"/>
          </w:rPr>
          <w:instrText xml:space="preserve"> PAGEREF _Toc94589646 \h </w:instrText>
        </w:r>
        <w:r>
          <w:rPr>
            <w:color w:val="auto"/>
          </w:rPr>
          <w:fldChar w:fldCharType="separate"/>
        </w:r>
        <w:r>
          <w:rPr>
            <w:color w:val="auto"/>
          </w:rPr>
          <w:t>16</w:t>
        </w:r>
        <w:r>
          <w:rPr>
            <w:color w:val="auto"/>
          </w:rPr>
          <w:fldChar w:fldCharType="end"/>
        </w:r>
      </w:hyperlink>
    </w:p>
    <w:p>
      <w:pPr>
        <w:pStyle w:val="TOC1"/>
        <w:tabs>
          <w:tab w:val="right" w:leader="dot" w:pos="8398"/>
        </w:tabs>
        <w:ind w:firstLine="562"/>
        <w:rPr>
          <w:color w:val="auto"/>
          <w:sz w:val="21"/>
          <w:szCs w:val="24"/>
        </w:rPr>
      </w:pPr>
      <w:hyperlink w:anchor="_Toc94589646" w:history="1">
        <w:r>
          <w:rPr>
            <w:rStyle w:val="Hyperlink"/>
            <w:rFonts w:hint="eastAsia"/>
            <w:color w:val="auto"/>
          </w:rPr>
          <w:t>第十一章</w:t>
        </w:r>
        <w:r>
          <w:rPr>
            <w:rStyle w:val="Hyperlink"/>
            <w:color w:val="auto"/>
          </w:rPr>
          <w:t xml:space="preserve"> </w:t>
        </w:r>
        <w:r>
          <w:rPr>
            <w:rStyle w:val="Hyperlink"/>
            <w:rFonts w:hint="eastAsia"/>
            <w:color w:val="auto"/>
          </w:rPr>
          <w:t>奖励与处分</w:t>
        </w:r>
        <w:r>
          <w:rPr>
            <w:color w:val="auto"/>
          </w:rPr>
          <w:tab/>
        </w:r>
        <w:r>
          <w:rPr>
            <w:color w:val="auto"/>
          </w:rPr>
          <w:fldChar w:fldCharType="begin" w:dirty="1"/>
        </w:r>
        <w:r>
          <w:rPr>
            <w:color w:val="auto"/>
          </w:rPr>
          <w:instrText xml:space="preserve"> PAGEREF _Toc94589646 \h </w:instrText>
        </w:r>
        <w:r>
          <w:rPr>
            <w:color w:val="auto"/>
          </w:rPr>
          <w:fldChar w:fldCharType="separate"/>
        </w:r>
        <w:r>
          <w:rPr>
            <w:color w:val="auto"/>
          </w:rPr>
          <w:t>16</w:t>
        </w:r>
        <w:r>
          <w:rPr>
            <w:color w:val="auto"/>
          </w:rPr>
          <w:fldChar w:fldCharType="end"/>
        </w:r>
      </w:hyperlink>
    </w:p>
    <w:p>
      <w:pPr>
        <w:pStyle w:val="TOC1"/>
        <w:tabs>
          <w:tab w:val="right" w:leader="dot" w:pos="8398"/>
        </w:tabs>
        <w:ind w:firstLine="562"/>
        <w:rPr>
          <w:rStyle w:val="Hyperlink"/>
          <w:rFonts w:hint="eastAsia"/>
          <w:color w:val="auto"/>
        </w:rPr>
      </w:pPr>
      <w:hyperlink w:anchor="_Toc94589647" w:history="1">
        <w:r>
          <w:rPr>
            <w:rStyle w:val="Hyperlink"/>
            <w:rFonts w:hint="eastAsia"/>
            <w:color w:val="auto"/>
          </w:rPr>
          <w:t>附录</w:t>
        </w:r>
        <w:r>
          <w:rPr>
            <w:rStyle w:val="Hyperlink"/>
            <w:color w:val="auto"/>
          </w:rPr>
          <w:t xml:space="preserve">  </w:t>
        </w:r>
        <w:r>
          <w:rPr>
            <w:rStyle w:val="Hyperlink"/>
            <w:rFonts w:hint="eastAsia"/>
            <w:color w:val="auto"/>
          </w:rPr>
          <w:t>名词解释</w:t>
        </w:r>
        <w:r>
          <w:rPr>
            <w:color w:val="auto"/>
          </w:rPr>
          <w:tab/>
        </w:r>
        <w:r>
          <w:rPr>
            <w:color w:val="auto"/>
          </w:rPr>
          <w:fldChar w:fldCharType="begin" w:dirty="1"/>
        </w:r>
        <w:r>
          <w:rPr>
            <w:color w:val="auto"/>
          </w:rPr>
          <w:instrText xml:space="preserve"> PAGEREF _Toc94589647 \h </w:instrText>
        </w:r>
        <w:r>
          <w:rPr>
            <w:color w:val="auto"/>
          </w:rPr>
          <w:fldChar w:fldCharType="separate"/>
        </w:r>
        <w:r>
          <w:rPr>
            <w:color w:val="auto"/>
          </w:rPr>
          <w:t>18</w:t>
        </w:r>
        <w:r>
          <w:rPr>
            <w:color w:val="auto"/>
          </w:rPr>
          <w:fldChar w:fldCharType="end"/>
        </w:r>
      </w:hyperlink>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02"/>
        <w:rPr>
          <w:rFonts w:hint="eastAsia"/>
        </w:rPr>
      </w:pPr>
      <w:r>
        <w:rPr>
          <w:b/>
          <w:bCs/>
          <w:caps/>
          <w:sz w:val="20"/>
          <w:szCs w:val="28"/>
        </w:rPr>
        <w:pict>
          <v:shape id="_x0000_s1028" type="#_x0000_t202" style="width:171pt;height:62.4pt;margin-top:18.2pt;margin-left:-21.65pt;mso-wrap-style:square;position:absolute;z-index:-251655168" wrapcoords="-95 0 -95 21600 21695 21600 21695 0 -95 0" stroked="t" strokecolor="white">
            <v:stroke linestyle="single"/>
            <o:lock v:ext="edit" aspectratio="f"/>
            <v:textbox>
              <w:txbxContent>
                <w:p>
                  <w:pPr>
                    <w:numPr>
                      <w:ilvl w:val="0"/>
                      <w:numId w:val="6"/>
                    </w:numPr>
                    <w:spacing w:line="240" w:lineRule="auto"/>
                    <w:ind w:left="1305" w:firstLineChars="0"/>
                    <w:rPr>
                      <w:b/>
                      <w:bCs/>
                      <w:sz w:val="44"/>
                    </w:rPr>
                  </w:pPr>
                  <w:r>
                    <w:rPr>
                      <w:rFonts w:hint="eastAsia"/>
                      <w:b/>
                      <w:bCs/>
                      <w:sz w:val="44"/>
                    </w:rPr>
                    <w:t>说明书</w:t>
                  </w:r>
                </w:p>
              </w:txbxContent>
            </v:textbox>
          </v:shape>
        </w:pict>
      </w:r>
    </w:p>
    <w:p>
      <w:pPr>
        <w:ind w:firstLine="480"/>
        <w:rPr>
          <w:rFonts w:hint="eastAsia"/>
        </w:rPr>
      </w:pPr>
    </w:p>
    <w:p>
      <w:pPr>
        <w:ind w:firstLine="480"/>
        <w:rPr>
          <w:rFonts w:hint="eastAsia"/>
        </w:rPr>
      </w:pPr>
    </w:p>
    <w:p>
      <w:pPr>
        <w:pStyle w:val="TOC1"/>
        <w:tabs>
          <w:tab w:val="right" w:leader="dot" w:pos="8398"/>
        </w:tabs>
        <w:ind w:firstLine="562"/>
        <w:rPr>
          <w:color w:val="auto"/>
          <w:sz w:val="21"/>
          <w:szCs w:val="24"/>
        </w:rPr>
      </w:pPr>
      <w:hyperlink w:anchor="_Toc94589648" w:history="1">
        <w:r>
          <w:rPr>
            <w:rStyle w:val="Hyperlink"/>
            <w:rFonts w:hint="eastAsia"/>
            <w:color w:val="auto"/>
          </w:rPr>
          <w:t>第一章</w:t>
        </w:r>
        <w:r>
          <w:rPr>
            <w:rStyle w:val="Hyperlink"/>
            <w:color w:val="auto"/>
          </w:rPr>
          <w:t xml:space="preserve"> </w:t>
        </w:r>
        <w:r>
          <w:rPr>
            <w:rStyle w:val="Hyperlink"/>
            <w:rFonts w:hint="eastAsia"/>
            <w:color w:val="auto"/>
          </w:rPr>
          <w:t>现状概况</w:t>
        </w:r>
        <w:r>
          <w:rPr>
            <w:color w:val="auto"/>
          </w:rPr>
          <w:tab/>
        </w:r>
        <w:r>
          <w:rPr>
            <w:color w:val="auto"/>
          </w:rPr>
          <w:fldChar w:fldCharType="begin" w:dirty="1"/>
        </w:r>
        <w:r>
          <w:rPr>
            <w:color w:val="auto"/>
          </w:rPr>
          <w:instrText xml:space="preserve"> PAGEREF _Toc94589648 \h </w:instrText>
        </w:r>
        <w:r>
          <w:rPr>
            <w:color w:val="auto"/>
          </w:rPr>
          <w:fldChar w:fldCharType="separate"/>
        </w:r>
        <w:r>
          <w:rPr>
            <w:color w:val="auto"/>
          </w:rPr>
          <w:t>24</w:t>
        </w:r>
        <w:r>
          <w:rPr>
            <w:color w:val="auto"/>
          </w:rPr>
          <w:fldChar w:fldCharType="end"/>
        </w:r>
      </w:hyperlink>
    </w:p>
    <w:p>
      <w:pPr>
        <w:pStyle w:val="TOC1"/>
        <w:tabs>
          <w:tab w:val="right" w:leader="dot" w:pos="8398"/>
        </w:tabs>
        <w:ind w:firstLine="562"/>
        <w:rPr>
          <w:color w:val="auto"/>
          <w:sz w:val="21"/>
          <w:szCs w:val="24"/>
        </w:rPr>
      </w:pPr>
      <w:hyperlink w:anchor="_Toc94589649" w:history="1">
        <w:r>
          <w:rPr>
            <w:rStyle w:val="Hyperlink"/>
            <w:rFonts w:hint="eastAsia"/>
            <w:color w:val="auto"/>
          </w:rPr>
          <w:t>第二章</w:t>
        </w:r>
        <w:r>
          <w:rPr>
            <w:rStyle w:val="Hyperlink"/>
            <w:color w:val="auto"/>
          </w:rPr>
          <w:t xml:space="preserve"> </w:t>
        </w:r>
        <w:r>
          <w:rPr>
            <w:rStyle w:val="Hyperlink"/>
            <w:rFonts w:hint="eastAsia"/>
            <w:color w:val="auto"/>
          </w:rPr>
          <w:t>规划依据、范围与原那么</w:t>
        </w:r>
        <w:r>
          <w:rPr>
            <w:color w:val="auto"/>
          </w:rPr>
          <w:tab/>
        </w:r>
        <w:r>
          <w:rPr>
            <w:color w:val="auto"/>
          </w:rPr>
          <w:fldChar w:fldCharType="begin" w:dirty="1"/>
        </w:r>
        <w:r>
          <w:rPr>
            <w:color w:val="auto"/>
          </w:rPr>
          <w:instrText xml:space="preserve"> PAGEREF _Toc94589649 \h </w:instrText>
        </w:r>
        <w:r>
          <w:rPr>
            <w:color w:val="auto"/>
          </w:rPr>
          <w:fldChar w:fldCharType="separate"/>
        </w:r>
        <w:r>
          <w:rPr>
            <w:color w:val="auto"/>
          </w:rPr>
          <w:t>24</w:t>
        </w:r>
        <w:r>
          <w:rPr>
            <w:color w:val="auto"/>
          </w:rPr>
          <w:fldChar w:fldCharType="end"/>
        </w:r>
      </w:hyperlink>
    </w:p>
    <w:p>
      <w:pPr>
        <w:pStyle w:val="TOC1"/>
        <w:tabs>
          <w:tab w:val="right" w:leader="dot" w:pos="8398"/>
        </w:tabs>
        <w:ind w:firstLine="562"/>
        <w:rPr>
          <w:color w:val="auto"/>
          <w:sz w:val="21"/>
          <w:szCs w:val="24"/>
        </w:rPr>
      </w:pPr>
      <w:hyperlink w:anchor="_Toc94589650" w:history="1">
        <w:r>
          <w:rPr>
            <w:rStyle w:val="Hyperlink"/>
            <w:rFonts w:hint="eastAsia"/>
            <w:color w:val="auto"/>
          </w:rPr>
          <w:t>第三章</w:t>
        </w:r>
        <w:r>
          <w:rPr>
            <w:rStyle w:val="Hyperlink"/>
            <w:color w:val="auto"/>
          </w:rPr>
          <w:t xml:space="preserve"> </w:t>
        </w:r>
        <w:r>
          <w:rPr>
            <w:rStyle w:val="Hyperlink"/>
            <w:rFonts w:hint="eastAsia"/>
            <w:color w:val="auto"/>
          </w:rPr>
          <w:t>功能定位</w:t>
        </w:r>
        <w:r>
          <w:rPr>
            <w:color w:val="auto"/>
          </w:rPr>
          <w:tab/>
        </w:r>
        <w:r>
          <w:rPr>
            <w:color w:val="auto"/>
          </w:rPr>
          <w:fldChar w:fldCharType="begin" w:dirty="1"/>
        </w:r>
        <w:r>
          <w:rPr>
            <w:color w:val="auto"/>
          </w:rPr>
          <w:instrText xml:space="preserve"> PAGEREF _Toc94589650 \h </w:instrText>
        </w:r>
        <w:r>
          <w:rPr>
            <w:color w:val="auto"/>
          </w:rPr>
          <w:fldChar w:fldCharType="separate"/>
        </w:r>
        <w:r>
          <w:rPr>
            <w:color w:val="auto"/>
          </w:rPr>
          <w:t>25</w:t>
        </w:r>
        <w:r>
          <w:rPr>
            <w:color w:val="auto"/>
          </w:rPr>
          <w:fldChar w:fldCharType="end"/>
        </w:r>
      </w:hyperlink>
    </w:p>
    <w:p>
      <w:pPr>
        <w:pStyle w:val="TOC1"/>
        <w:tabs>
          <w:tab w:val="right" w:leader="dot" w:pos="8398"/>
        </w:tabs>
        <w:ind w:firstLine="562"/>
        <w:rPr>
          <w:color w:val="auto"/>
          <w:sz w:val="21"/>
          <w:szCs w:val="24"/>
        </w:rPr>
      </w:pPr>
      <w:hyperlink w:anchor="_Toc94589651" w:history="1">
        <w:r>
          <w:rPr>
            <w:rStyle w:val="Hyperlink"/>
            <w:rFonts w:hint="eastAsia"/>
            <w:color w:val="auto"/>
          </w:rPr>
          <w:t>第四章</w:t>
        </w:r>
        <w:r>
          <w:rPr>
            <w:rStyle w:val="Hyperlink"/>
            <w:color w:val="auto"/>
          </w:rPr>
          <w:t xml:space="preserve"> </w:t>
        </w:r>
        <w:r>
          <w:rPr>
            <w:rStyle w:val="Hyperlink"/>
            <w:rFonts w:hint="eastAsia"/>
            <w:color w:val="auto"/>
          </w:rPr>
          <w:t>功能结构</w:t>
        </w:r>
        <w:r>
          <w:rPr>
            <w:color w:val="auto"/>
          </w:rPr>
          <w:tab/>
        </w:r>
        <w:r>
          <w:rPr>
            <w:color w:val="auto"/>
          </w:rPr>
          <w:fldChar w:fldCharType="begin" w:dirty="1"/>
        </w:r>
        <w:r>
          <w:rPr>
            <w:color w:val="auto"/>
          </w:rPr>
          <w:instrText xml:space="preserve"> PAGEREF _Toc94589651 \h </w:instrText>
        </w:r>
        <w:r>
          <w:rPr>
            <w:color w:val="auto"/>
          </w:rPr>
          <w:fldChar w:fldCharType="separate"/>
        </w:r>
        <w:r>
          <w:rPr>
            <w:color w:val="auto"/>
          </w:rPr>
          <w:t>26</w:t>
        </w:r>
        <w:r>
          <w:rPr>
            <w:color w:val="auto"/>
          </w:rPr>
          <w:fldChar w:fldCharType="end"/>
        </w:r>
      </w:hyperlink>
    </w:p>
    <w:p>
      <w:pPr>
        <w:pStyle w:val="TOC1"/>
        <w:tabs>
          <w:tab w:val="right" w:leader="dot" w:pos="8398"/>
        </w:tabs>
        <w:ind w:firstLine="562"/>
        <w:rPr>
          <w:color w:val="auto"/>
          <w:sz w:val="21"/>
          <w:szCs w:val="24"/>
        </w:rPr>
      </w:pPr>
      <w:hyperlink w:anchor="_Toc94589652" w:history="1">
        <w:r>
          <w:rPr>
            <w:rStyle w:val="Hyperlink"/>
            <w:rFonts w:hint="eastAsia"/>
            <w:color w:val="auto"/>
          </w:rPr>
          <w:t>第五章</w:t>
        </w:r>
        <w:r>
          <w:rPr>
            <w:rStyle w:val="Hyperlink"/>
            <w:color w:val="auto"/>
          </w:rPr>
          <w:t xml:space="preserve"> </w:t>
        </w:r>
        <w:r>
          <w:rPr>
            <w:rStyle w:val="Hyperlink"/>
            <w:rFonts w:hint="eastAsia"/>
            <w:color w:val="auto"/>
          </w:rPr>
          <w:t>居住用地规划</w:t>
        </w:r>
        <w:r>
          <w:rPr>
            <w:color w:val="auto"/>
          </w:rPr>
          <w:tab/>
        </w:r>
        <w:r>
          <w:rPr>
            <w:color w:val="auto"/>
          </w:rPr>
          <w:fldChar w:fldCharType="begin" w:dirty="1"/>
        </w:r>
        <w:r>
          <w:rPr>
            <w:color w:val="auto"/>
          </w:rPr>
          <w:instrText xml:space="preserve"> PAGEREF _Toc94589652 \h </w:instrText>
        </w:r>
        <w:r>
          <w:rPr>
            <w:color w:val="auto"/>
          </w:rPr>
          <w:fldChar w:fldCharType="separate"/>
        </w:r>
        <w:r>
          <w:rPr>
            <w:color w:val="auto"/>
          </w:rPr>
          <w:t>28</w:t>
        </w:r>
        <w:r>
          <w:rPr>
            <w:color w:val="auto"/>
          </w:rPr>
          <w:fldChar w:fldCharType="end"/>
        </w:r>
      </w:hyperlink>
    </w:p>
    <w:p>
      <w:pPr>
        <w:pStyle w:val="TOC1"/>
        <w:tabs>
          <w:tab w:val="right" w:leader="dot" w:pos="8398"/>
        </w:tabs>
        <w:ind w:firstLine="562"/>
        <w:rPr>
          <w:color w:val="auto"/>
          <w:sz w:val="21"/>
          <w:szCs w:val="24"/>
        </w:rPr>
      </w:pPr>
      <w:hyperlink w:anchor="_Toc94589653" w:history="1">
        <w:r>
          <w:rPr>
            <w:rStyle w:val="Hyperlink"/>
            <w:rFonts w:hint="eastAsia"/>
            <w:color w:val="auto"/>
          </w:rPr>
          <w:t>第六章</w:t>
        </w:r>
        <w:r>
          <w:rPr>
            <w:rStyle w:val="Hyperlink"/>
            <w:color w:val="auto"/>
          </w:rPr>
          <w:t xml:space="preserve"> </w:t>
        </w:r>
        <w:r>
          <w:rPr>
            <w:rStyle w:val="Hyperlink"/>
            <w:rFonts w:hint="eastAsia"/>
            <w:color w:val="auto"/>
          </w:rPr>
          <w:t>公共设施用地规划</w:t>
        </w:r>
        <w:r>
          <w:rPr>
            <w:color w:val="auto"/>
          </w:rPr>
          <w:tab/>
        </w:r>
        <w:r>
          <w:rPr>
            <w:color w:val="auto"/>
          </w:rPr>
          <w:fldChar w:fldCharType="begin" w:dirty="1"/>
        </w:r>
        <w:r>
          <w:rPr>
            <w:color w:val="auto"/>
          </w:rPr>
          <w:instrText xml:space="preserve"> PAGEREF _Toc94589653 \h </w:instrText>
        </w:r>
        <w:r>
          <w:rPr>
            <w:color w:val="auto"/>
          </w:rPr>
          <w:fldChar w:fldCharType="separate"/>
        </w:r>
        <w:r>
          <w:rPr>
            <w:color w:val="auto"/>
          </w:rPr>
          <w:t>29</w:t>
        </w:r>
        <w:r>
          <w:rPr>
            <w:color w:val="auto"/>
          </w:rPr>
          <w:fldChar w:fldCharType="end"/>
        </w:r>
      </w:hyperlink>
    </w:p>
    <w:p>
      <w:pPr>
        <w:pStyle w:val="TOC1"/>
        <w:tabs>
          <w:tab w:val="right" w:leader="dot" w:pos="8398"/>
        </w:tabs>
        <w:ind w:firstLine="562"/>
        <w:rPr>
          <w:color w:val="auto"/>
          <w:sz w:val="21"/>
          <w:szCs w:val="24"/>
        </w:rPr>
      </w:pPr>
      <w:hyperlink w:anchor="_Toc94589654" w:history="1">
        <w:r>
          <w:rPr>
            <w:rStyle w:val="Hyperlink"/>
            <w:rFonts w:hint="eastAsia"/>
            <w:color w:val="auto"/>
          </w:rPr>
          <w:t>第七章</w:t>
        </w:r>
        <w:r>
          <w:rPr>
            <w:rStyle w:val="Hyperlink"/>
            <w:color w:val="auto"/>
          </w:rPr>
          <w:t xml:space="preserve"> </w:t>
        </w:r>
        <w:r>
          <w:rPr>
            <w:rStyle w:val="Hyperlink"/>
            <w:rFonts w:hint="eastAsia"/>
            <w:color w:val="auto"/>
          </w:rPr>
          <w:t>道路交通规划</w:t>
        </w:r>
        <w:r>
          <w:rPr>
            <w:color w:val="auto"/>
          </w:rPr>
          <w:tab/>
        </w:r>
        <w:r>
          <w:rPr>
            <w:color w:val="auto"/>
          </w:rPr>
          <w:fldChar w:fldCharType="begin" w:dirty="1"/>
        </w:r>
        <w:r>
          <w:rPr>
            <w:color w:val="auto"/>
          </w:rPr>
          <w:instrText xml:space="preserve"> PAGEREF _Toc94589654 \h </w:instrText>
        </w:r>
        <w:r>
          <w:rPr>
            <w:color w:val="auto"/>
          </w:rPr>
          <w:fldChar w:fldCharType="separate"/>
        </w:r>
        <w:r>
          <w:rPr>
            <w:color w:val="auto"/>
          </w:rPr>
          <w:t>29</w:t>
        </w:r>
        <w:r>
          <w:rPr>
            <w:color w:val="auto"/>
          </w:rPr>
          <w:fldChar w:fldCharType="end"/>
        </w:r>
      </w:hyperlink>
    </w:p>
    <w:p>
      <w:pPr>
        <w:pStyle w:val="TOC1"/>
        <w:tabs>
          <w:tab w:val="right" w:leader="dot" w:pos="8398"/>
        </w:tabs>
        <w:ind w:firstLine="562"/>
        <w:rPr>
          <w:color w:val="auto"/>
          <w:sz w:val="21"/>
          <w:szCs w:val="24"/>
        </w:rPr>
      </w:pPr>
      <w:hyperlink w:anchor="_Toc94589655" w:history="1">
        <w:r>
          <w:rPr>
            <w:rStyle w:val="Hyperlink"/>
            <w:rFonts w:hint="eastAsia"/>
            <w:color w:val="auto"/>
          </w:rPr>
          <w:t>第八章</w:t>
        </w:r>
        <w:r>
          <w:rPr>
            <w:rStyle w:val="Hyperlink"/>
            <w:color w:val="auto"/>
          </w:rPr>
          <w:t xml:space="preserve"> </w:t>
        </w:r>
        <w:r>
          <w:rPr>
            <w:rStyle w:val="Hyperlink"/>
            <w:rFonts w:hint="eastAsia"/>
            <w:color w:val="auto"/>
          </w:rPr>
          <w:t>绿地系统规划</w:t>
        </w:r>
        <w:r>
          <w:rPr>
            <w:color w:val="auto"/>
          </w:rPr>
          <w:tab/>
        </w:r>
        <w:r>
          <w:rPr>
            <w:color w:val="auto"/>
          </w:rPr>
          <w:fldChar w:fldCharType="begin" w:dirty="1"/>
        </w:r>
        <w:r>
          <w:rPr>
            <w:color w:val="auto"/>
          </w:rPr>
          <w:instrText xml:space="preserve"> PAGEREF _Toc94589655 \h </w:instrText>
        </w:r>
        <w:r>
          <w:rPr>
            <w:color w:val="auto"/>
          </w:rPr>
          <w:fldChar w:fldCharType="separate"/>
        </w:r>
        <w:r>
          <w:rPr>
            <w:color w:val="auto"/>
          </w:rPr>
          <w:t>31</w:t>
        </w:r>
        <w:r>
          <w:rPr>
            <w:color w:val="auto"/>
          </w:rPr>
          <w:fldChar w:fldCharType="end"/>
        </w:r>
      </w:hyperlink>
    </w:p>
    <w:p>
      <w:pPr>
        <w:pStyle w:val="TOC1"/>
        <w:tabs>
          <w:tab w:val="right" w:leader="dot" w:pos="8398"/>
        </w:tabs>
        <w:ind w:firstLine="562"/>
        <w:rPr>
          <w:color w:val="auto"/>
          <w:sz w:val="21"/>
          <w:szCs w:val="24"/>
        </w:rPr>
      </w:pPr>
      <w:hyperlink w:anchor="_Toc94589656" w:history="1">
        <w:r>
          <w:rPr>
            <w:rStyle w:val="Hyperlink"/>
            <w:rFonts w:hint="eastAsia"/>
            <w:color w:val="auto"/>
          </w:rPr>
          <w:t>第九章</w:t>
        </w:r>
        <w:r>
          <w:rPr>
            <w:rStyle w:val="Hyperlink"/>
            <w:color w:val="auto"/>
          </w:rPr>
          <w:t xml:space="preserve"> </w:t>
        </w:r>
        <w:r>
          <w:rPr>
            <w:rStyle w:val="Hyperlink"/>
            <w:rFonts w:hint="eastAsia"/>
            <w:color w:val="auto"/>
          </w:rPr>
          <w:t>景观系统规划</w:t>
        </w:r>
        <w:r>
          <w:rPr>
            <w:color w:val="auto"/>
          </w:rPr>
          <w:tab/>
        </w:r>
        <w:r>
          <w:rPr>
            <w:color w:val="auto"/>
          </w:rPr>
          <w:fldChar w:fldCharType="begin" w:dirty="1"/>
        </w:r>
        <w:r>
          <w:rPr>
            <w:color w:val="auto"/>
          </w:rPr>
          <w:instrText xml:space="preserve"> PAGEREF _Toc94589656 \h </w:instrText>
        </w:r>
        <w:r>
          <w:rPr>
            <w:color w:val="auto"/>
          </w:rPr>
          <w:fldChar w:fldCharType="separate"/>
        </w:r>
        <w:r>
          <w:rPr>
            <w:color w:val="auto"/>
          </w:rPr>
          <w:t>32</w:t>
        </w:r>
        <w:r>
          <w:rPr>
            <w:color w:val="auto"/>
          </w:rPr>
          <w:fldChar w:fldCharType="end"/>
        </w:r>
      </w:hyperlink>
    </w:p>
    <w:p>
      <w:pPr>
        <w:pStyle w:val="TOC1"/>
        <w:tabs>
          <w:tab w:val="right" w:leader="dot" w:pos="8398"/>
        </w:tabs>
        <w:ind w:firstLine="562"/>
        <w:rPr>
          <w:color w:val="auto"/>
          <w:sz w:val="21"/>
          <w:szCs w:val="24"/>
        </w:rPr>
      </w:pPr>
      <w:hyperlink w:anchor="_Toc94589657" w:history="1">
        <w:r>
          <w:rPr>
            <w:rStyle w:val="Hyperlink"/>
            <w:rFonts w:hint="eastAsia"/>
            <w:color w:val="auto"/>
          </w:rPr>
          <w:t>第十章</w:t>
        </w:r>
        <w:r>
          <w:rPr>
            <w:rStyle w:val="Hyperlink"/>
            <w:color w:val="auto"/>
          </w:rPr>
          <w:t xml:space="preserve"> </w:t>
        </w:r>
        <w:r>
          <w:rPr>
            <w:rStyle w:val="Hyperlink"/>
            <w:rFonts w:hint="eastAsia"/>
            <w:color w:val="auto"/>
          </w:rPr>
          <w:t>给水工程规划</w:t>
        </w:r>
        <w:r>
          <w:rPr>
            <w:color w:val="auto"/>
          </w:rPr>
          <w:tab/>
        </w:r>
        <w:r>
          <w:rPr>
            <w:color w:val="auto"/>
          </w:rPr>
          <w:fldChar w:fldCharType="begin" w:dirty="1"/>
        </w:r>
        <w:r>
          <w:rPr>
            <w:color w:val="auto"/>
          </w:rPr>
          <w:instrText xml:space="preserve"> PAGEREF _Toc94589657 \h </w:instrText>
        </w:r>
        <w:r>
          <w:rPr>
            <w:color w:val="auto"/>
          </w:rPr>
          <w:fldChar w:fldCharType="separate"/>
        </w:r>
        <w:r>
          <w:rPr>
            <w:color w:val="auto"/>
          </w:rPr>
          <w:t>33</w:t>
        </w:r>
        <w:r>
          <w:rPr>
            <w:color w:val="auto"/>
          </w:rPr>
          <w:fldChar w:fldCharType="end"/>
        </w:r>
      </w:hyperlink>
    </w:p>
    <w:p>
      <w:pPr>
        <w:pStyle w:val="TOC1"/>
        <w:tabs>
          <w:tab w:val="right" w:leader="dot" w:pos="8398"/>
        </w:tabs>
        <w:ind w:firstLine="562"/>
        <w:rPr>
          <w:color w:val="auto"/>
          <w:sz w:val="21"/>
          <w:szCs w:val="24"/>
        </w:rPr>
      </w:pPr>
      <w:hyperlink w:anchor="_Toc94589658" w:history="1">
        <w:r>
          <w:rPr>
            <w:rStyle w:val="Hyperlink"/>
            <w:rFonts w:hint="eastAsia"/>
            <w:color w:val="auto"/>
          </w:rPr>
          <w:t>第十一章</w:t>
        </w:r>
        <w:r>
          <w:rPr>
            <w:rStyle w:val="Hyperlink"/>
            <w:color w:val="auto"/>
          </w:rPr>
          <w:t xml:space="preserve"> </w:t>
        </w:r>
        <w:r>
          <w:rPr>
            <w:rStyle w:val="Hyperlink"/>
            <w:rFonts w:hint="eastAsia"/>
            <w:color w:val="auto"/>
          </w:rPr>
          <w:t>排水工程规划</w:t>
        </w:r>
        <w:r>
          <w:rPr>
            <w:color w:val="auto"/>
          </w:rPr>
          <w:tab/>
        </w:r>
        <w:r>
          <w:rPr>
            <w:color w:val="auto"/>
          </w:rPr>
          <w:fldChar w:fldCharType="begin" w:dirty="1"/>
        </w:r>
        <w:r>
          <w:rPr>
            <w:color w:val="auto"/>
          </w:rPr>
          <w:instrText xml:space="preserve"> PAGEREF _Toc94589658 \h </w:instrText>
        </w:r>
        <w:r>
          <w:rPr>
            <w:color w:val="auto"/>
          </w:rPr>
          <w:fldChar w:fldCharType="separate"/>
        </w:r>
        <w:r>
          <w:rPr>
            <w:color w:val="auto"/>
          </w:rPr>
          <w:t>34</w:t>
        </w:r>
        <w:r>
          <w:rPr>
            <w:color w:val="auto"/>
          </w:rPr>
          <w:fldChar w:fldCharType="end"/>
        </w:r>
      </w:hyperlink>
    </w:p>
    <w:p>
      <w:pPr>
        <w:pStyle w:val="TOC1"/>
        <w:tabs>
          <w:tab w:val="right" w:leader="dot" w:pos="8398"/>
        </w:tabs>
        <w:ind w:firstLine="562"/>
        <w:rPr>
          <w:color w:val="auto"/>
          <w:sz w:val="21"/>
          <w:szCs w:val="24"/>
        </w:rPr>
      </w:pPr>
      <w:hyperlink w:anchor="_Toc94589659" w:history="1">
        <w:r>
          <w:rPr>
            <w:rStyle w:val="Hyperlink"/>
            <w:rFonts w:hint="eastAsia"/>
            <w:color w:val="auto"/>
          </w:rPr>
          <w:t>第十二章</w:t>
        </w:r>
        <w:r>
          <w:rPr>
            <w:rStyle w:val="Hyperlink"/>
            <w:color w:val="auto"/>
          </w:rPr>
          <w:t xml:space="preserve"> </w:t>
        </w:r>
        <w:r>
          <w:rPr>
            <w:rStyle w:val="Hyperlink"/>
            <w:rFonts w:hint="eastAsia"/>
            <w:color w:val="auto"/>
          </w:rPr>
          <w:t>供电工程规划</w:t>
        </w:r>
        <w:r>
          <w:rPr>
            <w:color w:val="auto"/>
          </w:rPr>
          <w:tab/>
        </w:r>
        <w:r>
          <w:rPr>
            <w:color w:val="auto"/>
          </w:rPr>
          <w:fldChar w:fldCharType="begin" w:dirty="1"/>
        </w:r>
        <w:r>
          <w:rPr>
            <w:color w:val="auto"/>
          </w:rPr>
          <w:instrText xml:space="preserve"> PAGEREF _Toc94589659 \h </w:instrText>
        </w:r>
        <w:r>
          <w:rPr>
            <w:color w:val="auto"/>
          </w:rPr>
          <w:fldChar w:fldCharType="separate"/>
        </w:r>
        <w:r>
          <w:rPr>
            <w:color w:val="auto"/>
          </w:rPr>
          <w:t>35</w:t>
        </w:r>
        <w:r>
          <w:rPr>
            <w:color w:val="auto"/>
          </w:rPr>
          <w:fldChar w:fldCharType="end"/>
        </w:r>
      </w:hyperlink>
    </w:p>
    <w:p>
      <w:pPr>
        <w:pStyle w:val="TOC1"/>
        <w:tabs>
          <w:tab w:val="right" w:leader="dot" w:pos="8398"/>
        </w:tabs>
        <w:ind w:firstLine="562"/>
        <w:rPr>
          <w:color w:val="auto"/>
          <w:sz w:val="21"/>
          <w:szCs w:val="24"/>
        </w:rPr>
      </w:pPr>
      <w:hyperlink w:anchor="_Toc94589660" w:history="1">
        <w:r>
          <w:rPr>
            <w:rStyle w:val="Hyperlink"/>
            <w:rFonts w:hint="eastAsia"/>
            <w:color w:val="auto"/>
          </w:rPr>
          <w:t>第十三章</w:t>
        </w:r>
        <w:r>
          <w:rPr>
            <w:rStyle w:val="Hyperlink"/>
            <w:color w:val="auto"/>
          </w:rPr>
          <w:t xml:space="preserve"> </w:t>
        </w:r>
        <w:r>
          <w:rPr>
            <w:rStyle w:val="Hyperlink"/>
            <w:rFonts w:hint="eastAsia"/>
            <w:color w:val="auto"/>
          </w:rPr>
          <w:t>通信工程规划</w:t>
        </w:r>
        <w:r>
          <w:rPr>
            <w:color w:val="auto"/>
          </w:rPr>
          <w:tab/>
        </w:r>
        <w:r>
          <w:rPr>
            <w:color w:val="auto"/>
          </w:rPr>
          <w:fldChar w:fldCharType="begin" w:dirty="1"/>
        </w:r>
        <w:r>
          <w:rPr>
            <w:color w:val="auto"/>
          </w:rPr>
          <w:instrText xml:space="preserve"> PAGEREF _Toc94589660 \h </w:instrText>
        </w:r>
        <w:r>
          <w:rPr>
            <w:color w:val="auto"/>
          </w:rPr>
          <w:fldChar w:fldCharType="separate"/>
        </w:r>
        <w:r>
          <w:rPr>
            <w:color w:val="auto"/>
          </w:rPr>
          <w:t>36</w:t>
        </w:r>
        <w:r>
          <w:rPr>
            <w:color w:val="auto"/>
          </w:rPr>
          <w:fldChar w:fldCharType="end"/>
        </w:r>
      </w:hyperlink>
    </w:p>
    <w:p>
      <w:pPr>
        <w:pStyle w:val="TOC1"/>
        <w:tabs>
          <w:tab w:val="right" w:leader="dot" w:pos="8398"/>
        </w:tabs>
        <w:ind w:firstLine="562"/>
        <w:rPr>
          <w:color w:val="auto"/>
          <w:sz w:val="21"/>
          <w:szCs w:val="24"/>
        </w:rPr>
      </w:pPr>
      <w:hyperlink w:anchor="_Toc94589662" w:history="1">
        <w:r>
          <w:rPr>
            <w:rStyle w:val="Hyperlink"/>
            <w:rFonts w:hint="eastAsia"/>
            <w:color w:val="auto"/>
          </w:rPr>
          <w:t>第十四章</w:t>
        </w:r>
        <w:r>
          <w:rPr>
            <w:rStyle w:val="Hyperlink"/>
            <w:color w:val="auto"/>
          </w:rPr>
          <w:t xml:space="preserve"> </w:t>
        </w:r>
        <w:r>
          <w:rPr>
            <w:rStyle w:val="Hyperlink"/>
            <w:rFonts w:hint="eastAsia"/>
            <w:color w:val="auto"/>
          </w:rPr>
          <w:t>供热工程规划</w:t>
        </w:r>
        <w:r>
          <w:rPr>
            <w:color w:val="auto"/>
          </w:rPr>
          <w:tab/>
        </w:r>
        <w:r>
          <w:rPr>
            <w:color w:val="auto"/>
          </w:rPr>
          <w:fldChar w:fldCharType="begin" w:dirty="1"/>
        </w:r>
        <w:r>
          <w:rPr>
            <w:color w:val="auto"/>
          </w:rPr>
          <w:instrText xml:space="preserve"> PAGEREF _Toc94589662 \h </w:instrText>
        </w:r>
        <w:r>
          <w:rPr>
            <w:color w:val="auto"/>
          </w:rPr>
          <w:fldChar w:fldCharType="separate"/>
        </w:r>
        <w:r>
          <w:rPr>
            <w:color w:val="auto"/>
          </w:rPr>
          <w:t>37</w:t>
        </w:r>
        <w:r>
          <w:rPr>
            <w:color w:val="auto"/>
          </w:rPr>
          <w:fldChar w:fldCharType="end"/>
        </w:r>
      </w:hyperlink>
    </w:p>
    <w:p>
      <w:pPr>
        <w:pStyle w:val="TOC1"/>
        <w:tabs>
          <w:tab w:val="right" w:leader="dot" w:pos="8398"/>
        </w:tabs>
        <w:ind w:firstLine="562"/>
        <w:rPr>
          <w:color w:val="auto"/>
          <w:sz w:val="21"/>
          <w:szCs w:val="24"/>
        </w:rPr>
      </w:pPr>
      <w:hyperlink w:anchor="_Toc94589663" w:history="1">
        <w:r>
          <w:rPr>
            <w:rStyle w:val="Hyperlink"/>
            <w:rFonts w:hint="eastAsia"/>
            <w:color w:val="auto"/>
          </w:rPr>
          <w:t>第十五章</w:t>
        </w:r>
        <w:r>
          <w:rPr>
            <w:rStyle w:val="Hyperlink"/>
            <w:color w:val="auto"/>
          </w:rPr>
          <w:t xml:space="preserve"> </w:t>
        </w:r>
        <w:r>
          <w:rPr>
            <w:rStyle w:val="Hyperlink"/>
            <w:rFonts w:hint="eastAsia"/>
            <w:color w:val="auto"/>
          </w:rPr>
          <w:t>环境卫生设施规划</w:t>
        </w:r>
        <w:r>
          <w:rPr>
            <w:color w:val="auto"/>
          </w:rPr>
          <w:tab/>
        </w:r>
        <w:r>
          <w:rPr>
            <w:color w:val="auto"/>
          </w:rPr>
          <w:fldChar w:fldCharType="begin" w:dirty="1"/>
        </w:r>
        <w:r>
          <w:rPr>
            <w:color w:val="auto"/>
          </w:rPr>
          <w:instrText xml:space="preserve"> PAGEREF _Toc94589663 \h </w:instrText>
        </w:r>
        <w:r>
          <w:rPr>
            <w:color w:val="auto"/>
          </w:rPr>
          <w:fldChar w:fldCharType="separate"/>
        </w:r>
        <w:r>
          <w:rPr>
            <w:color w:val="auto"/>
          </w:rPr>
          <w:t>38</w:t>
        </w:r>
        <w:r>
          <w:rPr>
            <w:color w:val="auto"/>
          </w:rPr>
          <w:fldChar w:fldCharType="end"/>
        </w:r>
      </w:hyperlink>
    </w:p>
    <w:p>
      <w:pPr>
        <w:pStyle w:val="TOC1"/>
        <w:tabs>
          <w:tab w:val="right" w:leader="dot" w:pos="8398"/>
        </w:tabs>
        <w:ind w:firstLine="562"/>
        <w:rPr>
          <w:color w:val="auto"/>
          <w:sz w:val="21"/>
          <w:szCs w:val="24"/>
        </w:rPr>
      </w:pPr>
      <w:hyperlink w:anchor="_Toc94589664" w:history="1">
        <w:r>
          <w:rPr>
            <w:rStyle w:val="Hyperlink"/>
            <w:rFonts w:hint="eastAsia"/>
            <w:color w:val="auto"/>
          </w:rPr>
          <w:t>第十六章</w:t>
        </w:r>
        <w:r>
          <w:rPr>
            <w:rStyle w:val="Hyperlink"/>
            <w:color w:val="auto"/>
          </w:rPr>
          <w:t xml:space="preserve"> </w:t>
        </w:r>
        <w:r>
          <w:rPr>
            <w:rStyle w:val="Hyperlink"/>
            <w:rFonts w:hint="eastAsia"/>
            <w:color w:val="auto"/>
          </w:rPr>
          <w:t>管线综合规划</w:t>
        </w:r>
        <w:r>
          <w:rPr>
            <w:color w:val="auto"/>
          </w:rPr>
          <w:tab/>
        </w:r>
        <w:r>
          <w:rPr>
            <w:color w:val="auto"/>
          </w:rPr>
          <w:fldChar w:fldCharType="begin" w:dirty="1"/>
        </w:r>
        <w:r>
          <w:rPr>
            <w:color w:val="auto"/>
          </w:rPr>
          <w:instrText xml:space="preserve"> PAGEREF _Toc94589664 \h </w:instrText>
        </w:r>
        <w:r>
          <w:rPr>
            <w:color w:val="auto"/>
          </w:rPr>
          <w:fldChar w:fldCharType="separate"/>
        </w:r>
        <w:r>
          <w:rPr>
            <w:color w:val="auto"/>
          </w:rPr>
          <w:t>39</w:t>
        </w:r>
        <w:r>
          <w:rPr>
            <w:color w:val="auto"/>
          </w:rPr>
          <w:fldChar w:fldCharType="end"/>
        </w:r>
      </w:hyperlink>
    </w:p>
    <w:p>
      <w:pPr>
        <w:pStyle w:val="TOC1"/>
        <w:tabs>
          <w:tab w:val="right" w:leader="dot" w:pos="8398"/>
        </w:tabs>
        <w:ind w:firstLine="562"/>
        <w:rPr>
          <w:color w:val="auto"/>
          <w:sz w:val="21"/>
          <w:szCs w:val="24"/>
        </w:rPr>
      </w:pPr>
      <w:bookmarkStart w:id="3" w:name="_Hlt119031603"/>
      <w:bookmarkStart w:id="4" w:name="_Hlt119031604"/>
      <w:hyperlink w:anchor="_Toc94589665" w:history="1">
        <w:r>
          <w:rPr>
            <w:rStyle w:val="Hyperlink"/>
            <w:rFonts w:hint="eastAsia"/>
            <w:color w:val="auto"/>
          </w:rPr>
          <w:t>第十七章</w:t>
        </w:r>
        <w:r>
          <w:rPr>
            <w:rStyle w:val="Hyperlink"/>
            <w:color w:val="auto"/>
          </w:rPr>
          <w:t xml:space="preserve"> </w:t>
        </w:r>
        <w:r>
          <w:rPr>
            <w:rStyle w:val="Hyperlink"/>
            <w:rFonts w:hint="eastAsia"/>
            <w:color w:val="auto"/>
          </w:rPr>
          <w:t>规划控制要求</w:t>
        </w:r>
        <w:r>
          <w:rPr>
            <w:color w:val="auto"/>
          </w:rPr>
          <w:tab/>
        </w:r>
        <w:r>
          <w:rPr>
            <w:color w:val="auto"/>
          </w:rPr>
          <w:fldChar w:fldCharType="begin" w:dirty="1"/>
        </w:r>
        <w:r>
          <w:rPr>
            <w:color w:val="auto"/>
          </w:rPr>
          <w:instrText xml:space="preserve"> PAGEREF _Toc94589665 \h </w:instrText>
        </w:r>
        <w:r>
          <w:rPr>
            <w:color w:val="auto"/>
          </w:rPr>
          <w:fldChar w:fldCharType="separate"/>
        </w:r>
        <w:r>
          <w:rPr>
            <w:color w:val="auto"/>
          </w:rPr>
          <w:t>39</w:t>
        </w:r>
        <w:r>
          <w:rPr>
            <w:color w:val="auto"/>
          </w:rPr>
          <w:fldChar w:fldCharType="end"/>
        </w:r>
      </w:hyperlink>
      <w:bookmarkEnd w:id="3"/>
      <w:bookmarkEnd w:id="4"/>
    </w:p>
    <w:p>
      <w:pPr>
        <w:ind w:firstLine="0" w:firstLineChars="0"/>
        <w:rPr>
          <w:b/>
          <w:bCs/>
          <w:caps/>
          <w:sz w:val="28"/>
          <w:szCs w:val="28"/>
        </w:rPr>
        <w:sectPr>
          <w:type w:val="nextPage"/>
          <w:pgSz w:w="23814" w:h="16840" w:orient="landscape"/>
          <w:pgMar w:top="1162" w:right="1270" w:bottom="1162" w:left="1230" w:header="851" w:footer="992" w:gutter="0"/>
          <w:pgNumType w:start="4"/>
          <w:cols w:num="2" w:space="1200" w:equalWidth="1"/>
          <w:titlePg w:val="0"/>
          <w:docGrid w:type="lines" w:linePitch="312"/>
        </w:sectPr>
      </w:pPr>
      <w:r>
        <w:rPr>
          <w:b/>
          <w:bCs/>
          <w:caps/>
          <w:sz w:val="28"/>
          <w:szCs w:val="28"/>
        </w:rPr>
        <w:fldChar w:fldCharType="end"/>
      </w:r>
    </w:p>
    <w:p>
      <w:pPr>
        <w:ind w:firstLine="0" w:firstLineChars="0"/>
        <w:rPr>
          <w:rFonts w:hint="eastAsia"/>
        </w:rPr>
      </w:pPr>
      <w:r>
        <w:rPr>
          <w:sz w:val="20"/>
        </w:rPr>
        <w:pict>
          <v:shape id="_x0000_s1029" type="#_x0000_t202" style="width:324pt;height:62.4pt;margin-top:3.4pt;margin-left:540pt;mso-wrap-style:square;position:absolute;z-index:-251653120" wrapcoords="-95 0 -95 21600 21695 21600 21695 0 -95 0" stroked="t" strokecolor="white">
            <v:stroke linestyle="single"/>
            <o:lock v:ext="edit" aspectratio="f"/>
            <v:textbox>
              <w:txbxContent>
                <w:p>
                  <w:pPr>
                    <w:numPr>
                      <w:ilvl w:val="0"/>
                      <w:numId w:val="6"/>
                    </w:numPr>
                    <w:spacing w:line="240" w:lineRule="auto"/>
                    <w:ind w:left="1305" w:firstLineChars="0"/>
                    <w:rPr>
                      <w:b/>
                      <w:bCs/>
                      <w:sz w:val="44"/>
                    </w:rPr>
                  </w:pPr>
                  <w:r>
                    <w:rPr>
                      <w:rFonts w:hint="eastAsia"/>
                      <w:b/>
                      <w:bCs/>
                      <w:sz w:val="44"/>
                    </w:rPr>
                    <w:t>分图图册〔共4张〕</w:t>
                  </w:r>
                </w:p>
              </w:txbxContent>
            </v:textbox>
          </v:shape>
        </w:pict>
      </w:r>
      <w:r>
        <w:rPr>
          <w:sz w:val="20"/>
        </w:rPr>
        <w:pict>
          <v:shape id="_x0000_s1030" type="#_x0000_t202" style="width:171pt;height:62.4pt;margin-top:13.8pt;margin-left:-27pt;mso-wrap-style:square;position:absolute;z-index:-251654144" wrapcoords="-95 0 -95 21600 21695 21600 21695 0 -95 0" stroked="t" strokecolor="white">
            <v:stroke linestyle="single"/>
            <o:lock v:ext="edit" aspectratio="f"/>
            <v:textbox>
              <w:txbxContent>
                <w:p>
                  <w:pPr>
                    <w:numPr>
                      <w:ilvl w:val="0"/>
                      <w:numId w:val="6"/>
                    </w:numPr>
                    <w:spacing w:line="240" w:lineRule="auto"/>
                    <w:ind w:left="1305" w:firstLineChars="0"/>
                    <w:rPr>
                      <w:b/>
                      <w:bCs/>
                      <w:sz w:val="44"/>
                    </w:rPr>
                  </w:pPr>
                  <w:r>
                    <w:rPr>
                      <w:rFonts w:hint="eastAsia"/>
                      <w:b/>
                      <w:bCs/>
                      <w:sz w:val="44"/>
                    </w:rPr>
                    <w:t>附  图</w:t>
                  </w:r>
                </w:p>
              </w:txbxContent>
            </v:textbox>
          </v:shape>
        </w:pict>
      </w:r>
    </w:p>
    <w:p>
      <w:pPr>
        <w:ind w:firstLine="0" w:firstLineChars="0"/>
        <w:rPr>
          <w:rFonts w:hint="eastAsia"/>
        </w:rPr>
      </w:pPr>
    </w:p>
    <w:p>
      <w:pPr>
        <w:ind w:firstLine="0" w:firstLineChars="0"/>
        <w:rPr>
          <w:rFonts w:ascii="宋体" w:hint="eastAsia"/>
          <w:sz w:val="28"/>
        </w:rPr>
      </w:pPr>
    </w:p>
    <w:p>
      <w:pPr>
        <w:numPr>
          <w:ilvl w:val="0"/>
          <w:numId w:val="7"/>
        </w:numPr>
        <w:spacing w:line="520" w:lineRule="exact"/>
        <w:ind w:left="1157" w:hanging="437" w:leftChars="300" w:firstLineChars="0"/>
        <w:rPr>
          <w:rFonts w:hint="eastAsia"/>
          <w:sz w:val="28"/>
        </w:rPr>
      </w:pPr>
      <w:r>
        <w:rPr>
          <w:rFonts w:hint="eastAsia"/>
          <w:sz w:val="28"/>
        </w:rPr>
        <w:t>区位分析图</w:t>
      </w:r>
    </w:p>
    <w:p>
      <w:pPr>
        <w:numPr>
          <w:ilvl w:val="0"/>
          <w:numId w:val="7"/>
        </w:numPr>
        <w:spacing w:line="520" w:lineRule="exact"/>
        <w:ind w:left="1157" w:hanging="437" w:leftChars="300" w:firstLineChars="0"/>
        <w:rPr>
          <w:rFonts w:hint="eastAsia"/>
          <w:sz w:val="28"/>
        </w:rPr>
      </w:pPr>
      <w:r>
        <w:rPr>
          <w:rFonts w:hint="eastAsia"/>
          <w:sz w:val="28"/>
        </w:rPr>
        <w:t>土地使用现状图</w:t>
      </w:r>
    </w:p>
    <w:p>
      <w:pPr>
        <w:numPr>
          <w:ilvl w:val="0"/>
          <w:numId w:val="7"/>
        </w:numPr>
        <w:spacing w:line="520" w:lineRule="exact"/>
        <w:ind w:left="1157" w:hanging="437" w:leftChars="300" w:firstLineChars="0"/>
        <w:rPr>
          <w:rFonts w:hint="eastAsia"/>
          <w:sz w:val="28"/>
        </w:rPr>
      </w:pPr>
      <w:r>
        <w:rPr>
          <w:rFonts w:hint="eastAsia"/>
          <w:sz w:val="28"/>
          <w:lang w:eastAsia="zh-CN"/>
        </w:rPr>
        <w:t>土地使用规划</w:t>
      </w:r>
      <w:r>
        <w:rPr>
          <w:rFonts w:hint="eastAsia"/>
          <w:sz w:val="28"/>
        </w:rPr>
        <w:t>图</w:t>
      </w:r>
    </w:p>
    <w:p>
      <w:pPr>
        <w:numPr>
          <w:ilvl w:val="0"/>
          <w:numId w:val="7"/>
        </w:numPr>
        <w:spacing w:line="520" w:lineRule="exact"/>
        <w:ind w:left="1157" w:hanging="437" w:leftChars="300" w:firstLineChars="0"/>
        <w:rPr>
          <w:rFonts w:hint="eastAsia"/>
          <w:sz w:val="28"/>
        </w:rPr>
      </w:pPr>
      <w:r>
        <w:rPr>
          <w:rFonts w:hint="eastAsia"/>
          <w:sz w:val="28"/>
          <w:lang w:eastAsia="zh-CN"/>
        </w:rPr>
        <w:t>道路系统规划</w:t>
      </w:r>
      <w:r>
        <w:rPr>
          <w:rFonts w:hint="eastAsia"/>
          <w:sz w:val="28"/>
        </w:rPr>
        <w:t>图</w:t>
      </w:r>
    </w:p>
    <w:p>
      <w:pPr>
        <w:numPr>
          <w:ilvl w:val="0"/>
          <w:numId w:val="7"/>
        </w:numPr>
        <w:spacing w:line="520" w:lineRule="exact"/>
        <w:ind w:left="1157" w:hanging="437" w:leftChars="300" w:firstLineChars="0"/>
        <w:rPr>
          <w:rFonts w:hint="eastAsia"/>
          <w:sz w:val="28"/>
        </w:rPr>
      </w:pPr>
      <w:r>
        <w:rPr>
          <w:rFonts w:hint="eastAsia"/>
          <w:sz w:val="28"/>
          <w:lang w:eastAsia="zh-CN"/>
        </w:rPr>
        <w:t>道路竖向及坐标</w:t>
      </w:r>
      <w:r>
        <w:rPr>
          <w:rFonts w:hint="eastAsia"/>
          <w:sz w:val="28"/>
        </w:rPr>
        <w:t>规划图</w:t>
      </w:r>
    </w:p>
    <w:p>
      <w:pPr>
        <w:numPr>
          <w:ilvl w:val="0"/>
          <w:numId w:val="7"/>
        </w:numPr>
        <w:spacing w:line="520" w:lineRule="exact"/>
        <w:ind w:left="1157" w:hanging="437" w:leftChars="300" w:firstLineChars="0"/>
        <w:rPr>
          <w:rFonts w:hint="eastAsia"/>
          <w:sz w:val="28"/>
        </w:rPr>
      </w:pPr>
      <w:r>
        <w:rPr>
          <w:rFonts w:hint="eastAsia"/>
          <w:sz w:val="28"/>
          <w:lang w:eastAsia="zh-CN"/>
        </w:rPr>
        <w:t>公用设施规划</w:t>
      </w:r>
      <w:r>
        <w:rPr>
          <w:rFonts w:hint="eastAsia"/>
          <w:sz w:val="28"/>
        </w:rPr>
        <w:t>图</w:t>
      </w:r>
    </w:p>
    <w:p>
      <w:pPr>
        <w:numPr>
          <w:ilvl w:val="0"/>
          <w:numId w:val="7"/>
        </w:numPr>
        <w:spacing w:line="520" w:lineRule="exact"/>
        <w:ind w:left="1157" w:hanging="437" w:leftChars="300" w:firstLineChars="0"/>
        <w:rPr>
          <w:rFonts w:hint="eastAsia"/>
          <w:sz w:val="28"/>
        </w:rPr>
      </w:pPr>
      <w:r>
        <w:rPr>
          <w:rFonts w:hint="eastAsia"/>
          <w:sz w:val="28"/>
        </w:rPr>
        <w:t>建筑高度规划图</w:t>
      </w:r>
    </w:p>
    <w:p>
      <w:pPr>
        <w:numPr>
          <w:ilvl w:val="0"/>
          <w:numId w:val="7"/>
        </w:numPr>
        <w:spacing w:line="520" w:lineRule="exact"/>
        <w:ind w:left="1157" w:hanging="437" w:leftChars="300" w:firstLineChars="0"/>
        <w:rPr>
          <w:rFonts w:hint="eastAsia"/>
          <w:sz w:val="28"/>
        </w:rPr>
      </w:pPr>
      <w:r>
        <w:rPr>
          <w:rFonts w:hint="eastAsia"/>
          <w:sz w:val="28"/>
          <w:lang w:eastAsia="zh-CN"/>
        </w:rPr>
        <w:t>绿地系统规划</w:t>
      </w:r>
      <w:r>
        <w:rPr>
          <w:rFonts w:hint="eastAsia"/>
          <w:sz w:val="28"/>
        </w:rPr>
        <w:t>规划图</w:t>
      </w:r>
    </w:p>
    <w:p>
      <w:pPr>
        <w:numPr>
          <w:ilvl w:val="0"/>
          <w:numId w:val="7"/>
        </w:numPr>
        <w:spacing w:line="520" w:lineRule="exact"/>
        <w:ind w:left="1157" w:hanging="437" w:leftChars="300" w:firstLineChars="0"/>
        <w:rPr>
          <w:rFonts w:hint="eastAsia"/>
          <w:sz w:val="28"/>
        </w:rPr>
      </w:pPr>
      <w:r>
        <w:rPr>
          <w:rFonts w:hint="eastAsia"/>
          <w:sz w:val="28"/>
          <w:lang w:eastAsia="zh-CN"/>
        </w:rPr>
        <w:t>城市设计引导图</w:t>
      </w:r>
      <w:r>
        <w:rPr>
          <w:rFonts w:hint="eastAsia"/>
          <w:sz w:val="28"/>
        </w:rPr>
        <w:t>规划图</w:t>
      </w:r>
    </w:p>
    <w:p>
      <w:pPr>
        <w:numPr>
          <w:ilvl w:val="0"/>
          <w:numId w:val="7"/>
        </w:numPr>
        <w:spacing w:line="520" w:lineRule="exact"/>
        <w:ind w:left="1157" w:hanging="437" w:leftChars="300" w:firstLineChars="0"/>
        <w:rPr>
          <w:rFonts w:hint="eastAsia"/>
          <w:sz w:val="28"/>
        </w:rPr>
      </w:pPr>
      <w:r>
        <w:rPr>
          <w:rFonts w:hint="eastAsia"/>
          <w:sz w:val="28"/>
        </w:rPr>
        <w:t>地块编号图</w:t>
      </w:r>
    </w:p>
    <w:p>
      <w:pPr>
        <w:numPr>
          <w:ilvl w:val="0"/>
          <w:numId w:val="7"/>
        </w:numPr>
        <w:spacing w:line="520" w:lineRule="exact"/>
        <w:ind w:left="1157" w:hanging="437" w:leftChars="300" w:firstLineChars="0"/>
        <w:rPr>
          <w:rFonts w:hint="eastAsia"/>
          <w:sz w:val="28"/>
        </w:rPr>
      </w:pPr>
      <w:r>
        <w:rPr>
          <w:rFonts w:hint="eastAsia"/>
          <w:sz w:val="28"/>
        </w:rPr>
        <w:t>给水排水工程规划图</w:t>
      </w:r>
    </w:p>
    <w:p>
      <w:pPr>
        <w:numPr>
          <w:ilvl w:val="0"/>
          <w:numId w:val="7"/>
        </w:numPr>
        <w:spacing w:line="520" w:lineRule="exact"/>
        <w:ind w:left="1157" w:hanging="437" w:leftChars="300" w:firstLineChars="0"/>
        <w:rPr>
          <w:rFonts w:hint="eastAsia"/>
          <w:sz w:val="28"/>
        </w:rPr>
      </w:pPr>
      <w:r>
        <w:rPr>
          <w:rFonts w:hint="eastAsia"/>
          <w:sz w:val="28"/>
        </w:rPr>
        <w:t>供热</w:t>
      </w:r>
      <w:r>
        <w:rPr>
          <w:rFonts w:hint="eastAsia"/>
          <w:sz w:val="28"/>
          <w:lang w:eastAsia="zh-CN"/>
        </w:rPr>
        <w:t>，电信电力工程</w:t>
      </w:r>
      <w:r>
        <w:rPr>
          <w:rFonts w:hint="eastAsia"/>
          <w:sz w:val="28"/>
        </w:rPr>
        <w:t>规划图</w:t>
      </w:r>
    </w:p>
    <w:p>
      <w:pPr>
        <w:numPr>
          <w:ilvl w:val="0"/>
          <w:numId w:val="7"/>
        </w:numPr>
        <w:spacing w:line="520" w:lineRule="exact"/>
        <w:ind w:left="1157" w:hanging="437" w:leftChars="300" w:firstLineChars="0"/>
        <w:rPr>
          <w:rFonts w:hint="eastAsia"/>
          <w:sz w:val="28"/>
        </w:rPr>
      </w:pPr>
      <w:r>
        <w:rPr>
          <w:rFonts w:hint="eastAsia"/>
          <w:sz w:val="28"/>
        </w:rPr>
        <w:t>总图图表</w:t>
      </w:r>
    </w:p>
    <w:p>
      <w:pPr>
        <w:ind w:firstLine="0" w:firstLineChars="0"/>
        <w:rPr>
          <w:rFonts w:hint="eastAsia"/>
        </w:rPr>
      </w:pPr>
    </w:p>
    <w:p>
      <w:pPr>
        <w:spacing w:line="240" w:lineRule="auto"/>
        <w:ind w:firstLine="0" w:firstLineChars="0"/>
        <w:rPr>
          <w:rFonts w:hint="eastAsia"/>
          <w:b/>
          <w:bCs/>
          <w:sz w:val="44"/>
        </w:rPr>
      </w:pPr>
    </w:p>
    <w:p>
      <w:pPr>
        <w:ind w:firstLine="480"/>
      </w:pPr>
    </w:p>
    <w:p>
      <w:pPr>
        <w:ind w:firstLine="480"/>
        <w:rPr>
          <w:rFonts w:hint="eastAsia"/>
        </w:rPr>
        <w:sectPr>
          <w:type w:val="nextPage"/>
          <w:pgSz w:w="23814" w:h="16840" w:orient="landscape"/>
          <w:pgMar w:top="1162" w:right="1270" w:bottom="1162" w:left="1230" w:header="851" w:footer="992" w:gutter="0"/>
          <w:pgNumType w:start="5"/>
          <w:cols w:num="2" w:space="1200" w:equalWidth="1"/>
          <w:titlePg w:val="0"/>
          <w:docGrid w:type="lines" w:linePitch="312"/>
        </w:sectPr>
      </w:pPr>
    </w:p>
    <w:p>
      <w:pPr>
        <w:ind w:firstLine="0" w:firstLineChars="0"/>
        <w:rPr>
          <w:rFonts w:hint="eastAsia"/>
        </w:rPr>
      </w:pPr>
      <w:bookmarkStart w:id="5" w:name="_Toc59103132"/>
    </w:p>
    <w:p>
      <w:pPr>
        <w:ind w:firstLine="0" w:firstLineChars="0"/>
        <w:rPr>
          <w:rFonts w:hint="eastAsia"/>
        </w:rPr>
      </w:pPr>
    </w:p>
    <w:p>
      <w:pPr>
        <w:ind w:firstLine="0" w:firstLineChars="0"/>
        <w:rPr>
          <w:rFonts w:hint="eastAsia"/>
        </w:rPr>
      </w:pPr>
    </w:p>
    <w:p>
      <w:pPr>
        <w:ind w:firstLine="0" w:firstLineChars="0"/>
        <w:rPr>
          <w:rFonts w:hint="eastAsia"/>
        </w:rPr>
      </w:pPr>
      <w:r>
        <w:rPr>
          <w:sz w:val="20"/>
        </w:rPr>
        <w:pict>
          <v:shape id="_x0000_s1031" type="#_x0000_t202" style="width:2in;height:121.2pt;margin-top:2.4pt;margin-left:468pt;mso-wrap-style:square;position:absolute;z-index:251664384" stroked="t" strokecolor="white">
            <v:stroke linestyle="single"/>
            <o:lock v:ext="edit" aspectratio="f"/>
            <v:textbox>
              <w:txbxContent>
                <w:p>
                  <w:pPr>
                    <w:ind w:firstLine="1687"/>
                    <w:rPr>
                      <w:rFonts w:ascii="宋体" w:hAnsi="宋体" w:hint="eastAsia"/>
                      <w:b/>
                      <w:bCs/>
                      <w:sz w:val="84"/>
                    </w:rPr>
                  </w:pPr>
                </w:p>
                <w:p>
                  <w:pPr>
                    <w:ind w:firstLine="1687"/>
                    <w:rPr>
                      <w:rFonts w:ascii="宋体" w:hAnsi="宋体" w:hint="eastAsia"/>
                      <w:b/>
                      <w:bCs/>
                      <w:sz w:val="84"/>
                    </w:rPr>
                  </w:pPr>
                </w:p>
                <w:p>
                  <w:pPr>
                    <w:spacing w:line="240" w:lineRule="auto"/>
                    <w:ind w:firstLine="0" w:firstLineChars="0"/>
                    <w:rPr>
                      <w:rFonts w:hint="eastAsia"/>
                      <w:sz w:val="72"/>
                    </w:rPr>
                  </w:pPr>
                  <w:r>
                    <w:rPr>
                      <w:rFonts w:ascii="宋体" w:hAnsi="宋体" w:hint="eastAsia"/>
                      <w:b/>
                      <w:bCs/>
                      <w:sz w:val="72"/>
                    </w:rPr>
                    <w:t>文  本</w:t>
                  </w:r>
                </w:p>
              </w:txbxContent>
            </v:textbox>
          </v:shape>
        </w:pict>
      </w: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r>
        <w:rPr>
          <w:rFonts w:hint="eastAsia"/>
        </w:rPr>
        <w:pict>
          <v:shape id="_x0000_s1032" type="#_x0000_t202" style="width:270pt;height:117pt;margin-top:18.2pt;margin-left:396pt;mso-wrap-style:square;position:absolute;z-index:251665408" stroked="t" strokecolor="white">
            <v:stroke linestyle="single"/>
            <o:lock v:ext="edit" aspectratio="f"/>
            <v:textbox>
              <w:txbxContent>
                <w:p>
                  <w:pPr>
                    <w:ind w:firstLine="365" w:firstLineChars="83"/>
                    <w:jc w:val="center"/>
                    <w:rPr>
                      <w:rFonts w:hint="eastAsia"/>
                      <w:sz w:val="44"/>
                      <w:szCs w:val="44"/>
                    </w:rPr>
                  </w:pPr>
                </w:p>
                <w:p>
                  <w:pPr>
                    <w:ind w:firstLine="365" w:firstLineChars="83"/>
                    <w:jc w:val="center"/>
                    <w:rPr>
                      <w:rFonts w:eastAsia="宋体" w:hint="eastAsia"/>
                      <w:sz w:val="44"/>
                      <w:szCs w:val="44"/>
                    </w:rPr>
                  </w:pPr>
                  <w:r>
                    <w:rPr>
                      <w:rFonts w:hint="eastAsia"/>
                      <w:sz w:val="44"/>
                      <w:szCs w:val="44"/>
                      <w:lang w:eastAsia="zh-CN"/>
                    </w:rPr>
                    <w:t>聚义规划设计股份</w:t>
                  </w:r>
                </w:p>
                <w:p>
                  <w:pPr>
                    <w:ind w:firstLine="365" w:firstLineChars="83"/>
                    <w:jc w:val="center"/>
                    <w:rPr>
                      <w:rFonts w:hint="eastAsia"/>
                    </w:rPr>
                  </w:pPr>
                  <w:r>
                    <w:rPr>
                      <w:rFonts w:hint="eastAsia"/>
                      <w:sz w:val="44"/>
                      <w:szCs w:val="44"/>
                    </w:rPr>
                    <w:t>20</w:t>
                  </w:r>
                  <w:r>
                    <w:rPr>
                      <w:rFonts w:hint="eastAsia"/>
                      <w:sz w:val="44"/>
                      <w:szCs w:val="44"/>
                      <w:lang w:val="en-US" w:eastAsia="zh-CN"/>
                    </w:rPr>
                    <w:t>13</w:t>
                  </w:r>
                  <w:r>
                    <w:rPr>
                      <w:rFonts w:hint="eastAsia"/>
                      <w:sz w:val="44"/>
                      <w:szCs w:val="44"/>
                    </w:rPr>
                    <w:t>年</w:t>
                  </w:r>
                  <w:r>
                    <w:rPr>
                      <w:rFonts w:hint="eastAsia"/>
                      <w:sz w:val="44"/>
                      <w:szCs w:val="44"/>
                      <w:lang w:val="en-US" w:eastAsia="zh-CN"/>
                    </w:rPr>
                    <w:t>6</w:t>
                  </w:r>
                  <w:r>
                    <w:rPr>
                      <w:rFonts w:hint="eastAsia"/>
                      <w:sz w:val="44"/>
                      <w:szCs w:val="44"/>
                    </w:rPr>
                    <w:t>月</w:t>
                  </w:r>
                </w:p>
              </w:txbxContent>
            </v:textbox>
          </v:shape>
        </w:pict>
      </w: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hint="eastAsia"/>
        </w:rPr>
      </w:pPr>
    </w:p>
    <w:p>
      <w:pPr>
        <w:ind w:firstLine="0" w:firstLineChars="0"/>
        <w:rPr>
          <w:rFonts w:ascii="黑体" w:eastAsia="黑体" w:hint="eastAsia"/>
          <w:b/>
          <w:sz w:val="36"/>
          <w:szCs w:val="36"/>
        </w:rPr>
      </w:pPr>
    </w:p>
    <w:p>
      <w:pPr>
        <w:ind w:firstLine="0" w:firstLineChars="0"/>
        <w:rPr>
          <w:rFonts w:hint="eastAsia"/>
        </w:rPr>
      </w:pPr>
    </w:p>
    <w:p>
      <w:pPr>
        <w:pStyle w:val="Heading1"/>
        <w:tabs>
          <w:tab w:val="left" w:pos="432"/>
        </w:tabs>
        <w:rPr>
          <w:rFonts w:hint="eastAsia"/>
        </w:rPr>
      </w:pPr>
      <w:bookmarkStart w:id="6" w:name="_Toc94589638"/>
      <w:r>
        <w:rPr>
          <w:rFonts w:hint="eastAsia"/>
        </w:rPr>
        <w:t xml:space="preserve">  </w:t>
      </w:r>
      <w:bookmarkEnd w:id="5"/>
      <w:bookmarkEnd w:id="6"/>
      <w:r>
        <w:rPr>
          <w:rFonts w:hint="eastAsia"/>
        </w:rPr>
        <w:t>第一章 总</w:t>
      </w:r>
      <w:r>
        <w:t xml:space="preserve">    </w:t>
      </w:r>
      <w:r>
        <w:rPr>
          <w:rFonts w:hint="eastAsia"/>
        </w:rPr>
        <w:t>那么</w:t>
      </w:r>
    </w:p>
    <w:p>
      <w:pPr>
        <w:numPr>
          <w:ilvl w:val="0"/>
          <w:numId w:val="8"/>
        </w:numPr>
        <w:tabs>
          <w:tab w:val="clear" w:pos="1080"/>
          <w:tab w:val="left" w:pos="1440"/>
        </w:tabs>
        <w:spacing w:line="360" w:lineRule="auto"/>
        <w:ind w:left="1440" w:hanging="1440" w:firstLineChars="0"/>
        <w:outlineLvl w:val="0"/>
        <w:rPr>
          <w:rFonts w:hint="eastAsia"/>
          <w:sz w:val="28"/>
        </w:rPr>
      </w:pPr>
      <w:r>
        <w:rPr>
          <w:rFonts w:hint="eastAsia"/>
          <w:sz w:val="28"/>
        </w:rPr>
        <w:t>为保障</w:t>
      </w:r>
      <w:r>
        <w:rPr>
          <w:rFonts w:hint="eastAsia"/>
          <w:sz w:val="28"/>
          <w:lang w:eastAsia="zh-CN"/>
        </w:rPr>
        <w:t>桦南镇</w:t>
      </w:r>
      <w:r>
        <w:rPr>
          <w:rFonts w:hint="eastAsia"/>
          <w:sz w:val="28"/>
        </w:rPr>
        <w:t>中心城区控制性详细规划的实施，促进并带动整个新区开发建设，特制订本规划实施文本。</w:t>
      </w:r>
    </w:p>
    <w:p>
      <w:pPr>
        <w:numPr>
          <w:ilvl w:val="0"/>
          <w:numId w:val="8"/>
        </w:numPr>
        <w:tabs>
          <w:tab w:val="clear" w:pos="1080"/>
          <w:tab w:val="left" w:pos="1440"/>
        </w:tabs>
        <w:spacing w:line="360" w:lineRule="auto"/>
        <w:ind w:left="1440" w:hanging="1440" w:firstLineChars="0"/>
        <w:outlineLvl w:val="0"/>
        <w:rPr>
          <w:rFonts w:hint="eastAsia"/>
          <w:sz w:val="28"/>
        </w:rPr>
        <w:sectPr>
          <w:type w:val="nextPage"/>
          <w:pgSz w:w="23814" w:h="16840" w:orient="landscape"/>
          <w:pgMar w:top="1162" w:right="1270" w:bottom="1162" w:left="1230" w:header="851" w:footer="992" w:gutter="0"/>
          <w:pgNumType w:start="6"/>
          <w:cols w:num="2" w:space="1200" w:equalWidth="1"/>
          <w:titlePg w:val="0"/>
          <w:docGrid w:type="lines" w:linePitch="312"/>
        </w:sectPr>
      </w:pPr>
      <w:r>
        <w:rPr>
          <w:rFonts w:hint="eastAsia"/>
          <w:sz w:val="28"/>
        </w:rPr>
        <w:t>本细那么适用于</w:t>
      </w:r>
      <w:r>
        <w:rPr>
          <w:rFonts w:hint="eastAsia"/>
          <w:sz w:val="28"/>
          <w:lang w:eastAsia="zh-CN"/>
        </w:rPr>
        <w:t>桦南镇</w:t>
      </w:r>
    </w:p>
    <w:p>
      <w:pPr>
        <w:numPr>
          <w:ilvl w:val="0"/>
          <w:numId w:val="0"/>
        </w:numPr>
        <w:tabs>
          <w:tab w:val="clear" w:pos="1080"/>
          <w:tab w:val="left" w:pos="1440"/>
        </w:tabs>
        <w:spacing w:line="360" w:lineRule="auto"/>
        <w:ind w:left="0" w:hanging="1440" w:firstLineChars="0"/>
        <w:outlineLvl w:val="0"/>
        <w:rPr>
          <w:rFonts w:hint="eastAsia"/>
          <w:sz w:val="28"/>
        </w:rPr>
      </w:pPr>
      <w:r>
        <w:rPr>
          <w:rFonts w:hint="eastAsia"/>
          <w:sz w:val="28"/>
        </w:rPr>
        <w:t>中心城区规划范围内各片区、地块以及各类用地建设的规划管理工作，并作为工程工程设计的依据，但不能作为工程工程施工的依据。规划范围内任何拆建、改建、扩建或新建工程，均应符合本规划的规定和要求，由本规划进行技术总协调。</w:t>
      </w:r>
    </w:p>
    <w:p>
      <w:pPr>
        <w:numPr>
          <w:ilvl w:val="0"/>
          <w:numId w:val="11"/>
        </w:numPr>
        <w:tabs>
          <w:tab w:val="clear" w:pos="1080"/>
          <w:tab w:val="left" w:pos="1440"/>
        </w:tabs>
        <w:spacing w:line="360" w:lineRule="auto"/>
        <w:ind w:left="1440" w:hanging="1440" w:firstLineChars="0"/>
        <w:outlineLvl w:val="0"/>
        <w:rPr>
          <w:rFonts w:hint="eastAsia"/>
          <w:sz w:val="28"/>
        </w:rPr>
      </w:pPr>
      <w:r>
        <w:rPr>
          <w:rFonts w:hint="eastAsia"/>
          <w:sz w:val="28"/>
        </w:rPr>
        <w:t>本文本与控制性详细规划的分图图册，具有同等的法律效力，两者应同时使用，不可分割，规划范围内各类建设工程，均应符合本文本和分图图册。</w:t>
      </w:r>
    </w:p>
    <w:p>
      <w:pPr>
        <w:numPr>
          <w:ilvl w:val="0"/>
          <w:numId w:val="11"/>
        </w:numPr>
        <w:tabs>
          <w:tab w:val="left" w:pos="1080"/>
          <w:tab w:val="left" w:pos="1440"/>
        </w:tabs>
        <w:spacing w:line="360" w:lineRule="auto"/>
        <w:ind w:left="1440" w:hanging="1440" w:firstLineChars="0"/>
        <w:outlineLvl w:val="0"/>
        <w:rPr>
          <w:rFonts w:hint="eastAsia"/>
          <w:sz w:val="28"/>
        </w:rPr>
      </w:pPr>
      <w:r>
        <w:rPr>
          <w:rFonts w:hint="eastAsia"/>
          <w:sz w:val="28"/>
        </w:rPr>
        <w:t xml:space="preserve">  规划依据：</w:t>
      </w:r>
    </w:p>
    <w:p>
      <w:pPr>
        <w:spacing w:line="360" w:lineRule="auto"/>
        <w:ind w:firstLine="1319" w:firstLineChars="471"/>
        <w:outlineLvl w:val="0"/>
        <w:rPr>
          <w:rFonts w:hint="eastAsia"/>
          <w:sz w:val="28"/>
        </w:rPr>
      </w:pPr>
      <w:r>
        <w:rPr>
          <w:rFonts w:hint="eastAsia"/>
          <w:sz w:val="28"/>
        </w:rPr>
        <w:t>《中华人民共和国城乡规划法》</w:t>
      </w:r>
    </w:p>
    <w:p>
      <w:pPr>
        <w:spacing w:line="360" w:lineRule="auto"/>
        <w:ind w:firstLine="1319" w:firstLineChars="471"/>
        <w:outlineLvl w:val="0"/>
        <w:rPr>
          <w:rFonts w:hint="eastAsia"/>
          <w:sz w:val="28"/>
        </w:rPr>
      </w:pPr>
      <w:r>
        <w:rPr>
          <w:rFonts w:hint="eastAsia"/>
          <w:sz w:val="28"/>
        </w:rPr>
        <w:t>建设部《城市规划编制方法》</w:t>
      </w:r>
    </w:p>
    <w:p>
      <w:pPr>
        <w:spacing w:line="360" w:lineRule="auto"/>
        <w:ind w:firstLine="1319" w:firstLineChars="471"/>
        <w:outlineLvl w:val="0"/>
        <w:rPr>
          <w:rFonts w:hint="eastAsia"/>
          <w:sz w:val="28"/>
        </w:rPr>
      </w:pPr>
      <w:r>
        <w:rPr>
          <w:rFonts w:hint="eastAsia"/>
          <w:sz w:val="28"/>
        </w:rPr>
        <w:t>建设部《城市规划编制方法实施细那么》</w:t>
      </w:r>
    </w:p>
    <w:p>
      <w:pPr>
        <w:spacing w:line="360" w:lineRule="auto"/>
        <w:ind w:firstLine="1319" w:firstLineChars="471"/>
        <w:outlineLvl w:val="0"/>
        <w:rPr>
          <w:rFonts w:hint="eastAsia"/>
          <w:sz w:val="28"/>
        </w:rPr>
      </w:pPr>
      <w:r>
        <w:rPr>
          <w:rFonts w:hint="eastAsia"/>
          <w:sz w:val="28"/>
        </w:rPr>
        <w:t>《城市用地分类与规划建设用地标准》〔GBJ137-90〕</w:t>
      </w:r>
    </w:p>
    <w:p>
      <w:pPr>
        <w:spacing w:line="360" w:lineRule="auto"/>
        <w:ind w:firstLine="1319" w:firstLineChars="471"/>
        <w:outlineLvl w:val="0"/>
        <w:rPr>
          <w:rFonts w:hint="eastAsia"/>
          <w:sz w:val="28"/>
        </w:rPr>
      </w:pPr>
      <w:r>
        <w:rPr>
          <w:rFonts w:hint="eastAsia"/>
          <w:sz w:val="28"/>
        </w:rPr>
        <w:t>黑龙江省地方标准《控制性详细规划编制标准》〔DB23/T744-2004〕</w:t>
      </w:r>
    </w:p>
    <w:p>
      <w:pPr>
        <w:spacing w:line="360" w:lineRule="auto"/>
        <w:ind w:firstLine="1319" w:firstLineChars="471"/>
        <w:outlineLvl w:val="0"/>
        <w:rPr>
          <w:rFonts w:hint="eastAsia"/>
          <w:sz w:val="28"/>
        </w:rPr>
      </w:pPr>
      <w:r>
        <w:rPr>
          <w:rFonts w:hint="eastAsia"/>
          <w:sz w:val="28"/>
        </w:rPr>
        <w:t>《</w:t>
      </w:r>
      <w:r>
        <w:rPr>
          <w:rFonts w:hint="eastAsia"/>
          <w:sz w:val="28"/>
          <w:lang w:eastAsia="zh-CN"/>
        </w:rPr>
        <w:t>桦南镇</w:t>
      </w:r>
      <w:r>
        <w:rPr>
          <w:rFonts w:hint="eastAsia"/>
          <w:sz w:val="28"/>
        </w:rPr>
        <w:t>总体规划》〔200</w:t>
      </w:r>
      <w:r>
        <w:rPr>
          <w:rFonts w:hint="eastAsia"/>
          <w:sz w:val="28"/>
          <w:lang w:val="en-US" w:eastAsia="zh-CN"/>
        </w:rPr>
        <w:t>5</w:t>
      </w:r>
      <w:r>
        <w:rPr>
          <w:rFonts w:hint="eastAsia"/>
          <w:sz w:val="28"/>
        </w:rPr>
        <w:t>-2020年〕</w:t>
      </w:r>
    </w:p>
    <w:p>
      <w:pPr>
        <w:spacing w:line="360" w:lineRule="auto"/>
        <w:ind w:firstLine="1319" w:firstLineChars="471"/>
        <w:outlineLvl w:val="0"/>
        <w:rPr>
          <w:rFonts w:hint="eastAsia"/>
          <w:sz w:val="28"/>
        </w:rPr>
      </w:pPr>
      <w:r>
        <w:rPr>
          <w:rFonts w:hint="eastAsia"/>
          <w:sz w:val="28"/>
        </w:rPr>
        <w:t>《</w:t>
      </w:r>
      <w:r>
        <w:rPr>
          <w:rFonts w:hint="eastAsia"/>
          <w:sz w:val="28"/>
          <w:lang w:eastAsia="zh-CN"/>
        </w:rPr>
        <w:t>桦南县体系规划</w:t>
      </w:r>
      <w:r>
        <w:rPr>
          <w:rFonts w:hint="eastAsia"/>
          <w:sz w:val="28"/>
        </w:rPr>
        <w:t>规划》〔200</w:t>
      </w:r>
      <w:r>
        <w:rPr>
          <w:rFonts w:hint="eastAsia"/>
          <w:sz w:val="28"/>
          <w:lang w:val="en-US" w:eastAsia="zh-CN"/>
        </w:rPr>
        <w:t>5-</w:t>
      </w:r>
      <w:r>
        <w:rPr>
          <w:rFonts w:hint="eastAsia"/>
          <w:sz w:val="28"/>
        </w:rPr>
        <w:t>2020年〕</w:t>
      </w:r>
    </w:p>
    <w:p>
      <w:pPr>
        <w:spacing w:line="360" w:lineRule="auto"/>
        <w:ind w:firstLine="1319" w:firstLineChars="471"/>
        <w:outlineLvl w:val="0"/>
        <w:rPr>
          <w:rFonts w:hint="eastAsia"/>
          <w:sz w:val="28"/>
        </w:rPr>
      </w:pPr>
      <w:r>
        <w:rPr>
          <w:rFonts w:hint="eastAsia"/>
          <w:sz w:val="28"/>
        </w:rPr>
        <w:t>国家相关标准及</w:t>
      </w:r>
      <w:r>
        <w:rPr>
          <w:rFonts w:hint="eastAsia"/>
          <w:sz w:val="28"/>
          <w:lang w:eastAsia="zh-CN"/>
        </w:rPr>
        <w:t>桦南镇镇</w:t>
      </w:r>
      <w:r>
        <w:rPr>
          <w:rFonts w:hint="eastAsia"/>
          <w:sz w:val="28"/>
        </w:rPr>
        <w:t>政府和规划部门相关规定和设计要求</w:t>
      </w:r>
    </w:p>
    <w:p>
      <w:pPr>
        <w:numPr>
          <w:ilvl w:val="0"/>
          <w:numId w:val="11"/>
        </w:numPr>
        <w:tabs>
          <w:tab w:val="left" w:pos="1080"/>
          <w:tab w:val="left" w:pos="1440"/>
        </w:tabs>
        <w:spacing w:line="360" w:lineRule="auto"/>
        <w:ind w:left="1440" w:hanging="1440" w:firstLineChars="0"/>
        <w:outlineLvl w:val="0"/>
        <w:rPr>
          <w:rFonts w:hint="eastAsia"/>
          <w:sz w:val="28"/>
        </w:rPr>
      </w:pPr>
      <w:r>
        <w:rPr>
          <w:rFonts w:hint="eastAsia"/>
          <w:sz w:val="28"/>
        </w:rPr>
        <w:t xml:space="preserve">  规划范围：</w:t>
      </w:r>
      <w:r>
        <w:rPr>
          <w:rFonts w:hint="eastAsia"/>
          <w:sz w:val="28"/>
          <w:lang w:eastAsia="zh-CN"/>
        </w:rPr>
        <w:t>中心区桦南镇</w:t>
      </w:r>
      <w:r>
        <w:rPr>
          <w:rFonts w:hint="eastAsia"/>
          <w:sz w:val="28"/>
        </w:rPr>
        <w:t>中部，北邻</w:t>
      </w:r>
      <w:r>
        <w:rPr>
          <w:rFonts w:hint="eastAsia"/>
          <w:sz w:val="28"/>
          <w:lang w:eastAsia="zh-CN"/>
        </w:rPr>
        <w:t>胜利</w:t>
      </w:r>
      <w:r>
        <w:rPr>
          <w:rFonts w:hint="eastAsia"/>
          <w:sz w:val="28"/>
        </w:rPr>
        <w:t>路，南至</w:t>
      </w:r>
      <w:r>
        <w:rPr>
          <w:rFonts w:hint="eastAsia"/>
          <w:sz w:val="28"/>
          <w:lang w:eastAsia="zh-CN"/>
        </w:rPr>
        <w:t>交通路</w:t>
      </w:r>
      <w:r>
        <w:rPr>
          <w:rFonts w:hint="eastAsia"/>
          <w:sz w:val="28"/>
        </w:rPr>
        <w:t>，东到</w:t>
      </w:r>
      <w:r>
        <w:rPr>
          <w:rFonts w:hint="eastAsia"/>
          <w:sz w:val="28"/>
          <w:lang w:eastAsia="zh-CN"/>
        </w:rPr>
        <w:t>铁西街</w:t>
      </w:r>
      <w:r>
        <w:rPr>
          <w:rFonts w:hint="eastAsia"/>
          <w:sz w:val="28"/>
        </w:rPr>
        <w:t>路，西至</w:t>
      </w:r>
      <w:r>
        <w:rPr>
          <w:rFonts w:hint="eastAsia"/>
          <w:sz w:val="28"/>
          <w:lang w:eastAsia="zh-CN"/>
        </w:rPr>
        <w:t>苗圃</w:t>
      </w:r>
      <w:r>
        <w:rPr>
          <w:rFonts w:hint="eastAsia"/>
          <w:sz w:val="28"/>
        </w:rPr>
        <w:t>路，现状总用地面积</w:t>
      </w:r>
      <w:r>
        <w:rPr>
          <w:rFonts w:hint="eastAsia"/>
          <w:sz w:val="28"/>
          <w:lang w:val="en-US" w:eastAsia="zh-CN"/>
        </w:rPr>
        <w:t>221.65</w:t>
      </w:r>
      <w:r>
        <w:rPr>
          <w:rFonts w:hint="eastAsia"/>
          <w:sz w:val="28"/>
        </w:rPr>
        <w:t>公顷。具体规划控制范围由总图图那么界定。</w:t>
      </w:r>
    </w:p>
    <w:p>
      <w:pPr>
        <w:numPr>
          <w:ilvl w:val="0"/>
          <w:numId w:val="11"/>
        </w:numPr>
        <w:tabs>
          <w:tab w:val="clear" w:pos="1080"/>
          <w:tab w:val="left" w:pos="1440"/>
        </w:tabs>
        <w:spacing w:line="360" w:lineRule="auto"/>
        <w:ind w:left="1440" w:hanging="1440" w:firstLineChars="0"/>
        <w:outlineLvl w:val="0"/>
        <w:rPr>
          <w:rFonts w:hint="eastAsia"/>
          <w:sz w:val="28"/>
        </w:rPr>
      </w:pPr>
      <w:r>
        <w:rPr>
          <w:rFonts w:hint="eastAsia"/>
          <w:sz w:val="28"/>
        </w:rPr>
        <w:t>规划年限：本次规划期限以《城乡规划法》为依据，同时与《</w:t>
      </w:r>
      <w:r>
        <w:rPr>
          <w:rFonts w:hint="eastAsia"/>
          <w:sz w:val="28"/>
          <w:lang w:eastAsia="zh-CN"/>
        </w:rPr>
        <w:t>桦南镇</w:t>
      </w:r>
      <w:r>
        <w:rPr>
          <w:rFonts w:hint="eastAsia"/>
          <w:sz w:val="28"/>
        </w:rPr>
        <w:t>中心城总体规划》相吻合，确定规划期限为：</w:t>
      </w:r>
    </w:p>
    <w:p>
      <w:pPr>
        <w:spacing w:line="360" w:lineRule="auto"/>
        <w:ind w:firstLine="1400" w:firstLineChars="500"/>
        <w:outlineLvl w:val="0"/>
        <w:rPr>
          <w:rFonts w:hint="eastAsia"/>
          <w:sz w:val="28"/>
        </w:rPr>
      </w:pPr>
      <w:r>
        <w:rPr>
          <w:rFonts w:hint="eastAsia"/>
          <w:sz w:val="28"/>
        </w:rPr>
        <w:t>近期：200</w:t>
      </w:r>
      <w:r>
        <w:rPr>
          <w:rFonts w:hint="eastAsia"/>
          <w:sz w:val="28"/>
          <w:lang w:val="en-US" w:eastAsia="zh-CN"/>
        </w:rPr>
        <w:t>5</w:t>
      </w:r>
      <w:r>
        <w:rPr>
          <w:rFonts w:hint="eastAsia"/>
          <w:sz w:val="28"/>
        </w:rPr>
        <w:t>—</w:t>
      </w:r>
      <w:r>
        <w:rPr>
          <w:rFonts w:hint="eastAsia"/>
          <w:sz w:val="28"/>
        </w:rPr>
        <w:t>201</w:t>
      </w:r>
      <w:r>
        <w:rPr>
          <w:rFonts w:hint="eastAsia"/>
          <w:sz w:val="28"/>
          <w:lang w:val="en-US" w:eastAsia="zh-CN"/>
        </w:rPr>
        <w:t>1</w:t>
      </w:r>
      <w:r>
        <w:rPr>
          <w:rFonts w:hint="eastAsia"/>
          <w:sz w:val="28"/>
        </w:rPr>
        <w:t>年；</w:t>
      </w:r>
    </w:p>
    <w:p>
      <w:pPr>
        <w:spacing w:line="360" w:lineRule="auto"/>
        <w:ind w:firstLine="1400" w:firstLineChars="500"/>
        <w:outlineLvl w:val="0"/>
        <w:rPr>
          <w:rFonts w:hint="eastAsia"/>
          <w:sz w:val="28"/>
        </w:rPr>
      </w:pPr>
      <w:r>
        <w:rPr>
          <w:rFonts w:hint="eastAsia"/>
          <w:sz w:val="28"/>
        </w:rPr>
        <w:t>远期：201</w:t>
      </w:r>
      <w:r>
        <w:rPr>
          <w:rFonts w:hint="eastAsia"/>
          <w:sz w:val="28"/>
          <w:lang w:val="en-US" w:eastAsia="zh-CN"/>
        </w:rPr>
        <w:t>1</w:t>
      </w:r>
      <w:r>
        <w:rPr>
          <w:rFonts w:hint="eastAsia"/>
          <w:sz w:val="28"/>
        </w:rPr>
        <w:t>—</w:t>
      </w:r>
      <w:r>
        <w:rPr>
          <w:rFonts w:hint="eastAsia"/>
          <w:sz w:val="28"/>
        </w:rPr>
        <w:t>2020年。</w:t>
      </w:r>
    </w:p>
    <w:p>
      <w:pPr>
        <w:numPr>
          <w:ilvl w:val="0"/>
          <w:numId w:val="11"/>
        </w:numPr>
        <w:tabs>
          <w:tab w:val="clear" w:pos="1080"/>
          <w:tab w:val="left" w:pos="1440"/>
        </w:tabs>
        <w:spacing w:line="360" w:lineRule="auto"/>
        <w:ind w:left="1440" w:hanging="1440" w:firstLineChars="0"/>
        <w:outlineLvl w:val="0"/>
        <w:rPr>
          <w:rFonts w:hint="eastAsia"/>
          <w:sz w:val="28"/>
        </w:rPr>
      </w:pPr>
      <w:r>
        <w:rPr>
          <w:rFonts w:hint="eastAsia"/>
          <w:sz w:val="28"/>
        </w:rPr>
        <w:t>本规划涉及的指标和技术规定是结合</w:t>
      </w:r>
      <w:r>
        <w:rPr>
          <w:rFonts w:hint="eastAsia"/>
          <w:sz w:val="28"/>
          <w:lang w:eastAsia="zh-CN"/>
        </w:rPr>
        <w:t>桦南镇中心区</w:t>
      </w:r>
      <w:r>
        <w:rPr>
          <w:rFonts w:hint="eastAsia"/>
          <w:sz w:val="28"/>
        </w:rPr>
        <w:t>的实际情况和考虑今后的开展制定的。未涉及或未详细说明的指标和技术规定应符合国家、黑龙江省和</w:t>
      </w:r>
      <w:r>
        <w:rPr>
          <w:rFonts w:hint="eastAsia"/>
          <w:sz w:val="28"/>
          <w:lang w:eastAsia="zh-CN"/>
        </w:rPr>
        <w:t>桦南镇</w:t>
      </w:r>
      <w:r>
        <w:rPr>
          <w:rFonts w:hint="eastAsia"/>
          <w:sz w:val="28"/>
        </w:rPr>
        <w:t>的现行规定。</w:t>
      </w:r>
    </w:p>
    <w:p>
      <w:pPr>
        <w:numPr>
          <w:ilvl w:val="0"/>
          <w:numId w:val="11"/>
        </w:numPr>
        <w:tabs>
          <w:tab w:val="clear" w:pos="1080"/>
          <w:tab w:val="left" w:pos="1440"/>
        </w:tabs>
        <w:spacing w:line="360" w:lineRule="auto"/>
        <w:ind w:left="1440" w:hanging="1440" w:firstLineChars="0"/>
        <w:outlineLvl w:val="0"/>
        <w:rPr>
          <w:rFonts w:hint="eastAsia"/>
          <w:sz w:val="28"/>
        </w:rPr>
      </w:pPr>
      <w:r>
        <w:rPr>
          <w:rFonts w:hint="eastAsia"/>
          <w:sz w:val="28"/>
        </w:rPr>
        <w:t>本规划的解释、实施过程中对各种问题的协调处理，由</w:t>
      </w:r>
      <w:r>
        <w:rPr>
          <w:rFonts w:hint="eastAsia"/>
          <w:sz w:val="28"/>
          <w:lang w:eastAsia="zh-CN"/>
        </w:rPr>
        <w:t>桦南镇</w:t>
      </w:r>
      <w:r>
        <w:rPr>
          <w:rFonts w:hint="eastAsia"/>
          <w:sz w:val="28"/>
        </w:rPr>
        <w:t>城乡规划局负责。</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pStyle w:val="Heading1"/>
        <w:tabs>
          <w:tab w:val="left" w:pos="432"/>
        </w:tabs>
        <w:rPr>
          <w:rFonts w:hint="eastAsia"/>
        </w:rPr>
      </w:pPr>
      <w:r>
        <w:rPr>
          <w:rFonts w:hint="eastAsia"/>
        </w:rPr>
        <w:t xml:space="preserve">  </w:t>
      </w:r>
      <w:bookmarkStart w:id="7" w:name="_Toc94589639"/>
      <w:bookmarkStart w:id="8" w:name="_Toc59103152"/>
      <w:bookmarkStart w:id="9" w:name="_Toc59415870"/>
      <w:r>
        <w:rPr>
          <w:rFonts w:hint="eastAsia"/>
        </w:rPr>
        <w:t>第二章 功能定位与总体布局</w:t>
      </w:r>
      <w:bookmarkEnd w:id="7"/>
    </w:p>
    <w:p>
      <w:pPr>
        <w:numPr>
          <w:ilvl w:val="0"/>
          <w:numId w:val="11"/>
        </w:numPr>
        <w:tabs>
          <w:tab w:val="clear" w:pos="1080"/>
          <w:tab w:val="left" w:pos="1440"/>
        </w:tabs>
        <w:spacing w:line="360" w:lineRule="auto"/>
        <w:ind w:left="1440" w:hanging="1440" w:firstLineChars="0"/>
        <w:outlineLvl w:val="0"/>
        <w:rPr>
          <w:rFonts w:hint="eastAsia"/>
          <w:sz w:val="28"/>
        </w:rPr>
      </w:pPr>
      <w:r>
        <w:rPr>
          <w:rFonts w:hint="eastAsia"/>
          <w:sz w:val="28"/>
        </w:rPr>
        <w:t>功能定位：规划范围内依据功能的不同及黑龙江省《控制性详细规划编制标准》〔DB23/T744-2004〕的要求，共划分A、B、C、D四个区。依据《</w:t>
      </w:r>
      <w:r>
        <w:rPr>
          <w:rFonts w:hint="eastAsia"/>
          <w:sz w:val="28"/>
          <w:lang w:eastAsia="zh-CN"/>
        </w:rPr>
        <w:t>桦南镇</w:t>
      </w:r>
      <w:r>
        <w:rPr>
          <w:rFonts w:hint="eastAsia"/>
          <w:sz w:val="28"/>
        </w:rPr>
        <w:t>〔中心城〕近期建设规划〔200</w:t>
      </w:r>
      <w:r>
        <w:rPr>
          <w:rFonts w:hint="eastAsia"/>
          <w:sz w:val="28"/>
          <w:lang w:val="en-US" w:eastAsia="zh-CN"/>
        </w:rPr>
        <w:t>5</w:t>
      </w:r>
      <w:r>
        <w:rPr>
          <w:rFonts w:hint="eastAsia"/>
          <w:sz w:val="28"/>
        </w:rPr>
        <w:t>201</w:t>
      </w:r>
      <w:r>
        <w:rPr>
          <w:rFonts w:hint="eastAsia"/>
          <w:sz w:val="28"/>
          <w:lang w:val="en-US" w:eastAsia="zh-CN"/>
        </w:rPr>
        <w:t>1</w:t>
      </w:r>
      <w:r>
        <w:rPr>
          <w:rFonts w:hint="eastAsia"/>
          <w:sz w:val="28"/>
        </w:rPr>
        <w:t>》</w:t>
      </w:r>
    </w:p>
    <w:p>
      <w:pPr>
        <w:numPr>
          <w:ilvl w:val="0"/>
          <w:numId w:val="11"/>
        </w:numPr>
        <w:tabs>
          <w:tab w:val="left" w:pos="1080"/>
          <w:tab w:val="left" w:pos="1440"/>
        </w:tabs>
        <w:spacing w:line="360" w:lineRule="auto"/>
        <w:ind w:left="1440" w:hanging="1440" w:firstLineChars="0"/>
        <w:outlineLvl w:val="0"/>
        <w:rPr>
          <w:rFonts w:hint="eastAsia"/>
        </w:rPr>
        <w:sectPr>
          <w:type w:val="nextPage"/>
          <w:pgSz w:w="23814" w:h="16840" w:orient="landscape"/>
          <w:pgMar w:top="1162" w:right="1270" w:bottom="1162" w:left="1230" w:header="851" w:footer="992" w:gutter="0"/>
          <w:pgNumType w:start="7"/>
          <w:cols w:num="2" w:space="1200" w:equalWidth="1"/>
          <w:titlePg w:val="0"/>
          <w:docGrid w:type="lines" w:linePitch="312"/>
        </w:sectPr>
      </w:pPr>
      <w:r>
        <w:rPr>
          <w:rFonts w:hint="eastAsia"/>
          <w:sz w:val="28"/>
        </w:rPr>
        <w:t>总体布局：规划用地开发引入点轴模式，在</w:t>
      </w:r>
      <w:r>
        <w:rPr>
          <w:rFonts w:hint="eastAsia"/>
          <w:sz w:val="28"/>
          <w:lang w:eastAsia="zh-CN"/>
        </w:rPr>
        <w:t>前进路</w:t>
      </w:r>
      <w:r>
        <w:rPr>
          <w:rFonts w:hint="eastAsia"/>
          <w:sz w:val="28"/>
        </w:rPr>
        <w:t>和仙</w:t>
      </w:r>
      <w:r>
        <w:rPr>
          <w:rFonts w:hint="eastAsia"/>
          <w:sz w:val="28"/>
          <w:lang w:eastAsia="zh-CN"/>
        </w:rPr>
        <w:t>新兴路</w:t>
      </w:r>
      <w:r>
        <w:rPr>
          <w:rFonts w:hint="eastAsia"/>
          <w:sz w:val="28"/>
        </w:rPr>
        <w:t>两侧形成城市开展轴，形成以商业、商务文化区为核心，居住小区在外围，生态界面和城市绿色空间开展带环绕周边，生态绿廊渗透其间的总体布局，并与各景观道路结合形成</w:t>
      </w:r>
      <w:r>
        <w:rPr>
          <w:rFonts w:hint="eastAsia"/>
          <w:sz w:val="28"/>
        </w:rPr>
        <w:t>“</w:t>
      </w:r>
      <w:r>
        <w:rPr>
          <w:rFonts w:hint="eastAsia"/>
          <w:sz w:val="28"/>
        </w:rPr>
        <w:t>绿网</w:t>
      </w:r>
      <w:r>
        <w:rPr>
          <w:rFonts w:hint="eastAsia"/>
          <w:sz w:val="28"/>
        </w:rPr>
        <w:t>”</w:t>
      </w:r>
      <w:r>
        <w:rPr>
          <w:rFonts w:hint="eastAsia"/>
          <w:sz w:val="28"/>
        </w:rPr>
        <w:t>。规划形成</w:t>
      </w:r>
      <w:r>
        <w:rPr>
          <w:rFonts w:hint="eastAsia"/>
          <w:sz w:val="28"/>
        </w:rPr>
        <w:t>“</w:t>
      </w:r>
      <w:r>
        <w:rPr>
          <w:rFonts w:hint="eastAsia"/>
          <w:sz w:val="28"/>
        </w:rPr>
        <w:t>一核、二轴、三带、四中心、四板块</w:t>
      </w:r>
      <w:r>
        <w:rPr>
          <w:rFonts w:hint="eastAsia"/>
          <w:sz w:val="28"/>
        </w:rPr>
        <w:t>”</w:t>
      </w:r>
      <w:r>
        <w:rPr>
          <w:rFonts w:hint="eastAsia"/>
          <w:sz w:val="28"/>
        </w:rPr>
        <w:t>的总体结构；</w:t>
      </w:r>
      <w:r>
        <w:rPr>
          <w:rFonts w:hint="eastAsia"/>
          <w:sz w:val="28"/>
        </w:rPr>
        <w:t>“</w:t>
      </w:r>
      <w:r>
        <w:rPr>
          <w:rFonts w:hint="eastAsia"/>
          <w:sz w:val="28"/>
        </w:rPr>
        <w:t>一核</w:t>
      </w:r>
      <w:r>
        <w:rPr>
          <w:rFonts w:hint="eastAsia"/>
          <w:sz w:val="28"/>
        </w:rPr>
        <w:t>”</w:t>
      </w:r>
      <w:r>
        <w:rPr>
          <w:rFonts w:hint="eastAsia"/>
          <w:sz w:val="28"/>
        </w:rPr>
        <w:t>指结合</w:t>
      </w:r>
      <w:r>
        <w:rPr>
          <w:rFonts w:hint="eastAsia"/>
          <w:sz w:val="28"/>
          <w:lang w:eastAsia="zh-CN"/>
        </w:rPr>
        <w:t>世纪广场</w:t>
      </w:r>
      <w:r>
        <w:rPr>
          <w:rFonts w:hint="eastAsia"/>
          <w:sz w:val="28"/>
        </w:rPr>
        <w:t>的中心</w:t>
      </w:r>
      <w:r>
        <w:rPr>
          <w:rFonts w:hint="eastAsia"/>
          <w:sz w:val="28"/>
          <w:lang w:eastAsia="zh-CN"/>
        </w:rPr>
        <w:t>商业</w:t>
      </w:r>
    </w:p>
    <w:p>
      <w:pPr>
        <w:numPr>
          <w:ilvl w:val="0"/>
          <w:numId w:val="0"/>
        </w:numPr>
        <w:tabs>
          <w:tab w:val="left" w:pos="1080"/>
          <w:tab w:val="left" w:pos="1440"/>
        </w:tabs>
        <w:spacing w:line="360" w:lineRule="auto"/>
        <w:ind w:left="0" w:hanging="1440" w:firstLineChars="0"/>
        <w:outlineLvl w:val="0"/>
        <w:rPr>
          <w:rFonts w:hint="eastAsia"/>
        </w:rPr>
      </w:pPr>
      <w:r>
        <w:rPr>
          <w:rFonts w:hint="eastAsia"/>
          <w:sz w:val="28"/>
        </w:rPr>
        <w:t>核心区；</w:t>
      </w:r>
      <w:r>
        <w:rPr>
          <w:rFonts w:hint="eastAsia"/>
          <w:sz w:val="28"/>
        </w:rPr>
        <w:t>“</w:t>
      </w:r>
      <w:r>
        <w:rPr>
          <w:rFonts w:hint="eastAsia"/>
          <w:sz w:val="28"/>
        </w:rPr>
        <w:t>二轴</w:t>
      </w:r>
      <w:r>
        <w:rPr>
          <w:rFonts w:hint="eastAsia"/>
          <w:sz w:val="28"/>
        </w:rPr>
        <w:t>”</w:t>
      </w:r>
      <w:r>
        <w:rPr>
          <w:rFonts w:hint="eastAsia"/>
          <w:sz w:val="28"/>
        </w:rPr>
        <w:t>指</w:t>
      </w:r>
      <w:r>
        <w:rPr>
          <w:rFonts w:hint="eastAsia"/>
          <w:sz w:val="28"/>
          <w:lang w:eastAsia="zh-CN"/>
        </w:rPr>
        <w:t>前进路</w:t>
      </w:r>
      <w:r>
        <w:rPr>
          <w:rFonts w:hint="eastAsia"/>
          <w:sz w:val="28"/>
        </w:rPr>
        <w:t>和</w:t>
      </w:r>
      <w:r>
        <w:rPr>
          <w:rFonts w:hint="eastAsia"/>
          <w:sz w:val="28"/>
          <w:lang w:eastAsia="zh-CN"/>
        </w:rPr>
        <w:t>新兴路</w:t>
      </w:r>
      <w:r>
        <w:rPr>
          <w:rFonts w:hint="eastAsia"/>
          <w:sz w:val="28"/>
        </w:rPr>
        <w:t>城市开展轴；</w:t>
      </w:r>
      <w:r>
        <w:rPr>
          <w:rFonts w:hint="eastAsia"/>
          <w:sz w:val="28"/>
        </w:rPr>
        <w:t>“</w:t>
      </w:r>
      <w:r>
        <w:rPr>
          <w:rFonts w:hint="eastAsia"/>
          <w:sz w:val="28"/>
        </w:rPr>
        <w:t>三带</w:t>
      </w:r>
      <w:r>
        <w:rPr>
          <w:rFonts w:hint="eastAsia"/>
          <w:sz w:val="28"/>
        </w:rPr>
        <w:t>”</w:t>
      </w:r>
      <w:r>
        <w:rPr>
          <w:rFonts w:hint="eastAsia"/>
          <w:sz w:val="28"/>
        </w:rPr>
        <w:t>指</w:t>
      </w:r>
      <w:r>
        <w:rPr>
          <w:rFonts w:hint="eastAsia"/>
          <w:sz w:val="28"/>
          <w:lang w:eastAsia="zh-CN"/>
        </w:rPr>
        <w:t>商业</w:t>
      </w:r>
      <w:r>
        <w:rPr>
          <w:rFonts w:hint="eastAsia"/>
          <w:sz w:val="28"/>
        </w:rPr>
        <w:t>、</w:t>
      </w:r>
      <w:r>
        <w:rPr>
          <w:rFonts w:hint="eastAsia"/>
          <w:sz w:val="28"/>
          <w:lang w:eastAsia="zh-CN"/>
        </w:rPr>
        <w:t>行政</w:t>
      </w:r>
      <w:r>
        <w:rPr>
          <w:rFonts w:hint="eastAsia"/>
          <w:sz w:val="28"/>
        </w:rPr>
        <w:t>、铁路景观防护带；</w:t>
      </w:r>
      <w:r>
        <w:rPr>
          <w:rFonts w:hint="eastAsia"/>
          <w:sz w:val="28"/>
        </w:rPr>
        <w:t>“</w:t>
      </w:r>
      <w:r>
        <w:rPr>
          <w:rFonts w:hint="eastAsia"/>
          <w:sz w:val="28"/>
        </w:rPr>
        <w:t>四中心</w:t>
      </w:r>
      <w:r>
        <w:rPr>
          <w:rFonts w:hint="eastAsia"/>
          <w:sz w:val="28"/>
        </w:rPr>
        <w:t>”</w:t>
      </w:r>
      <w:r>
        <w:rPr>
          <w:rFonts w:hint="eastAsia"/>
          <w:sz w:val="28"/>
        </w:rPr>
        <w:t>指沿</w:t>
      </w:r>
      <w:r>
        <w:rPr>
          <w:rFonts w:hint="eastAsia"/>
          <w:sz w:val="28"/>
          <w:lang w:eastAsia="zh-CN"/>
        </w:rPr>
        <w:t>前进路</w:t>
      </w:r>
      <w:r>
        <w:rPr>
          <w:rFonts w:hint="eastAsia"/>
          <w:sz w:val="28"/>
        </w:rPr>
        <w:t>、</w:t>
      </w:r>
      <w:r>
        <w:rPr>
          <w:rFonts w:hint="eastAsia"/>
          <w:sz w:val="28"/>
          <w:lang w:eastAsia="zh-CN"/>
        </w:rPr>
        <w:t>新兴路</w:t>
      </w:r>
      <w:r>
        <w:rPr>
          <w:rFonts w:hint="eastAsia"/>
          <w:sz w:val="28"/>
        </w:rPr>
        <w:t>四大效劳中心；</w:t>
      </w:r>
      <w:r>
        <w:rPr>
          <w:rFonts w:hint="eastAsia"/>
          <w:sz w:val="28"/>
        </w:rPr>
        <w:t>“</w:t>
      </w:r>
      <w:r>
        <w:rPr>
          <w:rFonts w:hint="eastAsia"/>
          <w:sz w:val="28"/>
        </w:rPr>
        <w:t>四板块</w:t>
      </w:r>
      <w:r>
        <w:rPr>
          <w:rFonts w:hint="eastAsia"/>
          <w:sz w:val="28"/>
        </w:rPr>
        <w:t>”</w:t>
      </w:r>
      <w:r>
        <w:rPr>
          <w:rFonts w:hint="eastAsia"/>
          <w:sz w:val="28"/>
        </w:rPr>
        <w:t>指均布于用地的四大功能板块。</w:t>
      </w:r>
    </w:p>
    <w:p>
      <w:pPr>
        <w:spacing w:line="360" w:lineRule="auto"/>
        <w:ind w:firstLine="0" w:firstLineChars="0"/>
        <w:outlineLvl w:val="0"/>
        <w:rPr>
          <w:rFonts w:hint="eastAsia"/>
          <w:sz w:val="28"/>
        </w:rPr>
      </w:pPr>
    </w:p>
    <w:p>
      <w:pPr>
        <w:spacing w:line="360" w:lineRule="auto"/>
        <w:ind w:firstLine="0" w:firstLineChars="0"/>
        <w:outlineLvl w:val="0"/>
        <w:rPr>
          <w:rFonts w:hint="eastAsia"/>
        </w:rPr>
      </w:pPr>
      <w:r>
        <w:rPr>
          <w:rFonts w:hint="eastAsia"/>
        </w:rPr>
        <w:t xml:space="preserve">  </w:t>
      </w:r>
      <w:bookmarkStart w:id="10" w:name="_Toc94589640"/>
    </w:p>
    <w:p>
      <w:pPr>
        <w:pStyle w:val="Heading1"/>
        <w:tabs>
          <w:tab w:val="left" w:pos="432"/>
        </w:tabs>
        <w:rPr>
          <w:rFonts w:hint="eastAsia"/>
        </w:rPr>
      </w:pPr>
      <w:r>
        <w:rPr>
          <w:rFonts w:hint="eastAsia"/>
        </w:rPr>
        <w:t>第三章 土地使用</w:t>
      </w:r>
      <w:bookmarkEnd w:id="8"/>
      <w:bookmarkEnd w:id="9"/>
      <w:r>
        <w:rPr>
          <w:rFonts w:hint="eastAsia"/>
        </w:rPr>
        <w:t>性质分类及控制</w:t>
      </w:r>
      <w:bookmarkEnd w:id="10"/>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用地分类：本次规划土地使用性质分类以国标</w:t>
      </w:r>
      <w:r>
        <w:rPr>
          <w:sz w:val="28"/>
        </w:rPr>
        <w:t>《</w:t>
      </w:r>
      <w:r>
        <w:rPr>
          <w:rFonts w:hint="eastAsia"/>
          <w:sz w:val="28"/>
        </w:rPr>
        <w:t>城市用地分类与规划建设用地标准</w:t>
      </w:r>
      <w:r>
        <w:rPr>
          <w:sz w:val="28"/>
        </w:rPr>
        <w:t>》</w:t>
      </w:r>
      <w:r>
        <w:rPr>
          <w:rFonts w:hint="eastAsia"/>
          <w:sz w:val="28"/>
        </w:rPr>
        <w:t>〔GBJ137-90〕为根底，提出适用于本规划特点的分类标准。绿地、市政设施及局部公共设施分至小类。</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区内各地块的开发建设，必须符合本规划所规定的用地性质，因特殊原因，确需变更规划用地性质时，应经规划主管部门许可，并服从规划主管部门规定的附加条件。用地性质的变更，原那么上只能在《城市用地分类及城市规划建设用地标准》所规定的小类或中类范畴里进行。</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规划同时允许在开发过程中，在用地中兼容建设一些其他性质的工程，规划区内的用地兼容应符合附表一规定。</w:t>
      </w:r>
    </w:p>
    <w:p>
      <w:pPr>
        <w:tabs>
          <w:tab w:val="left" w:pos="1440"/>
        </w:tabs>
        <w:spacing w:line="360" w:lineRule="auto"/>
        <w:ind w:firstLine="0" w:firstLineChars="0"/>
        <w:outlineLvl w:val="0"/>
        <w:rPr>
          <w:rFonts w:hint="eastAsia"/>
          <w:sz w:val="28"/>
        </w:rPr>
      </w:pPr>
    </w:p>
    <w:p>
      <w:pPr>
        <w:pStyle w:val="27813"/>
        <w:tabs>
          <w:tab w:val="left" w:pos="720"/>
          <w:tab w:val="left" w:pos="900"/>
        </w:tabs>
        <w:rPr>
          <w:rFonts w:hint="eastAsia"/>
        </w:rPr>
      </w:pPr>
      <w:r>
        <w:rPr>
          <w:rFonts w:hint="eastAsia"/>
        </w:rPr>
        <w:t>第一节 居住用地规划及控制</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规划居住用</w:t>
      </w:r>
      <w:r>
        <w:rPr>
          <w:rFonts w:hint="eastAsia"/>
          <w:sz w:val="28"/>
          <w:lang w:val="en-US" w:eastAsia="zh-CN"/>
        </w:rPr>
        <w:t>105.33</w:t>
      </w:r>
      <w:r>
        <w:rPr>
          <w:rFonts w:hint="eastAsia"/>
          <w:sz w:val="28"/>
        </w:rPr>
        <w:t>公顷，占总用地的</w:t>
      </w:r>
      <w:r>
        <w:rPr>
          <w:rFonts w:hint="eastAsia"/>
          <w:sz w:val="28"/>
          <w:lang w:val="en-US" w:eastAsia="zh-CN"/>
        </w:rPr>
        <w:t>47.51</w:t>
      </w:r>
      <w:r>
        <w:rPr>
          <w:rFonts w:hint="eastAsia"/>
          <w:sz w:val="28"/>
        </w:rPr>
        <w:t>%，人均居住用地面积为47.98平方米，居住总人口为3.81万人。</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采用</w:t>
      </w:r>
      <w:r>
        <w:rPr>
          <w:rFonts w:hint="eastAsia"/>
          <w:sz w:val="28"/>
        </w:rPr>
        <w:t>“</w:t>
      </w:r>
      <w:r>
        <w:rPr>
          <w:rFonts w:hint="eastAsia"/>
          <w:sz w:val="28"/>
        </w:rPr>
        <w:t>居住区</w:t>
      </w:r>
      <w:r>
        <w:rPr>
          <w:rFonts w:hint="eastAsia"/>
          <w:sz w:val="28"/>
        </w:rPr>
        <w:t>——</w:t>
      </w:r>
      <w:r>
        <w:rPr>
          <w:rFonts w:hint="eastAsia"/>
          <w:sz w:val="28"/>
        </w:rPr>
        <w:t>组团</w:t>
      </w:r>
      <w:r>
        <w:rPr>
          <w:rFonts w:hint="eastAsia"/>
          <w:sz w:val="28"/>
        </w:rPr>
        <w:t>”</w:t>
      </w:r>
      <w:r>
        <w:rPr>
          <w:rFonts w:hint="eastAsia"/>
          <w:sz w:val="28"/>
        </w:rPr>
        <w:t>式的布局结构，由城市主、次干道将地块分为根本均等〔7-10公顷左右〕的十八个居住组团。规划通过居住组团内部道路和绿化带对组团进行用地划分，细分地块视为最小出让地块，当出让地块大于细分地块时可以采取适当合并，但应保证组团的整体结构。如居住组团统一开发，其内部的组团绿地的形式、位置可作适当调整，但应与整体的绿化系统保持良好的联系。</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规划设置中学</w:t>
      </w:r>
      <w:r>
        <w:rPr>
          <w:rFonts w:hint="eastAsia"/>
          <w:sz w:val="28"/>
          <w:lang w:eastAsia="zh-CN"/>
        </w:rPr>
        <w:t>二</w:t>
      </w:r>
      <w:r>
        <w:rPr>
          <w:rFonts w:hint="eastAsia"/>
          <w:sz w:val="28"/>
        </w:rPr>
        <w:t>所，在</w:t>
      </w:r>
      <w:r>
        <w:rPr>
          <w:rFonts w:hint="eastAsia"/>
          <w:sz w:val="28"/>
          <w:lang w:eastAsia="zh-CN"/>
        </w:rPr>
        <w:t>在片区</w:t>
      </w:r>
      <w:r>
        <w:rPr>
          <w:rFonts w:hint="eastAsia"/>
          <w:sz w:val="28"/>
        </w:rPr>
        <w:t>内并结合城市次干道设置出入口。规划设置小学</w:t>
      </w:r>
      <w:r>
        <w:rPr>
          <w:rFonts w:hint="eastAsia"/>
          <w:sz w:val="28"/>
          <w:lang w:eastAsia="zh-CN"/>
        </w:rPr>
        <w:t>三</w:t>
      </w:r>
      <w:r>
        <w:rPr>
          <w:rFonts w:hint="eastAsia"/>
          <w:sz w:val="28"/>
        </w:rPr>
        <w:t>所，在</w:t>
      </w:r>
      <w:r>
        <w:rPr>
          <w:rFonts w:hint="eastAsia"/>
          <w:sz w:val="28"/>
          <w:lang w:eastAsia="zh-CN"/>
        </w:rPr>
        <w:t>片区</w:t>
      </w:r>
      <w:r>
        <w:rPr>
          <w:rFonts w:hint="eastAsia"/>
          <w:sz w:val="28"/>
        </w:rPr>
        <w:t>内并结合城市次干道设置出入口。规划幼儿园</w:t>
      </w:r>
      <w:r>
        <w:rPr>
          <w:rFonts w:hint="eastAsia"/>
          <w:sz w:val="28"/>
          <w:lang w:eastAsia="zh-CN"/>
        </w:rPr>
        <w:t>二十</w:t>
      </w:r>
      <w:r>
        <w:rPr>
          <w:rFonts w:hint="eastAsia"/>
          <w:sz w:val="28"/>
        </w:rPr>
        <w:t>所，均布于居住用地之中。其它配套公共效劳设施可结合沿城市主次干道的公建和住宅设置。</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各街坊、地块、基地内的配套设施的工程、数量、用地、建筑面积和位置应符合分图图册的规定。配套效劳设施工程中，居委会、小型商业效劳设施、公厕的布置可根据具体情况，在街坊内进行调整。上述工程是规划确定的最低标准，在规划建设改造过程中，可酌情调整或增加。</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在进行较大范围的成片开发时，地块内配套公用设施的位置经规划主管部门批准后，可根据修建性详细规划作适当调整，但其工程、数量、用地或建筑面积均不得少于规划分图图册中的规定。</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本规划未涉及的其它配套公用设施参照黑龙江省和伊春市有关规定执行。</w:t>
      </w:r>
    </w:p>
    <w:p>
      <w:pPr>
        <w:tabs>
          <w:tab w:val="left" w:pos="1440"/>
        </w:tabs>
        <w:spacing w:line="360" w:lineRule="auto"/>
        <w:ind w:firstLine="0" w:firstLineChars="0"/>
        <w:outlineLvl w:val="0"/>
        <w:rPr>
          <w:rFonts w:hint="eastAsia"/>
          <w:sz w:val="28"/>
        </w:rPr>
      </w:pPr>
    </w:p>
    <w:p>
      <w:pPr>
        <w:pStyle w:val="27813"/>
        <w:tabs>
          <w:tab w:val="left" w:pos="720"/>
          <w:tab w:val="left" w:pos="900"/>
        </w:tabs>
        <w:rPr>
          <w:rFonts w:hint="eastAsia"/>
        </w:rPr>
      </w:pPr>
      <w:bookmarkStart w:id="11" w:name="_Toc59103157"/>
      <w:bookmarkStart w:id="12" w:name="_Toc59103156"/>
      <w:r>
        <w:rPr>
          <w:rFonts w:hint="eastAsia"/>
        </w:rPr>
        <w:t xml:space="preserve">第二节 </w:t>
      </w:r>
      <w:bookmarkEnd w:id="11"/>
      <w:r>
        <w:rPr>
          <w:rFonts w:hint="eastAsia"/>
        </w:rPr>
        <w:t>公共设施用地规划及控制</w:t>
      </w:r>
    </w:p>
    <w:p>
      <w:pPr>
        <w:numPr>
          <w:ilvl w:val="0"/>
          <w:numId w:val="8"/>
        </w:numPr>
        <w:tabs>
          <w:tab w:val="left" w:pos="1080"/>
          <w:tab w:val="left" w:pos="1440"/>
        </w:tabs>
        <w:spacing w:line="360" w:lineRule="auto"/>
        <w:ind w:left="1440" w:hanging="1440" w:firstLineChars="0"/>
        <w:outlineLvl w:val="0"/>
        <w:rPr>
          <w:rFonts w:hint="eastAsia"/>
          <w:sz w:val="28"/>
        </w:rPr>
        <w:sectPr>
          <w:type w:val="nextPage"/>
          <w:pgSz w:w="23814" w:h="16840" w:orient="landscape"/>
          <w:pgMar w:top="1162" w:right="1270" w:bottom="1162" w:left="1230" w:header="851" w:footer="992" w:gutter="0"/>
          <w:pgNumType w:start="8"/>
          <w:cols w:num="2" w:space="1200" w:equalWidth="1"/>
          <w:titlePg w:val="0"/>
          <w:docGrid w:type="lines" w:linePitch="312"/>
        </w:sectPr>
      </w:pPr>
      <w:r>
        <w:rPr>
          <w:rFonts w:hint="eastAsia"/>
          <w:sz w:val="28"/>
        </w:rPr>
        <w:t>规划将公共设施用地主要沿中部核心绿带布置，规划公共设施用地共</w:t>
      </w:r>
      <w:r>
        <w:rPr>
          <w:rFonts w:hint="eastAsia"/>
          <w:sz w:val="28"/>
          <w:lang w:val="en-US" w:eastAsia="zh-CN"/>
        </w:rPr>
        <w:t>9</w:t>
      </w:r>
      <w:r>
        <w:rPr>
          <w:rFonts w:hint="eastAsia"/>
          <w:sz w:val="28"/>
        </w:rPr>
        <w:t>.37公顷，占总用地的17.70%，人均用地面积为20.04平方米。</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规划商业金融用地共</w:t>
      </w:r>
      <w:r>
        <w:rPr>
          <w:rFonts w:hint="eastAsia"/>
          <w:sz w:val="28"/>
          <w:lang w:val="en-US" w:eastAsia="zh-CN"/>
        </w:rPr>
        <w:t>20.68</w:t>
      </w:r>
      <w:r>
        <w:rPr>
          <w:rFonts w:hint="eastAsia"/>
          <w:sz w:val="28"/>
        </w:rPr>
        <w:t>公顷，中部绿轴规划为核心商业金融用地；东、 西两片规划为商业金融用地，鼓励与居住用地的适当融合。</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文化娱乐用地共4.66公顷，主要沿日月峡大街中心公园和教育科研区公园附近设置，分为东西两片。东片文化娱乐用地结合教育科研区展览公园的开发形成地区的科研教育展览研发中心；西片文化娱乐用地结合商业中心的商业效劳功能，形成区域文化活动中心。</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规划科研设计用地共57.16公顷，位于</w:t>
      </w:r>
      <w:r>
        <w:rPr>
          <w:rFonts w:hint="eastAsia"/>
          <w:sz w:val="28"/>
          <w:lang w:eastAsia="zh-CN"/>
        </w:rPr>
        <w:t>新兴路南</w:t>
      </w:r>
      <w:r>
        <w:rPr>
          <w:rFonts w:hint="eastAsia"/>
          <w:sz w:val="28"/>
        </w:rPr>
        <w:t>侧，结合其附近公园</w:t>
      </w:r>
      <w:r>
        <w:rPr>
          <w:rFonts w:hint="eastAsia"/>
          <w:sz w:val="28"/>
          <w:lang w:eastAsia="zh-CN"/>
        </w:rPr>
        <w:t>，中学</w:t>
      </w:r>
      <w:r>
        <w:rPr>
          <w:rFonts w:hint="eastAsia"/>
          <w:sz w:val="28"/>
        </w:rPr>
        <w:t>，形成科研教育区核心研究、展示、会议中心。</w:t>
      </w:r>
    </w:p>
    <w:p>
      <w:pPr>
        <w:tabs>
          <w:tab w:val="left" w:pos="1440"/>
        </w:tabs>
        <w:spacing w:line="360" w:lineRule="auto"/>
        <w:ind w:firstLine="0" w:firstLineChars="0"/>
        <w:outlineLvl w:val="0"/>
        <w:rPr>
          <w:rFonts w:hint="eastAsia"/>
          <w:sz w:val="28"/>
        </w:rPr>
      </w:pPr>
    </w:p>
    <w:p>
      <w:pPr>
        <w:pStyle w:val="27813"/>
        <w:tabs>
          <w:tab w:val="left" w:pos="720"/>
          <w:tab w:val="left" w:pos="900"/>
        </w:tabs>
        <w:rPr>
          <w:rFonts w:hint="eastAsia"/>
        </w:rPr>
      </w:pPr>
      <w:r>
        <w:t xml:space="preserve">  </w:t>
      </w:r>
      <w:bookmarkStart w:id="13" w:name="_Toc59103158"/>
      <w:r>
        <w:rPr>
          <w:rFonts w:hint="eastAsia"/>
        </w:rPr>
        <w:t>第三节 绿地控制</w:t>
      </w:r>
      <w:bookmarkEnd w:id="13"/>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绿地规划结构：规划将基地外围的</w:t>
      </w:r>
      <w:r>
        <w:rPr>
          <w:rFonts w:hint="eastAsia"/>
          <w:sz w:val="28"/>
          <w:lang w:eastAsia="zh-CN"/>
        </w:rPr>
        <w:t>森林公园</w:t>
      </w:r>
      <w:r>
        <w:rPr>
          <w:rFonts w:hint="eastAsia"/>
          <w:sz w:val="28"/>
        </w:rPr>
        <w:t>、</w:t>
      </w:r>
      <w:r>
        <w:rPr>
          <w:rFonts w:hint="eastAsia"/>
          <w:sz w:val="28"/>
          <w:lang w:eastAsia="zh-CN"/>
        </w:rPr>
        <w:t>林区</w:t>
      </w:r>
      <w:r>
        <w:rPr>
          <w:rFonts w:hint="eastAsia"/>
          <w:sz w:val="28"/>
        </w:rPr>
        <w:t xml:space="preserve">生态走廊、防护林带3条景观防护绿化带，以及中心公园和教育科研区绿化公园2个公园，通过沿主要道路的街头绿地连接起来，形成网络状的绿地系统。 </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规划绿地总面积为</w:t>
      </w:r>
      <w:r>
        <w:rPr>
          <w:rFonts w:hint="eastAsia"/>
          <w:sz w:val="28"/>
          <w:lang w:val="en-US" w:eastAsia="zh-CN"/>
        </w:rPr>
        <w:t>4.</w:t>
      </w:r>
      <w:r>
        <w:rPr>
          <w:rFonts w:hint="eastAsia"/>
          <w:sz w:val="28"/>
        </w:rPr>
        <w:t>40公顷，占城市建设用地的</w:t>
      </w:r>
      <w:r>
        <w:rPr>
          <w:rFonts w:hint="eastAsia"/>
          <w:sz w:val="28"/>
          <w:lang w:val="en-US" w:eastAsia="zh-CN"/>
        </w:rPr>
        <w:t>38</w:t>
      </w:r>
      <w:r>
        <w:rPr>
          <w:rFonts w:hint="eastAsia"/>
          <w:sz w:val="28"/>
        </w:rPr>
        <w:t>.64%，人均用地面积为33.18平方米。</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规划沿区域内铁道设置30米左右绿化隔离带；沿</w:t>
      </w:r>
      <w:r>
        <w:rPr>
          <w:rFonts w:hint="eastAsia"/>
          <w:sz w:val="28"/>
          <w:lang w:eastAsia="zh-CN"/>
        </w:rPr>
        <w:t>苗圃街</w:t>
      </w:r>
      <w:r>
        <w:rPr>
          <w:rFonts w:hint="eastAsia"/>
          <w:sz w:val="28"/>
        </w:rPr>
        <w:t>、</w:t>
      </w:r>
      <w:r>
        <w:rPr>
          <w:rFonts w:hint="eastAsia"/>
          <w:sz w:val="28"/>
          <w:lang w:eastAsia="zh-CN"/>
        </w:rPr>
        <w:t>交通街</w:t>
      </w:r>
      <w:r>
        <w:rPr>
          <w:rFonts w:hint="eastAsia"/>
          <w:sz w:val="28"/>
        </w:rPr>
        <w:t>和</w:t>
      </w:r>
      <w:r>
        <w:rPr>
          <w:rFonts w:hint="eastAsia"/>
          <w:sz w:val="28"/>
          <w:lang w:eastAsia="zh-CN"/>
        </w:rPr>
        <w:t>铁西街</w:t>
      </w:r>
      <w:r>
        <w:rPr>
          <w:rFonts w:hint="eastAsia"/>
          <w:sz w:val="28"/>
        </w:rPr>
        <w:t>两侧各设置10米绿化带。</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图那么所示的城市公共绿地在城市开发建设时不得侵占。各地块必须满足分图图册所规定的绿地率指标，同时还应尽可能增加绿化面积，并充分利用各种有利条件，增加垂直绿化和屋顶绿化，增强绿化效果。区内所有道路应按规划的道路断面配置行道树和绿化隔离设施。组团级绿地在保持结构不变的情况下，可做适当调整。</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pStyle w:val="Heading1"/>
        <w:tabs>
          <w:tab w:val="left" w:pos="432"/>
        </w:tabs>
        <w:rPr>
          <w:rFonts w:hint="eastAsia"/>
        </w:rPr>
      </w:pPr>
      <w:bookmarkStart w:id="14" w:name="_Toc59415871"/>
      <w:bookmarkStart w:id="15" w:name="_Toc94589644"/>
      <w:r>
        <w:rPr>
          <w:rFonts w:hint="eastAsia"/>
        </w:rPr>
        <w:t xml:space="preserve">  第四章 土地使用强度控制</w:t>
      </w:r>
      <w:bookmarkEnd w:id="14"/>
      <w:bookmarkEnd w:id="15"/>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确定的容积率和建筑密度均为上限值，在实施过程中，地块的开发不得高于其中任何一个的上限。在同一性质、相邻地块统一开发时，其容积率和建筑密度可相互转移，但不得高于总的容积率和总的建筑密度。当建筑提供局部室外或室内的公共空间，那么其总建筑面积可提高，标准可按公共空间用地总面积的50%，建筑面积的100%进行补偿。</w:t>
      </w:r>
    </w:p>
    <w:p>
      <w:pPr>
        <w:numPr>
          <w:ilvl w:val="0"/>
          <w:numId w:val="8"/>
        </w:numPr>
        <w:tabs>
          <w:tab w:val="left" w:pos="1080"/>
          <w:tab w:val="left" w:pos="1440"/>
        </w:tabs>
        <w:spacing w:line="360" w:lineRule="auto"/>
        <w:ind w:left="1440" w:hanging="1440" w:firstLineChars="0"/>
        <w:outlineLvl w:val="0"/>
        <w:rPr>
          <w:rFonts w:hint="eastAsia"/>
          <w:sz w:val="28"/>
        </w:rPr>
        <w:sectPr>
          <w:type w:val="nextPage"/>
          <w:pgSz w:w="23814" w:h="16840" w:orient="landscape"/>
          <w:pgMar w:top="1162" w:right="1270" w:bottom="1162" w:left="1230" w:header="851" w:footer="992" w:gutter="0"/>
          <w:pgNumType w:start="9"/>
          <w:cols w:num="2" w:space="1200" w:equalWidth="1"/>
          <w:titlePg w:val="0"/>
          <w:docGrid w:type="lines" w:linePitch="312"/>
        </w:sectPr>
      </w:pPr>
    </w:p>
    <w:p>
      <w:pPr>
        <w:numPr>
          <w:ilvl w:val="0"/>
          <w:numId w:val="0"/>
        </w:numPr>
        <w:tabs>
          <w:tab w:val="left" w:pos="1080"/>
          <w:tab w:val="left" w:pos="1440"/>
        </w:tabs>
        <w:spacing w:line="360" w:lineRule="auto"/>
        <w:ind w:left="0" w:hanging="1440" w:firstLineChars="0"/>
        <w:outlineLvl w:val="0"/>
        <w:rPr>
          <w:rFonts w:hint="eastAsia"/>
          <w:sz w:val="28"/>
        </w:rPr>
      </w:pPr>
      <w:r>
        <w:rPr>
          <w:rFonts w:hint="eastAsia"/>
          <w:sz w:val="28"/>
        </w:rPr>
        <w:t>住宅用地：规划区内住宅〔D06-02〕和南部原有林地周边地段住宅〔A04-05〕以低层为主，以形成环境良好的高品质住宅区为目标，容积率控制不大于0.4，建筑密度不大于30%，绿地率不小于40%；规划区内东部临中心公园地段住宅〔B06-03、B08-03、B09-02〕、核心区地段住宅〔A02-05、A03-03〕、北部商住混合地块〔B01-02、B02-04、D01-01〕和西部滨河地段住宅〔D02-02、D02-04、D02-05、D03-01、D04-02、D05-02〕以多层为主，容积率控制不大于1.0，建筑密度不大于30%，绿地率不小于35%；规划区内东部地段住宅〔B03-05、B04-02、B05-02、〕以多层为主，容积率控制不大于1.2，建筑密度不大于30%，绿地率不小于35%；沿线地段商住混合住宅〔B03-04、B04-03、B05-01、B06-04、B06-06、B08-04、B09-01〕和用地东北部住宅〔B03-05、B04-02、B05-02〕以多层结合小高层为主，容积率控制不大于1.4，建筑密度不大于35%，绿地率不小于30%；东北部地段住宅〔B03-02〕容积率控制不大于2.0，建筑密度不大于30%，绿地率不小于35%；容积率控制不大于2.5，建筑密度不大于30%，绿地率不小于35%。</w:t>
      </w:r>
    </w:p>
    <w:p>
      <w:pPr>
        <w:numPr>
          <w:ilvl w:val="0"/>
          <w:numId w:val="12"/>
        </w:numPr>
        <w:tabs>
          <w:tab w:val="left" w:pos="1080"/>
          <w:tab w:val="left" w:pos="1440"/>
        </w:tabs>
        <w:spacing w:line="360" w:lineRule="auto"/>
        <w:ind w:left="1440" w:hanging="1440" w:firstLineChars="0"/>
        <w:outlineLvl w:val="0"/>
        <w:rPr>
          <w:rFonts w:hint="eastAsia"/>
          <w:sz w:val="28"/>
        </w:rPr>
      </w:pPr>
      <w:r>
        <w:rPr>
          <w:rFonts w:hint="eastAsia"/>
          <w:sz w:val="28"/>
        </w:rPr>
        <w:t>居住配套公共效劳设施：中学教育配套设施容积率控制不大于0.8，建筑密度不大于30%，绿地率不小于25%；小学及托幼设施容积率控制不大于0.8，建筑密度不大于30%，绿地率不小于30%。</w:t>
      </w:r>
    </w:p>
    <w:p>
      <w:pPr>
        <w:numPr>
          <w:ilvl w:val="0"/>
          <w:numId w:val="12"/>
        </w:numPr>
        <w:tabs>
          <w:tab w:val="left" w:pos="1080"/>
          <w:tab w:val="left" w:pos="1440"/>
        </w:tabs>
        <w:spacing w:line="360" w:lineRule="auto"/>
        <w:ind w:left="1440" w:hanging="1440" w:firstLineChars="0"/>
        <w:outlineLvl w:val="0"/>
        <w:rPr>
          <w:rFonts w:hint="eastAsia"/>
          <w:sz w:val="28"/>
        </w:rPr>
      </w:pPr>
      <w:r>
        <w:rPr>
          <w:rFonts w:hint="eastAsia"/>
          <w:sz w:val="28"/>
        </w:rPr>
        <w:t>商业金融效劳设施：日月峡大街与仙翁山大街交叉口西南部地块〔D04-03〕考虑承当未来区域商业中心职能，控制土地使用强度，容积率控制不大于2.5，建筑密度不大于30%，绿地率不小于30%；中部地块〔A01-04、A02-04、A03-04、B09-05〕考虑承当区域商业中心职能，控制土地使用强度，容积率控制不大于1.4，建筑密度不大于30%，绿地率不小于35%；东部地块〔B03-02、B03-06〕考虑承当区域商业效劳门户职能，控制土地使用强度，容积率控制不大于2.0，建筑密度不大于30%，绿地率不小于30%；其他沿街商业设施用地土地使用性质为商住混合用地，容积率控制不大于1.4，建筑密度不大于35%，绿地率不小于30%。</w:t>
      </w:r>
    </w:p>
    <w:p>
      <w:pPr>
        <w:numPr>
          <w:ilvl w:val="0"/>
          <w:numId w:val="12"/>
        </w:numPr>
        <w:tabs>
          <w:tab w:val="left" w:pos="1080"/>
          <w:tab w:val="left" w:pos="1440"/>
        </w:tabs>
        <w:spacing w:line="360" w:lineRule="auto"/>
        <w:ind w:left="1440" w:hanging="1440" w:firstLineChars="0"/>
        <w:outlineLvl w:val="0"/>
        <w:rPr>
          <w:rFonts w:hint="eastAsia"/>
          <w:sz w:val="28"/>
        </w:rPr>
      </w:pPr>
      <w:r>
        <w:rPr>
          <w:rFonts w:hint="eastAsia"/>
          <w:sz w:val="28"/>
        </w:rPr>
        <w:t>文化娱乐配套设施：中部地块〔A01-06、A04-02〕考虑承当区域文化娱乐中心职能，布置相应的文化娱乐用地，控制土地使用强度，容积率控制不大于1.0，建筑密度不大于30%，绿地率不小于35%；东部地块〔C02-05〕考虑承当区域会议、展览功能，容积率控制不大于2.0，建筑密度不大于30%，绿地率不小于30%。</w:t>
      </w:r>
    </w:p>
    <w:p>
      <w:pPr>
        <w:numPr>
          <w:ilvl w:val="0"/>
          <w:numId w:val="12"/>
        </w:numPr>
        <w:tabs>
          <w:tab w:val="left" w:pos="1080"/>
          <w:tab w:val="left" w:pos="1440"/>
        </w:tabs>
        <w:spacing w:line="360" w:lineRule="auto"/>
        <w:ind w:left="1440" w:hanging="1440" w:firstLineChars="0"/>
        <w:outlineLvl w:val="0"/>
        <w:rPr>
          <w:rFonts w:hint="eastAsia"/>
          <w:sz w:val="28"/>
        </w:rPr>
      </w:pPr>
      <w:r>
        <w:rPr>
          <w:rFonts w:hint="eastAsia"/>
          <w:sz w:val="28"/>
        </w:rPr>
        <w:t>科研设计配套设施：科研设计设施位于规划区东南部，其中临近中心公园地块〔C02-04〕，容积率控制不大于2.0，建筑密度不大于30%，绿地率不小于30%；其他科研设计用地，容积率控制不大于0.6，建筑密度不大于30%，绿地率不小于35%。</w:t>
      </w:r>
    </w:p>
    <w:p>
      <w:pPr>
        <w:numPr>
          <w:ilvl w:val="0"/>
          <w:numId w:val="12"/>
        </w:numPr>
        <w:tabs>
          <w:tab w:val="left" w:pos="1080"/>
          <w:tab w:val="left" w:pos="1440"/>
        </w:tabs>
        <w:spacing w:line="360" w:lineRule="auto"/>
        <w:ind w:left="1440" w:hanging="1440" w:firstLineChars="0"/>
        <w:outlineLvl w:val="0"/>
        <w:rPr>
          <w:rFonts w:hint="eastAsia"/>
          <w:sz w:val="28"/>
        </w:rPr>
      </w:pPr>
      <w:r>
        <w:rPr>
          <w:rFonts w:hint="eastAsia"/>
          <w:sz w:val="28"/>
        </w:rPr>
        <w:t>建筑物之间因公共交通需要，架设穿越城市道路的空中人行廊道的，应报城市规划管理部门和公安交通管理部门批准，并符合以下规定：廊道的净宽度不大于6米，廊道的下净空高度不小于5.5米〔穿越宽度小于16米且不通行公交车辆的城市支路的廊道下净空高度可不小于4.6米〕；廊道内不得设置商业设施。凡符合上述规定的廊道，其建筑面积可不计入建筑容量控制指标范围。</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sectPr>
          <w:type w:val="nextPage"/>
          <w:pgSz w:w="23814" w:h="16840" w:orient="landscape"/>
          <w:pgMar w:top="1162" w:right="1270" w:bottom="1162" w:left="1230" w:header="851" w:footer="992" w:gutter="0"/>
          <w:pgNumType w:start="10"/>
          <w:cols w:num="2" w:space="1200" w:equalWidth="1"/>
          <w:titlePg w:val="0"/>
          <w:docGrid w:type="lines" w:linePitch="312"/>
        </w:sect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pStyle w:val="Heading1"/>
        <w:numPr>
          <w:ilvl w:val="0"/>
          <w:numId w:val="0"/>
        </w:numPr>
        <w:tabs>
          <w:tab w:val="left" w:pos="432"/>
        </w:tabs>
        <w:rPr>
          <w:rFonts w:ascii="宋体" w:hAnsi="宋体" w:hint="eastAsia"/>
        </w:rPr>
      </w:pPr>
      <w:bookmarkStart w:id="16" w:name="_Toc59415874"/>
      <w:bookmarkStart w:id="17" w:name="_Toc94589641"/>
      <w:r>
        <w:rPr>
          <w:rFonts w:hint="eastAsia"/>
        </w:rPr>
        <w:t xml:space="preserve">      第五章 道路交通</w:t>
      </w:r>
      <w:bookmarkEnd w:id="16"/>
      <w:r>
        <w:rPr>
          <w:rFonts w:hint="eastAsia"/>
        </w:rPr>
        <w:t>规划及控制</w:t>
      </w:r>
      <w:bookmarkEnd w:id="17"/>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规划道路广场用地</w:t>
      </w:r>
      <w:r>
        <w:rPr>
          <w:rFonts w:hint="eastAsia"/>
          <w:sz w:val="28"/>
          <w:lang w:val="en-US" w:eastAsia="zh-CN"/>
        </w:rPr>
        <w:t>34.10</w:t>
      </w:r>
      <w:r>
        <w:rPr>
          <w:rFonts w:hint="eastAsia"/>
          <w:sz w:val="28"/>
        </w:rPr>
        <w:t>公顷，占城市建设用地的</w:t>
      </w:r>
      <w:r>
        <w:rPr>
          <w:rFonts w:hint="eastAsia"/>
          <w:sz w:val="28"/>
          <w:lang w:val="en-US" w:eastAsia="zh-CN"/>
        </w:rPr>
        <w:t>4806</w:t>
      </w:r>
      <w:r>
        <w:rPr>
          <w:rFonts w:hint="eastAsia"/>
          <w:sz w:val="28"/>
        </w:rPr>
        <w:t>%，人均用地面积为15.71平方米。</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区内道路网采用</w:t>
      </w:r>
      <w:r>
        <w:rPr>
          <w:rFonts w:hint="eastAsia"/>
          <w:sz w:val="28"/>
        </w:rPr>
        <w:t>“</w:t>
      </w:r>
      <w:r>
        <w:rPr>
          <w:rFonts w:hint="eastAsia"/>
          <w:sz w:val="28"/>
        </w:rPr>
        <w:t>方格网</w:t>
      </w:r>
      <w:r>
        <w:rPr>
          <w:rFonts w:hint="eastAsia"/>
          <w:sz w:val="28"/>
        </w:rPr>
        <w:t>”</w:t>
      </w:r>
      <w:r>
        <w:rPr>
          <w:rFonts w:hint="eastAsia"/>
          <w:sz w:val="28"/>
        </w:rPr>
        <w:t>式布局形式，</w:t>
      </w:r>
      <w:r>
        <w:rPr>
          <w:sz w:val="28"/>
        </w:rPr>
        <w:t>规划区内道路按</w:t>
      </w:r>
      <w:r>
        <w:rPr>
          <w:rFonts w:hint="eastAsia"/>
          <w:sz w:val="28"/>
          <w:lang w:eastAsia="zh-CN"/>
        </w:rPr>
        <w:t>城市主干</w:t>
      </w:r>
      <w:r>
        <w:rPr>
          <w:rFonts w:hint="eastAsia"/>
          <w:sz w:val="28"/>
        </w:rPr>
        <w:t>路、</w:t>
      </w:r>
      <w:r>
        <w:rPr>
          <w:sz w:val="28"/>
        </w:rPr>
        <w:t>城市</w:t>
      </w:r>
      <w:r>
        <w:rPr>
          <w:rFonts w:hint="eastAsia"/>
          <w:sz w:val="28"/>
          <w:lang w:eastAsia="zh-CN"/>
        </w:rPr>
        <w:t>次</w:t>
      </w:r>
      <w:r>
        <w:rPr>
          <w:sz w:val="28"/>
        </w:rPr>
        <w:t>干</w:t>
      </w:r>
      <w:r>
        <w:rPr>
          <w:rFonts w:hint="eastAsia"/>
          <w:sz w:val="28"/>
        </w:rPr>
        <w:t>路</w:t>
      </w:r>
      <w:r>
        <w:rPr>
          <w:sz w:val="28"/>
        </w:rPr>
        <w:t>、</w:t>
      </w:r>
      <w:r>
        <w:rPr>
          <w:rFonts w:hint="eastAsia"/>
          <w:sz w:val="28"/>
          <w:lang w:eastAsia="zh-CN"/>
        </w:rPr>
        <w:t>城市支</w:t>
      </w:r>
      <w:r>
        <w:rPr>
          <w:rFonts w:hint="eastAsia"/>
          <w:sz w:val="28"/>
        </w:rPr>
        <w:t>路四级</w:t>
      </w:r>
      <w:r>
        <w:rPr>
          <w:sz w:val="28"/>
        </w:rPr>
        <w:t>划分</w:t>
      </w:r>
      <w:r>
        <w:rPr>
          <w:rFonts w:hint="eastAsia"/>
          <w:sz w:val="28"/>
        </w:rPr>
        <w:t>。</w:t>
      </w:r>
      <w:r>
        <w:rPr>
          <w:rFonts w:hint="eastAsia"/>
          <w:sz w:val="28"/>
          <w:lang w:eastAsia="zh-CN"/>
        </w:rPr>
        <w:t>主干路</w:t>
      </w:r>
      <w:r>
        <w:rPr>
          <w:rFonts w:hint="eastAsia"/>
          <w:sz w:val="28"/>
        </w:rPr>
        <w:t>红线为</w:t>
      </w:r>
      <w:r>
        <w:rPr>
          <w:rFonts w:hint="eastAsia"/>
          <w:sz w:val="28"/>
          <w:lang w:val="en-US" w:eastAsia="zh-CN"/>
        </w:rPr>
        <w:t>45</w:t>
      </w:r>
      <w:r>
        <w:rPr>
          <w:rFonts w:hint="eastAsia"/>
          <w:sz w:val="28"/>
        </w:rPr>
        <w:t>米，</w:t>
      </w:r>
      <w:r>
        <w:rPr>
          <w:sz w:val="28"/>
        </w:rPr>
        <w:t>设计参考车速为</w:t>
      </w:r>
      <w:r>
        <w:rPr>
          <w:rFonts w:hint="eastAsia"/>
          <w:sz w:val="28"/>
        </w:rPr>
        <w:t>60-8</w:t>
      </w:r>
      <w:r>
        <w:rPr>
          <w:sz w:val="28"/>
        </w:rPr>
        <w:t>0公里/小时</w:t>
      </w:r>
      <w:r>
        <w:rPr>
          <w:rFonts w:hint="eastAsia"/>
          <w:sz w:val="28"/>
        </w:rPr>
        <w:t>；</w:t>
      </w:r>
      <w:r>
        <w:rPr>
          <w:rFonts w:hint="eastAsia"/>
          <w:sz w:val="28"/>
          <w:lang w:eastAsia="zh-CN"/>
        </w:rPr>
        <w:t>次</w:t>
      </w:r>
      <w:r>
        <w:rPr>
          <w:rFonts w:hint="eastAsia"/>
          <w:sz w:val="28"/>
        </w:rPr>
        <w:t>干路红线为</w:t>
      </w:r>
      <w:r>
        <w:rPr>
          <w:rFonts w:hint="eastAsia"/>
          <w:sz w:val="28"/>
          <w:lang w:val="en-US" w:eastAsia="zh-CN"/>
        </w:rPr>
        <w:t>20-25</w:t>
      </w:r>
      <w:r>
        <w:rPr>
          <w:rFonts w:hint="eastAsia"/>
          <w:sz w:val="28"/>
        </w:rPr>
        <w:t>米，</w:t>
      </w:r>
      <w:r>
        <w:rPr>
          <w:sz w:val="28"/>
        </w:rPr>
        <w:t>设计参考车速为</w:t>
      </w:r>
      <w:r>
        <w:rPr>
          <w:rFonts w:hint="eastAsia"/>
          <w:sz w:val="28"/>
        </w:rPr>
        <w:t>5</w:t>
      </w:r>
      <w:r>
        <w:rPr>
          <w:sz w:val="28"/>
        </w:rPr>
        <w:t>0公里/小时</w:t>
      </w:r>
      <w:r>
        <w:rPr>
          <w:rFonts w:hint="eastAsia"/>
          <w:sz w:val="28"/>
        </w:rPr>
        <w:t>；次干路红线为17</w:t>
      </w:r>
      <w:r>
        <w:rPr>
          <w:rFonts w:hint="eastAsia"/>
          <w:sz w:val="28"/>
          <w:lang w:val="en-US" w:eastAsia="zh-CN"/>
        </w:rPr>
        <w:t>-20</w:t>
      </w:r>
      <w:r>
        <w:rPr>
          <w:rFonts w:hint="eastAsia"/>
          <w:sz w:val="28"/>
        </w:rPr>
        <w:t>米，</w:t>
      </w:r>
      <w:r>
        <w:rPr>
          <w:sz w:val="28"/>
        </w:rPr>
        <w:t>设计参考车速为</w:t>
      </w:r>
      <w:r>
        <w:rPr>
          <w:rFonts w:hint="eastAsia"/>
          <w:sz w:val="28"/>
        </w:rPr>
        <w:t>4</w:t>
      </w:r>
      <w:r>
        <w:rPr>
          <w:sz w:val="28"/>
        </w:rPr>
        <w:t>0公里/小时。</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道路红线内用地为道路及道路绿化专用，任何与道路交通无关的建筑和构筑物的改建、扩建及新建均不得占用道路用地。城市主、次干道、支路的走向、转点座标、道路断面形式必须符合本规划道路规划图的要求。组团级道路的具体位置、形式可根据现状用地情况适当调整。具体分布见附表三：规划道路一览表。</w:t>
      </w:r>
    </w:p>
    <w:p>
      <w:pPr>
        <w:numPr>
          <w:ilvl w:val="0"/>
          <w:numId w:val="8"/>
        </w:numPr>
        <w:tabs>
          <w:tab w:val="left" w:pos="1080"/>
          <w:tab w:val="left" w:pos="1440"/>
        </w:tabs>
        <w:spacing w:line="360" w:lineRule="auto"/>
        <w:ind w:left="1440" w:hanging="1440" w:firstLineChars="0"/>
        <w:outlineLvl w:val="0"/>
        <w:rPr>
          <w:rFonts w:ascii="宋体" w:hAnsi="宋体" w:hint="eastAsia"/>
        </w:rPr>
      </w:pPr>
      <w:r>
        <w:rPr>
          <w:rFonts w:hint="eastAsia"/>
          <w:sz w:val="28"/>
        </w:rPr>
        <w:t>规划结合绿地系统组织形成完善的步行网络，使得各组团与主要的公共效劳设施及开敞空间之间形成良好的联系。在公共活动场所和人行横道处须考虑无障碍设计，以满足残疾人的需要。</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但凡人流集中的大型商业建筑、其他公共建筑，以及公园、居住区，必须配建机动车停车场，用来停放本单位自用车以及所吸引的外来车辆。停车场的根本规模根据各建筑物的性质、规模确定。机动车每标准车停车面积25-30平方米。配建停车场面积原那么上在本地块内解决，特殊情况也可多个地块和并建设停车场。</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对规划区内的各个不同功能地块配建停车标准应符合附表四规定。</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规划区内交通设施、配建停车、机动车出入口的位置和道路交叉口形式应符合分图图册的规定。如地块性质或建筑容量需进行调整时，配建停车位也需相应变动。</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确定城市道路交叉口路缘线转角弧线切点向主干道方向延伸80米范围内，向次干道方向延伸65米范围内，向支路延伸50米范围内，为禁止开设机动车道出口路段，任何单位和个人均不得开设机动车道出口。如确需在上述路段内设置机动车道出口的地段，只能设置右转出口，出口位置应保持距交叉口路缘线转角弧线切点20米以上的距离。</w:t>
      </w: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sectPr>
          <w:type w:val="nextPage"/>
          <w:pgSz w:w="23814" w:h="16840" w:orient="landscape"/>
          <w:pgMar w:top="1162" w:right="1270" w:bottom="1162" w:left="1230" w:header="851" w:footer="992" w:gutter="0"/>
          <w:pgNumType w:start="11"/>
          <w:cols w:num="2" w:space="1200" w:equalWidth="1"/>
          <w:titlePg w:val="0"/>
          <w:docGrid w:type="lines" w:linePitch="312"/>
        </w:sectPr>
      </w:pPr>
    </w:p>
    <w:p>
      <w:pPr>
        <w:pStyle w:val="Heading1"/>
        <w:tabs>
          <w:tab w:val="left" w:pos="432"/>
        </w:tabs>
        <w:rPr>
          <w:rFonts w:hint="eastAsia"/>
        </w:rPr>
      </w:pPr>
      <w:bookmarkStart w:id="18" w:name="_Toc59103139"/>
      <w:bookmarkStart w:id="19" w:name="_Toc59415875"/>
      <w:bookmarkStart w:id="20" w:name="_Toc94589642"/>
      <w:r>
        <w:rPr>
          <w:rFonts w:hint="eastAsia"/>
        </w:rPr>
        <w:t xml:space="preserve">  第六章 配套公共效劳设施</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配套公共设施配置分公共效劳设施、交通设施和市政设施三大类，涉及托幼、小学、中学、文化活动站、社区效劳中心、社区卫生效劳站、公交站点、密闭式清洁站、公共厕所、换热站、消防站、加油站等12项。未涉及配套公共设施应结合地块具体开发建设进行相应配套。</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配套公共设施按《城市居住区规划设计标准》GB50180配置，具体分布见附表五：配套公共设施一览表。</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配套公共设施建设不采用独立占地的方式，结合地块开发进行调整，但不得少于文本及分图图那么中的相关规定。</w:t>
      </w: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tabs>
          <w:tab w:val="left" w:pos="1440"/>
        </w:tabs>
        <w:spacing w:line="360" w:lineRule="auto"/>
        <w:ind w:firstLineChars="0"/>
        <w:outlineLvl w:val="0"/>
        <w:rPr>
          <w:rFonts w:hint="eastAsia"/>
          <w:sz w:val="28"/>
        </w:rPr>
      </w:pPr>
    </w:p>
    <w:p>
      <w:pPr>
        <w:pStyle w:val="Heading1"/>
        <w:tabs>
          <w:tab w:val="left" w:pos="432"/>
        </w:tabs>
        <w:rPr>
          <w:rFonts w:hint="eastAsia"/>
        </w:rPr>
      </w:pPr>
      <w:r>
        <w:rPr>
          <w:rFonts w:hint="eastAsia"/>
        </w:rPr>
        <w:t xml:space="preserve">  第七章 景观系统规划及控制</w:t>
      </w:r>
      <w:bookmarkEnd w:id="18"/>
      <w:bookmarkEnd w:id="19"/>
      <w:bookmarkEnd w:id="20"/>
    </w:p>
    <w:p>
      <w:pPr>
        <w:numPr>
          <w:ilvl w:val="0"/>
          <w:numId w:val="8"/>
        </w:numPr>
        <w:tabs>
          <w:tab w:val="left" w:pos="1080"/>
          <w:tab w:val="left" w:pos="1440"/>
        </w:tabs>
        <w:spacing w:line="360" w:lineRule="auto"/>
        <w:ind w:left="1440" w:hanging="1440" w:firstLineChars="0"/>
        <w:outlineLvl w:val="0"/>
        <w:rPr>
          <w:rFonts w:ascii="宋体" w:hAnsi="宋体" w:hint="eastAsia"/>
        </w:rPr>
      </w:pPr>
      <w:r>
        <w:rPr>
          <w:rFonts w:hint="eastAsia"/>
          <w:sz w:val="28"/>
        </w:rPr>
        <w:t>总体结构：规划形成东西高、中部低，由硬质、结构化的城市空间向软质、松散的生态空间过渡，点、线、面相结合的景观系统，并与沿乌马河的生态景观廊道取得良好的照应。景观系统可以概括为</w:t>
      </w:r>
      <w:r>
        <w:rPr>
          <w:rFonts w:hint="eastAsia"/>
          <w:sz w:val="28"/>
        </w:rPr>
        <w:t>“</w:t>
      </w:r>
      <w:r>
        <w:rPr>
          <w:rFonts w:hint="eastAsia"/>
          <w:sz w:val="28"/>
        </w:rPr>
        <w:t>二轴、三带</w:t>
      </w:r>
      <w:r>
        <w:rPr>
          <w:rFonts w:hint="eastAsia"/>
          <w:sz w:val="28"/>
        </w:rPr>
        <w:t>”</w:t>
      </w:r>
      <w:r>
        <w:rPr>
          <w:rFonts w:hint="eastAsia"/>
          <w:sz w:val="28"/>
        </w:rPr>
        <w:t>。</w:t>
      </w:r>
    </w:p>
    <w:p>
      <w:pPr>
        <w:numPr>
          <w:ilvl w:val="0"/>
          <w:numId w:val="8"/>
        </w:numPr>
        <w:tabs>
          <w:tab w:val="left" w:pos="1080"/>
          <w:tab w:val="left" w:pos="1440"/>
        </w:tabs>
        <w:spacing w:line="360" w:lineRule="auto"/>
        <w:ind w:left="1440" w:hanging="1440" w:firstLineChars="0"/>
        <w:outlineLvl w:val="0"/>
        <w:rPr>
          <w:rFonts w:ascii="宋体" w:hAnsi="宋体" w:hint="eastAsia"/>
        </w:rPr>
      </w:pPr>
      <w:r>
        <w:rPr>
          <w:rFonts w:hint="eastAsia"/>
          <w:sz w:val="28"/>
        </w:rPr>
        <w:t>二个景观轴：</w:t>
      </w:r>
      <w:r>
        <w:rPr>
          <w:rFonts w:hint="eastAsia"/>
          <w:sz w:val="28"/>
          <w:lang w:eastAsia="zh-CN"/>
        </w:rPr>
        <w:t>前进街</w:t>
      </w:r>
      <w:r>
        <w:rPr>
          <w:rFonts w:hint="eastAsia"/>
          <w:sz w:val="28"/>
        </w:rPr>
        <w:t>景观轴</w:t>
      </w:r>
      <w:r>
        <w:rPr>
          <w:rFonts w:hint="eastAsia"/>
          <w:sz w:val="28"/>
        </w:rPr>
        <w:t>——</w:t>
      </w:r>
      <w:r>
        <w:rPr>
          <w:rFonts w:hint="eastAsia"/>
          <w:sz w:val="28"/>
        </w:rPr>
        <w:t>结合南侧科研教育园区绿地、北侧街头绿地建设成为区域的景观林荫大道。</w:t>
      </w:r>
      <w:r>
        <w:rPr>
          <w:rFonts w:hint="eastAsia"/>
          <w:sz w:val="28"/>
          <w:lang w:eastAsia="zh-CN"/>
        </w:rPr>
        <w:t>新兴街</w:t>
      </w:r>
      <w:r>
        <w:rPr>
          <w:rFonts w:hint="eastAsia"/>
          <w:sz w:val="28"/>
        </w:rPr>
        <w:t>景观轴</w:t>
      </w:r>
      <w:r>
        <w:rPr>
          <w:rFonts w:hint="eastAsia"/>
          <w:sz w:val="28"/>
        </w:rPr>
        <w:t>——</w:t>
      </w:r>
      <w:r>
        <w:rPr>
          <w:rFonts w:hint="eastAsia"/>
          <w:sz w:val="28"/>
        </w:rPr>
        <w:t>结合住区及公园开发，形成连续的城市空间界面。</w:t>
      </w:r>
    </w:p>
    <w:p>
      <w:pPr>
        <w:numPr>
          <w:ilvl w:val="0"/>
          <w:numId w:val="8"/>
        </w:numPr>
        <w:tabs>
          <w:tab w:val="left" w:pos="1080"/>
          <w:tab w:val="left" w:pos="1440"/>
          <w:tab w:val="left" w:pos="8640"/>
        </w:tabs>
        <w:spacing w:line="360" w:lineRule="auto"/>
        <w:ind w:left="1440" w:hanging="1440" w:firstLineChars="0"/>
        <w:outlineLvl w:val="0"/>
        <w:rPr>
          <w:rFonts w:hint="eastAsia"/>
          <w:sz w:val="28"/>
        </w:rPr>
      </w:pPr>
      <w:r>
        <w:rPr>
          <w:rFonts w:hint="eastAsia"/>
          <w:sz w:val="28"/>
        </w:rPr>
        <w:t>三条景观带：滨河景观带</w:t>
      </w:r>
      <w:r>
        <w:rPr>
          <w:rFonts w:hint="eastAsia"/>
          <w:sz w:val="28"/>
        </w:rPr>
        <w:t>——</w:t>
      </w:r>
      <w:r>
        <w:rPr>
          <w:rFonts w:hint="eastAsia"/>
          <w:sz w:val="28"/>
        </w:rPr>
        <w:t>主要由沿乌马河的绿地、开放空间和居住建筑组成，规划强调层次感和轮廓线的节奏感，形成南北密、中间疏的道路界面景观，形成顺应地势近低远高、起伏有序的整体空间格局、塑造与自然协调共生和渗透交融的景观特色。滨山景观带</w:t>
      </w:r>
      <w:r>
        <w:rPr>
          <w:rFonts w:hint="eastAsia"/>
          <w:sz w:val="28"/>
        </w:rPr>
        <w:t>——</w:t>
      </w:r>
      <w:r>
        <w:rPr>
          <w:rFonts w:hint="eastAsia"/>
          <w:sz w:val="28"/>
        </w:rPr>
        <w:t>主要由路南侧自然山体风景区和路北居住区组成，强调由城市空间向自然空间逐渐过渡，组织多样化的社区景观带。铁路景观带</w:t>
      </w:r>
      <w:r>
        <w:rPr>
          <w:rFonts w:hint="eastAsia"/>
          <w:sz w:val="28"/>
        </w:rPr>
        <w:t>——</w:t>
      </w:r>
      <w:r>
        <w:rPr>
          <w:rFonts w:hint="eastAsia"/>
          <w:sz w:val="28"/>
        </w:rPr>
        <w:t>主要由公共设施组成，形成连续的界面效果，要求控制沿街立面的连续性和整体感，形成标志性的城市景观。</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规划区内有关的标志、公告、广告招牌的位置和尺寸大小须由规划管理部门核准确定前方可设置。</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pStyle w:val="Heading1"/>
        <w:tabs>
          <w:tab w:val="left" w:pos="432"/>
        </w:tabs>
        <w:rPr>
          <w:rFonts w:hint="eastAsia"/>
        </w:rPr>
      </w:pPr>
      <w:bookmarkStart w:id="21" w:name="_Toc59415876"/>
      <w:bookmarkStart w:id="22" w:name="_Toc94589643"/>
      <w:bookmarkStart w:id="23" w:name="_Toc59103142"/>
      <w:r>
        <w:rPr>
          <w:rFonts w:hint="eastAsia"/>
        </w:rPr>
        <w:t xml:space="preserve">  第八章 市政工程</w:t>
      </w:r>
      <w:bookmarkEnd w:id="23"/>
      <w:r>
        <w:rPr>
          <w:rFonts w:hint="eastAsia"/>
        </w:rPr>
        <w:t>规划及控制</w:t>
      </w:r>
      <w:bookmarkEnd w:id="21"/>
      <w:bookmarkEnd w:id="22"/>
    </w:p>
    <w:p>
      <w:pPr>
        <w:ind w:firstLine="0" w:firstLineChars="0"/>
        <w:rPr>
          <w:rFonts w:hint="eastAsia"/>
        </w:rPr>
      </w:pPr>
    </w:p>
    <w:p>
      <w:pPr>
        <w:pStyle w:val="27813"/>
        <w:tabs>
          <w:tab w:val="left" w:pos="720"/>
          <w:tab w:val="left" w:pos="900"/>
        </w:tabs>
        <w:rPr>
          <w:rFonts w:hint="eastAsia"/>
        </w:rPr>
        <w:sectPr>
          <w:type w:val="nextPage"/>
          <w:pgSz w:w="23814" w:h="16840" w:orient="landscape"/>
          <w:pgMar w:top="1162" w:right="1270" w:bottom="1162" w:left="1230" w:header="851" w:footer="992" w:gutter="0"/>
          <w:pgNumType w:start="12"/>
          <w:cols w:num="2" w:space="1200" w:equalWidth="1"/>
          <w:titlePg w:val="0"/>
          <w:docGrid w:type="lines" w:linePitch="312"/>
        </w:sectPr>
      </w:pPr>
      <w:bookmarkStart w:id="24" w:name="_Toc59103143"/>
      <w:r>
        <w:rPr>
          <w:rFonts w:hint="eastAsia"/>
        </w:rPr>
        <w:t>第一节  给水工程</w:t>
      </w:r>
      <w:bookmarkEnd w:id="24"/>
    </w:p>
    <w:p>
      <w:pPr>
        <w:numPr>
          <w:ilvl w:val="0"/>
          <w:numId w:val="8"/>
        </w:numPr>
        <w:tabs>
          <w:tab w:val="left" w:pos="1080"/>
          <w:tab w:val="left" w:pos="1440"/>
        </w:tabs>
        <w:spacing w:line="360" w:lineRule="auto"/>
        <w:ind w:left="1440" w:hanging="1440" w:firstLineChars="0"/>
        <w:outlineLvl w:val="0"/>
        <w:rPr>
          <w:rFonts w:ascii="宋体" w:hAnsi="宋体" w:hint="eastAsia"/>
        </w:rPr>
      </w:pPr>
      <w:r>
        <w:rPr>
          <w:rFonts w:hint="eastAsia"/>
          <w:sz w:val="28"/>
          <w:szCs w:val="28"/>
        </w:rPr>
        <w:t>规划水源：</w:t>
      </w:r>
      <w:r>
        <w:rPr>
          <w:rFonts w:ascii="宋体" w:hAnsi="宋体" w:hint="eastAsia"/>
          <w:sz w:val="24"/>
        </w:rPr>
        <w:t>桦南镇水源地在距桦南县西北约</w:t>
      </w:r>
      <w:r>
        <w:rPr>
          <w:rFonts w:ascii="宋体" w:hAnsi="宋体"/>
          <w:sz w:val="24"/>
        </w:rPr>
        <w:t>3</w:t>
      </w:r>
      <w:r>
        <w:rPr>
          <w:rFonts w:ascii="宋体" w:hAnsi="宋体" w:hint="eastAsia"/>
          <w:sz w:val="24"/>
        </w:rPr>
        <w:t>公里的双立屯和历家屯</w:t>
      </w:r>
      <w:r>
        <w:rPr>
          <w:rFonts w:ascii="宋体" w:hAnsi="宋体"/>
          <w:sz w:val="24"/>
        </w:rPr>
        <w:t>0.5</w:t>
      </w:r>
      <w:r>
        <w:rPr>
          <w:rFonts w:ascii="宋体" w:hAnsi="宋体" w:hint="eastAsia"/>
          <w:sz w:val="24"/>
        </w:rPr>
        <w:t>公里处</w:t>
      </w:r>
      <w:r>
        <w:rPr>
          <w:rFonts w:hint="eastAsia"/>
          <w:sz w:val="28"/>
          <w:szCs w:val="28"/>
        </w:rPr>
        <w:t>，</w:t>
      </w:r>
      <w:r>
        <w:rPr>
          <w:rFonts w:ascii="宋体" w:hAnsi="宋体" w:hint="eastAsia"/>
          <w:sz w:val="24"/>
        </w:rPr>
        <w:t>水采用井群方式，共</w:t>
      </w:r>
      <w:r>
        <w:rPr>
          <w:rFonts w:ascii="宋体" w:hAnsi="宋体"/>
          <w:sz w:val="24"/>
        </w:rPr>
        <w:t>8</w:t>
      </w:r>
      <w:r>
        <w:rPr>
          <w:rFonts w:ascii="宋体" w:hAnsi="宋体" w:hint="eastAsia"/>
          <w:sz w:val="24"/>
        </w:rPr>
        <w:t>眼取水井，井深</w:t>
      </w:r>
      <w:r>
        <w:rPr>
          <w:rFonts w:ascii="宋体" w:hAnsi="宋体"/>
          <w:sz w:val="24"/>
        </w:rPr>
        <w:t>50</w:t>
      </w:r>
      <w:r>
        <w:rPr>
          <w:rFonts w:ascii="宋体" w:hAnsi="宋体" w:hint="eastAsia"/>
          <w:sz w:val="24"/>
        </w:rPr>
        <w:t>米，井间联络管</w:t>
      </w:r>
      <w:r>
        <w:rPr>
          <w:rFonts w:ascii="宋体" w:hAnsi="宋体"/>
          <w:sz w:val="24"/>
        </w:rPr>
        <w:t>DN250</w:t>
      </w:r>
      <w:r>
        <w:rPr>
          <w:rFonts w:ascii="宋体" w:hAnsi="宋体" w:hint="eastAsia"/>
          <w:sz w:val="24"/>
        </w:rPr>
        <w:t>—</w:t>
      </w:r>
      <w:r>
        <w:rPr>
          <w:rFonts w:ascii="宋体" w:hAnsi="宋体"/>
          <w:sz w:val="24"/>
        </w:rPr>
        <w:t>500mm</w:t>
      </w:r>
      <w:r>
        <w:rPr>
          <w:rFonts w:ascii="宋体" w:hAnsi="宋体" w:hint="eastAsia"/>
          <w:sz w:val="24"/>
        </w:rPr>
        <w:t>，设计取水能力为</w:t>
      </w:r>
      <w:r>
        <w:rPr>
          <w:rFonts w:ascii="宋体" w:hAnsi="宋体"/>
          <w:sz w:val="24"/>
        </w:rPr>
        <w:t>4</w:t>
      </w:r>
      <w:r>
        <w:rPr>
          <w:rFonts w:ascii="宋体" w:hAnsi="宋体" w:hint="eastAsia"/>
          <w:sz w:val="24"/>
        </w:rPr>
        <w:t>万立方米</w:t>
      </w:r>
      <w:r>
        <w:rPr>
          <w:rFonts w:ascii="宋体" w:hAnsi="宋体"/>
          <w:sz w:val="24"/>
        </w:rPr>
        <w:t>/</w:t>
      </w:r>
      <w:r>
        <w:rPr>
          <w:rFonts w:ascii="宋体" w:hAnsi="宋体" w:hint="eastAsia"/>
          <w:sz w:val="24"/>
        </w:rPr>
        <w:t>日，实际日供水量</w:t>
      </w:r>
      <w:r>
        <w:rPr>
          <w:rFonts w:ascii="宋体" w:hAnsi="宋体"/>
          <w:sz w:val="24"/>
        </w:rPr>
        <w:t>6000</w:t>
      </w:r>
      <w:r>
        <w:rPr>
          <w:rFonts w:ascii="宋体" w:hAnsi="宋体" w:hint="eastAsia"/>
          <w:sz w:val="24"/>
        </w:rPr>
        <w:t>立方米</w:t>
      </w:r>
      <w:r>
        <w:rPr>
          <w:rFonts w:ascii="宋体" w:hAnsi="宋体"/>
          <w:sz w:val="24"/>
        </w:rPr>
        <w:t>/</w:t>
      </w:r>
      <w:r>
        <w:rPr>
          <w:rFonts w:ascii="宋体" w:hAnsi="宋体" w:hint="eastAsia"/>
          <w:sz w:val="24"/>
        </w:rPr>
        <w:t>日。</w:t>
      </w:r>
    </w:p>
    <w:p>
      <w:pPr>
        <w:numPr>
          <w:ilvl w:val="0"/>
          <w:numId w:val="8"/>
        </w:numPr>
        <w:tabs>
          <w:tab w:val="left" w:pos="1080"/>
          <w:tab w:val="left" w:pos="1440"/>
        </w:tabs>
        <w:spacing w:line="360" w:lineRule="auto"/>
        <w:ind w:left="1440" w:hanging="1440" w:firstLineChars="0"/>
        <w:outlineLvl w:val="0"/>
        <w:rPr>
          <w:rFonts w:hint="eastAsia"/>
          <w:sz w:val="28"/>
          <w:szCs w:val="28"/>
        </w:rPr>
      </w:pPr>
      <w:r>
        <w:rPr>
          <w:rFonts w:hint="eastAsia"/>
          <w:sz w:val="28"/>
          <w:szCs w:val="28"/>
        </w:rPr>
        <w:t>管网规划：供水管网采用生活、消防共用的供水系统。按城市规划布置管网，考虑给水系统分期建设的可能，并留有充分开展的余地。</w:t>
      </w:r>
    </w:p>
    <w:p>
      <w:pPr>
        <w:ind w:firstLine="480"/>
      </w:pPr>
      <w:r>
        <w:rPr>
          <w:rFonts w:ascii="宋体" w:hAnsi="宋体" w:hint="eastAsia"/>
          <w:sz w:val="24"/>
        </w:rPr>
        <w:t>采用生活、生</w:t>
      </w:r>
      <w:r>
        <w:rPr>
          <w:rFonts w:ascii="宋体" w:hAnsi="宋体"/>
          <w:sz w:val="24"/>
        </w:rPr>
        <w:t>产</w:t>
      </w:r>
      <w:r>
        <w:rPr>
          <w:rFonts w:ascii="宋体" w:hAnsi="宋体" w:hint="eastAsia"/>
          <w:sz w:val="24"/>
        </w:rPr>
        <w:t>、消防合一体制，消防采用低</w:t>
      </w:r>
      <w:r>
        <w:rPr>
          <w:rFonts w:ascii="宋体" w:hAnsi="宋体"/>
          <w:sz w:val="24"/>
        </w:rPr>
        <w:t>压</w:t>
      </w:r>
      <w:r>
        <w:rPr>
          <w:rFonts w:ascii="宋体" w:hAnsi="宋体" w:hint="eastAsia"/>
          <w:sz w:val="24"/>
        </w:rPr>
        <w:t>制，</w:t>
      </w:r>
      <w:r>
        <w:rPr>
          <w:rFonts w:ascii="宋体" w:hAnsi="宋体"/>
          <w:sz w:val="24"/>
        </w:rPr>
        <w:t>桦</w:t>
      </w:r>
      <w:r>
        <w:rPr>
          <w:rFonts w:ascii="宋体" w:hAnsi="宋体" w:hint="eastAsia"/>
          <w:sz w:val="24"/>
        </w:rPr>
        <w:t>南</w:t>
      </w:r>
      <w:r>
        <w:rPr>
          <w:rFonts w:ascii="宋体" w:hAnsi="宋体"/>
          <w:sz w:val="24"/>
        </w:rPr>
        <w:t>镇</w:t>
      </w:r>
      <w:r>
        <w:rPr>
          <w:rFonts w:ascii="宋体" w:hAnsi="宋体" w:hint="eastAsia"/>
          <w:sz w:val="24"/>
        </w:rPr>
        <w:t>和林</w:t>
      </w:r>
      <w:r>
        <w:rPr>
          <w:rFonts w:ascii="宋体" w:hAnsi="宋体"/>
          <w:sz w:val="24"/>
        </w:rPr>
        <w:t>业</w:t>
      </w:r>
      <w:r>
        <w:rPr>
          <w:rFonts w:ascii="宋体" w:hAnsi="宋体" w:hint="eastAsia"/>
          <w:sz w:val="24"/>
        </w:rPr>
        <w:t>局采用</w:t>
      </w:r>
      <w:r>
        <w:rPr>
          <w:rFonts w:ascii="宋体" w:hAnsi="宋体"/>
          <w:sz w:val="24"/>
        </w:rPr>
        <w:t>两</w:t>
      </w:r>
      <w:r>
        <w:rPr>
          <w:rFonts w:ascii="宋体" w:hAnsi="宋体" w:hint="eastAsia"/>
          <w:sz w:val="24"/>
        </w:rPr>
        <w:t>套供水系</w:t>
      </w:r>
      <w:r>
        <w:rPr>
          <w:rFonts w:ascii="宋体" w:hAnsi="宋体"/>
          <w:sz w:val="24"/>
        </w:rPr>
        <w:t>统</w:t>
      </w:r>
      <w:r>
        <w:rPr>
          <w:rFonts w:ascii="宋体" w:hAnsi="宋体" w:hint="eastAsia"/>
          <w:sz w:val="24"/>
        </w:rPr>
        <w:t>，最不利</w:t>
      </w:r>
      <w:r>
        <w:rPr>
          <w:rFonts w:ascii="宋体" w:hAnsi="宋体"/>
          <w:sz w:val="24"/>
        </w:rPr>
        <w:t>点</w:t>
      </w:r>
      <w:r>
        <w:rPr>
          <w:rFonts w:ascii="宋体" w:hAnsi="宋体" w:hint="eastAsia"/>
          <w:sz w:val="24"/>
        </w:rPr>
        <w:t>供水</w:t>
      </w:r>
      <w:r>
        <w:rPr>
          <w:rFonts w:ascii="宋体" w:hAnsi="宋体"/>
          <w:sz w:val="24"/>
        </w:rPr>
        <w:t>压力</w:t>
      </w:r>
      <w:r>
        <w:rPr>
          <w:rFonts w:ascii="宋体" w:hAnsi="宋体" w:hint="eastAsia"/>
          <w:sz w:val="24"/>
        </w:rPr>
        <w:t>不得低于</w:t>
      </w:r>
      <w:r>
        <w:rPr>
          <w:rFonts w:ascii="宋体" w:hAnsi="宋体"/>
          <w:sz w:val="24"/>
        </w:rPr>
        <w:t>0.16MPa</w:t>
      </w:r>
      <w:r>
        <w:rPr>
          <w:rFonts w:ascii="宋体" w:hAnsi="宋体" w:hint="eastAsia"/>
          <w:sz w:val="24"/>
        </w:rPr>
        <w:t>，用水最高日最高</w:t>
      </w:r>
      <w:r>
        <w:rPr>
          <w:rFonts w:ascii="宋体" w:hAnsi="宋体"/>
          <w:sz w:val="24"/>
        </w:rPr>
        <w:t>时</w:t>
      </w:r>
      <w:r>
        <w:rPr>
          <w:rFonts w:ascii="宋体" w:hAnsi="宋体" w:hint="eastAsia"/>
          <w:sz w:val="24"/>
        </w:rPr>
        <w:t>消防管网中最不利</w:t>
      </w:r>
      <w:r>
        <w:rPr>
          <w:rFonts w:ascii="宋体" w:hAnsi="宋体"/>
          <w:sz w:val="24"/>
        </w:rPr>
        <w:t>点</w:t>
      </w:r>
      <w:r>
        <w:rPr>
          <w:rFonts w:ascii="宋体" w:hAnsi="宋体" w:hint="eastAsia"/>
          <w:sz w:val="24"/>
        </w:rPr>
        <w:t>不得小于</w:t>
      </w:r>
      <w:r>
        <w:rPr>
          <w:rFonts w:ascii="宋体" w:hAnsi="宋体"/>
          <w:sz w:val="24"/>
        </w:rPr>
        <w:t>0.10 MPa</w:t>
      </w:r>
    </w:p>
    <w:p>
      <w:pPr>
        <w:pStyle w:val="27813"/>
        <w:tabs>
          <w:tab w:val="left" w:pos="720"/>
          <w:tab w:val="left" w:pos="900"/>
        </w:tabs>
        <w:rPr>
          <w:rFonts w:hint="eastAsia"/>
        </w:rPr>
      </w:pPr>
      <w:bookmarkStart w:id="25" w:name="_Toc59103144"/>
      <w:r>
        <w:rPr>
          <w:rFonts w:hint="eastAsia"/>
        </w:rPr>
        <w:t>第二节  污水工程</w:t>
      </w:r>
      <w:bookmarkEnd w:id="25"/>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污水量预测：规划污水总排放量为</w:t>
      </w:r>
      <w:r>
        <w:rPr>
          <w:rFonts w:hint="eastAsia"/>
          <w:color w:val="FF0000"/>
          <w:sz w:val="28"/>
        </w:rPr>
        <w:t xml:space="preserve"> </w:t>
      </w:r>
      <w:r>
        <w:rPr>
          <w:rFonts w:hint="eastAsia"/>
          <w:sz w:val="28"/>
        </w:rPr>
        <w:t>2.19万m</w:t>
      </w:r>
      <w:r>
        <w:rPr>
          <w:rFonts w:hint="eastAsia"/>
          <w:sz w:val="28"/>
          <w:vertAlign w:val="superscript"/>
        </w:rPr>
        <w:t>3</w:t>
      </w:r>
      <w:r>
        <w:rPr>
          <w:rFonts w:hint="eastAsia"/>
          <w:sz w:val="28"/>
        </w:rPr>
        <w:t>/d。</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排水体制：采用分流制的排水体制，其中污水经聚集后排入</w:t>
      </w:r>
      <w:r>
        <w:rPr>
          <w:rFonts w:hint="eastAsia"/>
          <w:sz w:val="28"/>
          <w:lang w:eastAsia="zh-CN"/>
        </w:rPr>
        <w:t>桦南镇</w:t>
      </w:r>
      <w:r>
        <w:rPr>
          <w:rFonts w:hint="eastAsia"/>
          <w:sz w:val="28"/>
        </w:rPr>
        <w:t>污水处理厂。</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雨水排放：雨水工程根据地形分为三个汇水区，雨水经管道收集后分别排入乌马河和区内内河及水上公园。</w:t>
      </w:r>
    </w:p>
    <w:p>
      <w:pPr>
        <w:spacing w:line="360" w:lineRule="auto"/>
        <w:ind w:firstLine="0" w:firstLineChars="0"/>
        <w:outlineLvl w:val="0"/>
        <w:rPr>
          <w:rFonts w:hint="eastAsia"/>
          <w:sz w:val="28"/>
        </w:rPr>
      </w:pPr>
    </w:p>
    <w:p>
      <w:pPr>
        <w:pStyle w:val="27813"/>
        <w:tabs>
          <w:tab w:val="left" w:pos="720"/>
          <w:tab w:val="left" w:pos="900"/>
        </w:tabs>
        <w:rPr>
          <w:rFonts w:hint="eastAsia"/>
        </w:rPr>
      </w:pPr>
      <w:bookmarkStart w:id="26" w:name="_Toc50437843"/>
      <w:bookmarkStart w:id="27" w:name="_Toc51259907"/>
      <w:bookmarkStart w:id="28" w:name="_Toc59103146"/>
      <w:r>
        <w:rPr>
          <w:rFonts w:hint="eastAsia"/>
        </w:rPr>
        <w:t>第三节  供电工程</w:t>
      </w:r>
      <w:bookmarkEnd w:id="26"/>
      <w:bookmarkEnd w:id="27"/>
      <w:bookmarkEnd w:id="28"/>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szCs w:val="28"/>
        </w:rPr>
        <w:t>规划采用10KV和</w:t>
      </w:r>
      <w:r>
        <w:rPr>
          <w:sz w:val="28"/>
          <w:szCs w:val="28"/>
        </w:rPr>
        <w:t>0.38/0.22</w:t>
      </w:r>
      <w:r>
        <w:rPr>
          <w:rFonts w:hint="eastAsia"/>
          <w:sz w:val="28"/>
          <w:szCs w:val="28"/>
        </w:rPr>
        <w:t>KV为规划电压等级</w:t>
      </w:r>
      <w:r>
        <w:rPr>
          <w:rFonts w:hint="eastAsia"/>
          <w:sz w:val="28"/>
        </w:rPr>
        <w:t>。</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szCs w:val="28"/>
        </w:rPr>
        <w:t>用电负荷：规划区供电总负荷为4.54万KW</w:t>
      </w:r>
      <w:r>
        <w:rPr>
          <w:rFonts w:hint="eastAsia"/>
          <w:sz w:val="28"/>
        </w:rPr>
        <w:t>。</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szCs w:val="28"/>
        </w:rPr>
        <w:t>电源规划：</w:t>
      </w:r>
      <w:r>
        <w:rPr>
          <w:rFonts w:hint="eastAsia"/>
        </w:rPr>
        <w:t xml:space="preserve"> </w:t>
      </w:r>
      <w:r>
        <w:rPr>
          <w:rFonts w:hint="eastAsia"/>
          <w:sz w:val="28"/>
          <w:szCs w:val="28"/>
        </w:rPr>
        <w:t>电源取自西侧的青山变电所110KV~10KV。</w:t>
      </w:r>
      <w:r>
        <w:rPr>
          <w:rFonts w:hint="eastAsia"/>
        </w:rPr>
        <w:t xml:space="preserve"> </w:t>
      </w:r>
    </w:p>
    <w:p>
      <w:pPr>
        <w:tabs>
          <w:tab w:val="left" w:pos="1440"/>
        </w:tabs>
        <w:spacing w:line="360" w:lineRule="auto"/>
        <w:ind w:firstLine="0" w:firstLineChars="0"/>
        <w:outlineLvl w:val="0"/>
        <w:rPr>
          <w:rFonts w:hint="eastAsia"/>
          <w:sz w:val="28"/>
        </w:rPr>
      </w:pPr>
    </w:p>
    <w:p>
      <w:pPr>
        <w:pStyle w:val="27813"/>
        <w:tabs>
          <w:tab w:val="left" w:pos="720"/>
          <w:tab w:val="left" w:pos="900"/>
        </w:tabs>
        <w:rPr>
          <w:rFonts w:hint="eastAsia"/>
        </w:rPr>
      </w:pPr>
      <w:bookmarkStart w:id="29" w:name="_Toc50437844"/>
      <w:bookmarkStart w:id="30" w:name="_Toc51259908"/>
      <w:bookmarkStart w:id="31" w:name="_Toc59103147"/>
      <w:r>
        <w:rPr>
          <w:rFonts w:hint="eastAsia"/>
        </w:rPr>
        <w:t>第四节  通信工程</w:t>
      </w:r>
      <w:bookmarkEnd w:id="29"/>
      <w:bookmarkEnd w:id="30"/>
      <w:bookmarkEnd w:id="31"/>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szCs w:val="28"/>
        </w:rPr>
        <w:t>规划区市话容量为28750门</w:t>
      </w:r>
      <w:r>
        <w:rPr>
          <w:rFonts w:hint="eastAsia"/>
          <w:sz w:val="28"/>
        </w:rPr>
        <w:t>。</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敷设方式及管孔数：采用地下管道敷设通讯电缆，为留有充分开展余地，通讯管道建设将按以下标准设计：主干路12孔，次干路</w:t>
      </w:r>
      <w:r>
        <w:rPr>
          <w:sz w:val="28"/>
        </w:rPr>
        <w:t>6</w:t>
      </w:r>
      <w:r>
        <w:rPr>
          <w:rFonts w:hint="eastAsia"/>
          <w:sz w:val="28"/>
        </w:rPr>
        <w:t>孔，一般道路不小于4孔。</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szCs w:val="28"/>
        </w:rPr>
        <w:t>规划设电信局1座，占地 1500</w:t>
      </w:r>
      <w:r>
        <w:rPr>
          <w:sz w:val="28"/>
        </w:rPr>
        <w:t>平方米</w:t>
      </w:r>
      <w:r>
        <w:rPr>
          <w:rFonts w:hint="eastAsia"/>
          <w:sz w:val="28"/>
          <w:szCs w:val="28"/>
        </w:rPr>
        <w:t>，建模块局一座</w:t>
      </w:r>
      <w:r>
        <w:rPr>
          <w:rFonts w:hint="eastAsia"/>
          <w:sz w:val="28"/>
        </w:rPr>
        <w:t>。</w:t>
      </w:r>
    </w:p>
    <w:p>
      <w:pPr>
        <w:tabs>
          <w:tab w:val="left" w:pos="1440"/>
        </w:tabs>
        <w:spacing w:line="360" w:lineRule="auto"/>
        <w:ind w:firstLine="0" w:firstLineChars="0"/>
        <w:outlineLvl w:val="0"/>
        <w:rPr>
          <w:rFonts w:hint="eastAsia"/>
          <w:sz w:val="28"/>
        </w:rPr>
      </w:pPr>
    </w:p>
    <w:p>
      <w:pPr>
        <w:pStyle w:val="27813"/>
        <w:tabs>
          <w:tab w:val="left" w:pos="720"/>
          <w:tab w:val="left" w:pos="900"/>
        </w:tabs>
        <w:rPr>
          <w:rFonts w:hint="eastAsia"/>
          <w:sz w:val="28"/>
        </w:rPr>
      </w:pPr>
      <w:bookmarkStart w:id="32" w:name="_Toc50437846"/>
      <w:bookmarkStart w:id="33" w:name="_Toc51259910"/>
      <w:bookmarkStart w:id="34" w:name="_Toc59103149"/>
      <w:r>
        <w:rPr>
          <w:rFonts w:hint="eastAsia"/>
        </w:rPr>
        <w:t>第五节  供热工程</w:t>
      </w:r>
      <w:bookmarkEnd w:id="32"/>
      <w:bookmarkEnd w:id="33"/>
      <w:bookmarkEnd w:id="34"/>
    </w:p>
    <w:p>
      <w:pPr>
        <w:numPr>
          <w:ilvl w:val="0"/>
          <w:numId w:val="8"/>
        </w:numPr>
        <w:tabs>
          <w:tab w:val="left" w:pos="1080"/>
          <w:tab w:val="left" w:pos="1440"/>
        </w:tabs>
        <w:spacing w:line="360" w:lineRule="auto"/>
        <w:ind w:left="1440" w:hanging="1440" w:firstLineChars="0"/>
        <w:outlineLvl w:val="0"/>
        <w:rPr>
          <w:sz w:val="28"/>
        </w:rPr>
      </w:pPr>
      <w:r>
        <w:rPr>
          <w:rFonts w:hint="eastAsia"/>
          <w:sz w:val="28"/>
        </w:rPr>
        <w:t>采暖热负荷：</w:t>
      </w:r>
      <w:r>
        <w:rPr>
          <w:rFonts w:hint="eastAsia"/>
          <w:sz w:val="28"/>
          <w:szCs w:val="28"/>
        </w:rPr>
        <w:t>综合热指标采用72W/m</w:t>
      </w:r>
      <w:r>
        <w:rPr>
          <w:rFonts w:hint="eastAsia"/>
          <w:sz w:val="28"/>
          <w:szCs w:val="28"/>
          <w:vertAlign w:val="superscript"/>
        </w:rPr>
        <w:t>2</w:t>
      </w:r>
      <w:r>
        <w:rPr>
          <w:rFonts w:hint="eastAsia"/>
          <w:sz w:val="28"/>
          <w:szCs w:val="28"/>
        </w:rPr>
        <w:t>，总热负荷为176.40MW</w:t>
      </w:r>
      <w:r>
        <w:rPr>
          <w:rFonts w:hint="eastAsia"/>
          <w:sz w:val="28"/>
        </w:rPr>
        <w:t>。</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热源规划：</w:t>
      </w:r>
      <w:r>
        <w:rPr>
          <w:rFonts w:hint="eastAsia"/>
          <w:sz w:val="28"/>
          <w:szCs w:val="28"/>
        </w:rPr>
        <w:t>规划采用伊春林业发电厂作为集中供热热源</w:t>
      </w:r>
      <w:r>
        <w:rPr>
          <w:rFonts w:hint="eastAsia"/>
          <w:sz w:val="28"/>
        </w:rPr>
        <w:t>。</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供热管网：</w:t>
      </w:r>
      <w:r>
        <w:rPr>
          <w:rFonts w:hint="eastAsia"/>
          <w:sz w:val="28"/>
          <w:szCs w:val="28"/>
        </w:rPr>
        <w:t>根据供热负荷设换热站7座。采用两级供热方式，即</w:t>
      </w:r>
      <w:r>
        <w:rPr>
          <w:rFonts w:hint="eastAsia"/>
          <w:sz w:val="28"/>
        </w:rPr>
        <w:t>供热一级网干管接入小区热力站，供热二级网经换热后进入用户，规划供热干管原那么上在支路或小区道路上敷设。</w:t>
      </w:r>
    </w:p>
    <w:p>
      <w:pPr>
        <w:tabs>
          <w:tab w:val="left" w:pos="1440"/>
        </w:tabs>
        <w:spacing w:line="360" w:lineRule="auto"/>
        <w:ind w:firstLine="0" w:firstLineChars="0"/>
        <w:outlineLvl w:val="0"/>
        <w:rPr>
          <w:rFonts w:hint="eastAsia"/>
          <w:sz w:val="28"/>
        </w:rPr>
      </w:pPr>
    </w:p>
    <w:p>
      <w:pPr>
        <w:pStyle w:val="27813"/>
        <w:tabs>
          <w:tab w:val="left" w:pos="720"/>
          <w:tab w:val="left" w:pos="900"/>
        </w:tabs>
        <w:rPr>
          <w:rFonts w:hint="eastAsia"/>
        </w:rPr>
      </w:pPr>
      <w:r>
        <w:rPr>
          <w:rFonts w:hint="eastAsia"/>
        </w:rPr>
        <w:t xml:space="preserve">   第六节  环卫工程规划</w:t>
      </w:r>
    </w:p>
    <w:p>
      <w:pPr>
        <w:numPr>
          <w:ilvl w:val="0"/>
          <w:numId w:val="8"/>
        </w:numPr>
        <w:tabs>
          <w:tab w:val="left" w:pos="1080"/>
          <w:tab w:val="left" w:pos="1440"/>
        </w:tabs>
        <w:spacing w:line="360" w:lineRule="auto"/>
        <w:ind w:left="1440" w:hanging="1440" w:firstLineChars="0"/>
        <w:outlineLvl w:val="0"/>
        <w:rPr>
          <w:sz w:val="28"/>
        </w:rPr>
      </w:pPr>
      <w:r>
        <w:rPr>
          <w:rFonts w:hint="eastAsia"/>
          <w:sz w:val="28"/>
        </w:rPr>
        <w:t>垃圾产量预测：生活垃圾总量按人均日产垃圾1.2kg计算，规划区规划总人口3.81万人，那么垃圾日产量为4.57万kg。</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垃圾收集及储运方式确定：垃圾收集分为三类进行收集：有机垃圾、无机垃圾和废品垃圾。分类收集垃圾后，以密闭的方式按类别倒运至同类垃圾压缩间。</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垃圾处理：远期规划区的垃圾处理应纳入全市垃圾处理系统统一考虑，区内垃圾运往垃圾综合处理厂进行处理，实现垃圾处理的减量化、无害化和资源化。</w:t>
      </w:r>
    </w:p>
    <w:p>
      <w:pPr>
        <w:numPr>
          <w:ilvl w:val="0"/>
          <w:numId w:val="8"/>
        </w:numPr>
        <w:tabs>
          <w:tab w:val="left" w:pos="1080"/>
          <w:tab w:val="left" w:pos="1440"/>
        </w:tabs>
        <w:spacing w:line="360" w:lineRule="auto"/>
        <w:ind w:left="1440" w:hanging="1440" w:firstLineChars="0"/>
        <w:outlineLvl w:val="0"/>
        <w:rPr>
          <w:rFonts w:hint="eastAsia"/>
          <w:sz w:val="28"/>
        </w:rPr>
        <w:sectPr>
          <w:type w:val="nextPage"/>
          <w:pgSz w:w="23814" w:h="16840" w:orient="landscape"/>
          <w:pgMar w:top="1162" w:right="1270" w:bottom="1162" w:left="1230" w:header="851" w:footer="992" w:gutter="0"/>
          <w:pgNumType w:start="13"/>
          <w:cols w:num="2" w:space="1200" w:equalWidth="1"/>
          <w:titlePg w:val="0"/>
          <w:docGrid w:type="lines" w:linePitch="312"/>
        </w:sectPr>
      </w:pPr>
    </w:p>
    <w:p>
      <w:pPr>
        <w:numPr>
          <w:ilvl w:val="0"/>
          <w:numId w:val="0"/>
        </w:numPr>
        <w:tabs>
          <w:tab w:val="left" w:pos="1080"/>
          <w:tab w:val="left" w:pos="1440"/>
        </w:tabs>
        <w:spacing w:line="360" w:lineRule="auto"/>
        <w:ind w:left="0" w:hanging="1440" w:firstLineChars="0"/>
        <w:outlineLvl w:val="0"/>
        <w:rPr>
          <w:rFonts w:hint="eastAsia"/>
          <w:sz w:val="28"/>
        </w:rPr>
      </w:pPr>
      <w:r>
        <w:rPr>
          <w:rFonts w:hint="eastAsia"/>
          <w:sz w:val="28"/>
        </w:rPr>
        <w:t>公共厕所：公厕设施按建设部《城市环境卫生设施设置标准》设置。一般每平方公里不少于3座。流动人口密集的街道和商业闹市区道路，公厕间距为300</w:t>
      </w:r>
      <w:r>
        <w:rPr>
          <w:sz w:val="28"/>
        </w:rPr>
        <w:t>—</w:t>
      </w:r>
      <w:r>
        <w:rPr>
          <w:rFonts w:hint="eastAsia"/>
          <w:sz w:val="28"/>
        </w:rPr>
        <w:t>500m，一般街道为800m以内。</w:t>
      </w:r>
    </w:p>
    <w:p>
      <w:pPr>
        <w:pStyle w:val="27813"/>
        <w:tabs>
          <w:tab w:val="left" w:pos="720"/>
          <w:tab w:val="left" w:pos="900"/>
        </w:tabs>
        <w:rPr>
          <w:rFonts w:hint="eastAsia"/>
        </w:rPr>
      </w:pPr>
    </w:p>
    <w:p>
      <w:pPr>
        <w:tabs>
          <w:tab w:val="left" w:pos="1440"/>
        </w:tabs>
        <w:spacing w:line="360" w:lineRule="auto"/>
        <w:ind w:firstLine="0" w:firstLineChars="0"/>
        <w:outlineLvl w:val="0"/>
        <w:rPr>
          <w:rFonts w:hint="eastAsia"/>
          <w:sz w:val="28"/>
        </w:rPr>
      </w:pPr>
      <w:bookmarkEnd w:id="12"/>
    </w:p>
    <w:p>
      <w:pPr>
        <w:ind w:firstLine="480"/>
        <w:rPr>
          <w:rFonts w:hint="eastAsia"/>
        </w:rPr>
      </w:pPr>
    </w:p>
    <w:p>
      <w:pPr>
        <w:ind w:firstLine="0" w:firstLineChars="0"/>
        <w:rPr>
          <w:rFonts w:hint="eastAsia"/>
        </w:rPr>
      </w:pPr>
    </w:p>
    <w:p>
      <w:pPr>
        <w:pStyle w:val="Heading1"/>
        <w:tabs>
          <w:tab w:val="left" w:pos="432"/>
        </w:tabs>
        <w:rPr>
          <w:rFonts w:hint="eastAsia"/>
        </w:rPr>
      </w:pPr>
      <w:r>
        <w:rPr>
          <w:rFonts w:hint="eastAsia"/>
        </w:rPr>
        <w:t xml:space="preserve">  第九章 建筑高度及间距控制</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各地块中最高建筑的高度不应超过分图图册规定的建筑限高要求。</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根据城市空间及自然山体景观要求，本规划区内建筑高度控制最高不超过50米。</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全区的最高建筑为</w:t>
      </w:r>
      <w:r>
        <w:rPr>
          <w:rFonts w:hint="eastAsia"/>
          <w:sz w:val="28"/>
          <w:lang w:eastAsia="zh-CN"/>
        </w:rPr>
        <w:t>中</w:t>
      </w:r>
      <w:r>
        <w:rPr>
          <w:rFonts w:hint="eastAsia"/>
          <w:sz w:val="28"/>
        </w:rPr>
        <w:t>部</w:t>
      </w:r>
      <w:r>
        <w:rPr>
          <w:rFonts w:hint="eastAsia"/>
          <w:sz w:val="28"/>
          <w:lang w:eastAsia="zh-CN"/>
        </w:rPr>
        <w:t>前进路</w:t>
      </w:r>
      <w:r>
        <w:rPr>
          <w:rFonts w:hint="eastAsia"/>
          <w:sz w:val="28"/>
        </w:rPr>
        <w:t>与</w:t>
      </w:r>
      <w:r>
        <w:rPr>
          <w:rFonts w:hint="eastAsia"/>
          <w:sz w:val="28"/>
          <w:lang w:eastAsia="zh-CN"/>
        </w:rPr>
        <w:t>新兴街</w:t>
      </w:r>
      <w:r>
        <w:rPr>
          <w:rFonts w:hint="eastAsia"/>
          <w:sz w:val="28"/>
        </w:rPr>
        <w:t>附近居住、商业混合地块和</w:t>
      </w:r>
      <w:r>
        <w:rPr>
          <w:rFonts w:hint="eastAsia"/>
          <w:sz w:val="28"/>
          <w:lang w:eastAsia="zh-CN"/>
        </w:rPr>
        <w:t>前进街北侧县政府</w:t>
      </w:r>
      <w:r>
        <w:rPr>
          <w:rFonts w:hint="eastAsia"/>
          <w:sz w:val="28"/>
        </w:rPr>
        <w:t>附近居住、商业混合地块，控制高度不超过50米；沿主干路的商住用地，高度控制在</w:t>
      </w:r>
      <w:r>
        <w:rPr>
          <w:rFonts w:hint="eastAsia"/>
          <w:sz w:val="28"/>
          <w:lang w:val="en-US" w:eastAsia="zh-CN"/>
        </w:rPr>
        <w:t>24</w:t>
      </w:r>
      <w:r>
        <w:rPr>
          <w:rFonts w:hint="eastAsia"/>
          <w:sz w:val="28"/>
        </w:rPr>
        <w:t>米以下；邻近</w:t>
      </w:r>
      <w:r>
        <w:rPr>
          <w:rFonts w:hint="eastAsia"/>
          <w:sz w:val="28"/>
          <w:lang w:eastAsia="zh-CN"/>
        </w:rPr>
        <w:t>世纪广场</w:t>
      </w:r>
      <w:r>
        <w:rPr>
          <w:rFonts w:hint="eastAsia"/>
          <w:sz w:val="28"/>
        </w:rPr>
        <w:t>的南部居住用地和中心绿带西部两个居住用地，控制高度在</w:t>
      </w:r>
      <w:r>
        <w:rPr>
          <w:rFonts w:hint="eastAsia"/>
          <w:sz w:val="28"/>
          <w:lang w:val="en-US" w:eastAsia="zh-CN"/>
        </w:rPr>
        <w:t>20</w:t>
      </w:r>
      <w:r>
        <w:rPr>
          <w:rFonts w:hint="eastAsia"/>
          <w:sz w:val="28"/>
        </w:rPr>
        <w:t>米以下；区域其他居住用地以多层为主，高度控制在24米以下；中心绿带高度不超过6米。</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建筑间距除必须满足消防、卫生、环保、工程管线和建筑保护等方面要求外，应同时符合本章的规定。</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在满足图那么规定的前提下，居住建筑的间距必须满足下述要求：当住宅建筑正面朝向为正南方向时，最小间距不得低于遮挡建筑檐口高度的2.3倍，当住宅正面朝向为偏南方向时，最小间距可适当折减，朝向在偏南0～15</w:t>
      </w:r>
      <w:r>
        <w:rPr>
          <w:rFonts w:hint="eastAsia"/>
          <w:sz w:val="28"/>
        </w:rPr>
        <w:t>°</w:t>
      </w:r>
      <w:r>
        <w:rPr>
          <w:rFonts w:hint="eastAsia"/>
          <w:sz w:val="28"/>
        </w:rPr>
        <w:t>之间时，折减系数为1.0；朝向在15～30</w:t>
      </w:r>
      <w:r>
        <w:rPr>
          <w:rFonts w:hint="eastAsia"/>
          <w:sz w:val="28"/>
        </w:rPr>
        <w:t>°</w:t>
      </w:r>
      <w:r>
        <w:rPr>
          <w:rFonts w:hint="eastAsia"/>
          <w:sz w:val="28"/>
        </w:rPr>
        <w:t>之间，折减系数为0.9；朝向在30～45</w:t>
      </w:r>
      <w:r>
        <w:rPr>
          <w:rFonts w:hint="eastAsia"/>
          <w:sz w:val="28"/>
        </w:rPr>
        <w:t>°</w:t>
      </w:r>
      <w:r>
        <w:rPr>
          <w:rFonts w:hint="eastAsia"/>
          <w:sz w:val="28"/>
        </w:rPr>
        <w:t>之间折减系数为0.8；朝向在45～60</w:t>
      </w:r>
      <w:r>
        <w:rPr>
          <w:rFonts w:hint="eastAsia"/>
          <w:sz w:val="28"/>
        </w:rPr>
        <w:t>°</w:t>
      </w:r>
      <w:r>
        <w:rPr>
          <w:rFonts w:hint="eastAsia"/>
          <w:sz w:val="28"/>
        </w:rPr>
        <w:t>之间折减系数为0.9；朝向大于60</w:t>
      </w:r>
      <w:r>
        <w:rPr>
          <w:rFonts w:hint="eastAsia"/>
          <w:sz w:val="28"/>
        </w:rPr>
        <w:t>°</w:t>
      </w:r>
      <w:r>
        <w:rPr>
          <w:rFonts w:hint="eastAsia"/>
          <w:sz w:val="28"/>
        </w:rPr>
        <w:t>时，折减系数为0.95。遮挡建筑的高度是指遮挡建筑北侧的檐口高度。当遮挡建筑为坡顶时，且屋顶坡度大于40</w:t>
      </w:r>
      <w:r>
        <w:rPr>
          <w:rFonts w:hint="eastAsia"/>
          <w:sz w:val="28"/>
        </w:rPr>
        <w:t>°</w:t>
      </w:r>
      <w:r>
        <w:rPr>
          <w:rFonts w:hint="eastAsia"/>
          <w:sz w:val="28"/>
        </w:rPr>
        <w:t>角时，遮挡建筑高度按屋脊计算；多栋住宅建筑为一共同裙房时，遮挡建筑的高度计算应扣除裙房的高度。住宅的正面朝向应以南向或东南向为主。</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多层居住建筑底层有商店或其它非居住用房的，其间距计算不得扣除底层高度。</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托儿所和幼儿园的主要房间、中小学的教室与其遮挡建筑的距离必须到达冬至日满窗日照不少于</w:t>
      </w:r>
      <w:r>
        <w:rPr>
          <w:sz w:val="28"/>
        </w:rPr>
        <w:t>3</w:t>
      </w:r>
      <w:r>
        <w:rPr>
          <w:rFonts w:hint="eastAsia"/>
          <w:sz w:val="28"/>
        </w:rPr>
        <w:t>小时的日照标准。托儿所的活动场地必须满足有三分之一的活动面积在标准的建筑日照阴影线范围以外的要求。</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sectPr>
          <w:type w:val="nextPage"/>
          <w:pgSz w:w="23814" w:h="16840" w:orient="landscape"/>
          <w:pgMar w:top="1162" w:right="1270" w:bottom="1162" w:left="1230" w:header="851" w:footer="992" w:gutter="0"/>
          <w:pgNumType w:start="14"/>
          <w:cols w:num="2" w:space="1200" w:equalWidth="1"/>
          <w:titlePg w:val="0"/>
          <w:docGrid w:type="lines" w:linePitch="312"/>
        </w:sectPr>
      </w:pPr>
    </w:p>
    <w:p>
      <w:pPr>
        <w:pStyle w:val="Heading1"/>
        <w:tabs>
          <w:tab w:val="left" w:pos="432"/>
        </w:tabs>
        <w:rPr>
          <w:rFonts w:hint="eastAsia"/>
        </w:rPr>
      </w:pPr>
      <w:bookmarkStart w:id="35" w:name="_Toc59103155"/>
      <w:r>
        <w:rPr>
          <w:rFonts w:hint="eastAsia"/>
        </w:rPr>
        <w:t xml:space="preserve">  </w:t>
      </w:r>
      <w:bookmarkStart w:id="36" w:name="_Toc59415873"/>
      <w:bookmarkStart w:id="37" w:name="_Toc94589646"/>
      <w:r>
        <w:rPr>
          <w:rFonts w:hint="eastAsia"/>
        </w:rPr>
        <w:t>第十章 建筑物边界退让控制</w:t>
      </w:r>
      <w:bookmarkEnd w:id="35"/>
      <w:bookmarkEnd w:id="36"/>
      <w:bookmarkEnd w:id="37"/>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沿建筑基地边界和沿城市道路、公路、河道、铁路两侧以及电力线路保护区范围内的建筑物，其退让距离除必须符合消防、防汛和交通平安等方面的要求外，应同时符合本章的规定。</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沿城市道路的两侧多、低层建筑〔含高层建筑裙房〕后退城市主干道红线的距离不得小于10米，后退城市次干道红线的距离不得小于8米，后退城市支路红线距离不得小于5米。</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新建文化场馆、大型商场等有大量人流、车流集散的公共设施及包括住宅在内的高层建筑〔含高层建筑裙房〕，其面临城市道路的主要出入口后退道路红线的距离不得小于10米，并留出临时停车或回车的场地。</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道路交叉口四周的建筑物后退道路红线的距离，多、低层建筑不得小于</w:t>
      </w:r>
      <w:r>
        <w:rPr>
          <w:sz w:val="28"/>
        </w:rPr>
        <w:t>5</w:t>
      </w:r>
      <w:r>
        <w:rPr>
          <w:rFonts w:hint="eastAsia"/>
          <w:sz w:val="28"/>
        </w:rPr>
        <w:t>米，高层建筑不得小于10米〔均自道路红线直线段与曲线段的连接点算起〕。</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地块与地块之间考虑开设消防通道的可能，两侧需各退后用地边界3米。</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地块靠近绿地及广场一侧，按后退红线1.5米控制。</w:t>
      </w:r>
    </w:p>
    <w:p>
      <w:pPr>
        <w:numPr>
          <w:ilvl w:val="0"/>
          <w:numId w:val="8"/>
        </w:numPr>
        <w:tabs>
          <w:tab w:val="left" w:pos="1080"/>
          <w:tab w:val="left" w:pos="1440"/>
        </w:tabs>
        <w:spacing w:line="360" w:lineRule="auto"/>
        <w:ind w:left="1440" w:hanging="1440" w:firstLineChars="0"/>
        <w:outlineLvl w:val="0"/>
        <w:rPr>
          <w:rFonts w:hint="eastAsia"/>
          <w:sz w:val="28"/>
        </w:rPr>
      </w:pPr>
      <w:r>
        <w:rPr>
          <w:rFonts w:hint="eastAsia"/>
          <w:sz w:val="28"/>
        </w:rPr>
        <w:t>建筑物的围墙、根底、台阶、管线、阳台和附属设施，不得逾越道路规划红线。雨棚、阳台、招牌、灯饰等可在后退道路规划红线的距离内外挑，但其离室外地面的净空高度不得小于3米。</w:t>
      </w:r>
    </w:p>
    <w:p>
      <w:pPr>
        <w:numPr>
          <w:ilvl w:val="0"/>
          <w:numId w:val="8"/>
        </w:numPr>
        <w:tabs>
          <w:tab w:val="left" w:pos="1080"/>
          <w:tab w:val="left" w:pos="1440"/>
        </w:tabs>
        <w:spacing w:line="360" w:lineRule="auto"/>
        <w:ind w:left="1440" w:hanging="1440" w:firstLineChars="0"/>
        <w:outlineLvl w:val="0"/>
        <w:rPr>
          <w:sz w:val="28"/>
        </w:rPr>
      </w:pPr>
      <w:r>
        <w:rPr>
          <w:rFonts w:hint="eastAsia"/>
          <w:sz w:val="28"/>
        </w:rPr>
        <w:t>具体建筑工程的的退让距离除以本规划为根本原那么外，需同时满足消防及日照间距等相关标准要求。</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pStyle w:val="Heading1"/>
        <w:tabs>
          <w:tab w:val="left" w:pos="432"/>
        </w:tabs>
        <w:rPr>
          <w:rFonts w:hint="eastAsia"/>
        </w:rPr>
      </w:pPr>
      <w:bookmarkStart w:id="38" w:name="_Toc59415872"/>
      <w:bookmarkStart w:id="39" w:name="_Toc94589645"/>
      <w:r>
        <w:rPr>
          <w:rFonts w:hint="eastAsia"/>
        </w:rPr>
        <w:t xml:space="preserve">  第十一章 </w:t>
      </w:r>
      <w:bookmarkEnd w:id="38"/>
      <w:bookmarkEnd w:id="39"/>
      <w:r>
        <w:rPr>
          <w:rFonts w:hint="eastAsia"/>
        </w:rPr>
        <w:t>奖励与处分</w:t>
      </w:r>
    </w:p>
    <w:p>
      <w:pPr>
        <w:numPr>
          <w:ilvl w:val="0"/>
          <w:numId w:val="8"/>
        </w:numPr>
        <w:tabs>
          <w:tab w:val="left" w:pos="1080"/>
          <w:tab w:val="left" w:pos="1440"/>
        </w:tabs>
        <w:spacing w:line="360" w:lineRule="auto"/>
        <w:ind w:left="1440" w:hanging="1440" w:firstLineChars="0"/>
        <w:outlineLvl w:val="0"/>
        <w:rPr>
          <w:rFonts w:hint="eastAsia"/>
          <w:sz w:val="28"/>
        </w:rPr>
      </w:pPr>
      <w:r>
        <w:rPr>
          <w:sz w:val="28"/>
        </w:rPr>
        <w:t>容积率是指规划建设用地范围内全部建筑面积〔包括附属建筑物面积，不包括地下建筑面积、架空开放的建筑底层等建筑面积〕与规划建设用地面积的比例</w:t>
      </w:r>
      <w:r>
        <w:rPr>
          <w:rFonts w:hint="eastAsia"/>
          <w:sz w:val="28"/>
        </w:rPr>
        <w:t>。</w:t>
      </w:r>
    </w:p>
    <w:p>
      <w:pPr>
        <w:numPr>
          <w:ilvl w:val="0"/>
          <w:numId w:val="8"/>
        </w:numPr>
        <w:tabs>
          <w:tab w:val="left" w:pos="1080"/>
          <w:tab w:val="left" w:pos="1440"/>
        </w:tabs>
        <w:spacing w:line="360" w:lineRule="auto"/>
        <w:ind w:left="1440" w:hanging="1440" w:firstLineChars="0"/>
        <w:outlineLvl w:val="0"/>
        <w:rPr>
          <w:rFonts w:hint="eastAsia"/>
          <w:sz w:val="28"/>
        </w:rPr>
        <w:sectPr>
          <w:type w:val="nextPage"/>
          <w:pgSz w:w="23814" w:h="16840" w:orient="landscape"/>
          <w:pgMar w:top="1162" w:right="1270" w:bottom="1162" w:left="1230" w:header="851" w:footer="992" w:gutter="0"/>
          <w:pgNumType w:start="15"/>
          <w:cols w:num="2" w:space="1200" w:equalWidth="1"/>
          <w:titlePg w:val="0"/>
          <w:docGrid w:type="lines" w:linePitch="312"/>
        </w:sectPr>
      </w:pPr>
      <w:r>
        <w:rPr>
          <w:sz w:val="28"/>
        </w:rPr>
        <w:t>临近城市干道、广场、公园、内河水系等城市重点地段的建设工程</w:t>
      </w:r>
      <w:r>
        <w:rPr>
          <w:sz w:val="28"/>
        </w:rPr>
        <w:t xml:space="preserve"> ,</w:t>
      </w:r>
      <w:r>
        <w:rPr>
          <w:sz w:val="28"/>
        </w:rPr>
        <w:t xml:space="preserve"> 在测算建筑容积率时与其相对应的城市干道、广场和公园的50%</w:t>
      </w:r>
    </w:p>
    <w:p>
      <w:pPr>
        <w:numPr>
          <w:ilvl w:val="0"/>
          <w:numId w:val="0"/>
        </w:numPr>
        <w:tabs>
          <w:tab w:val="left" w:pos="1080"/>
          <w:tab w:val="left" w:pos="1440"/>
        </w:tabs>
        <w:spacing w:line="360" w:lineRule="auto"/>
        <w:ind w:left="0" w:hanging="1440" w:firstLineChars="0"/>
        <w:outlineLvl w:val="0"/>
        <w:rPr>
          <w:rFonts w:hint="eastAsia"/>
          <w:sz w:val="28"/>
        </w:rPr>
      </w:pPr>
      <w:r>
        <w:rPr>
          <w:sz w:val="28"/>
        </w:rPr>
        <w:t xml:space="preserve"> 用地可参与容积率平衡，平衡后的容积率不得超过</w:t>
      </w:r>
      <w:r>
        <w:rPr>
          <w:rFonts w:hint="eastAsia"/>
          <w:sz w:val="28"/>
        </w:rPr>
        <w:t>图那么</w:t>
      </w:r>
      <w:r>
        <w:rPr>
          <w:sz w:val="28"/>
        </w:rPr>
        <w:t>有关容积率的规定</w:t>
      </w:r>
      <w:r>
        <w:rPr>
          <w:rFonts w:hint="eastAsia"/>
          <w:sz w:val="28"/>
        </w:rPr>
        <w:t>。</w:t>
      </w:r>
    </w:p>
    <w:p>
      <w:pPr>
        <w:numPr>
          <w:ilvl w:val="0"/>
          <w:numId w:val="13"/>
        </w:numPr>
        <w:tabs>
          <w:tab w:val="left" w:pos="1080"/>
          <w:tab w:val="left" w:pos="1440"/>
        </w:tabs>
        <w:spacing w:line="360" w:lineRule="auto"/>
        <w:ind w:left="1440" w:hanging="1440" w:firstLineChars="0"/>
        <w:outlineLvl w:val="0"/>
        <w:rPr>
          <w:rFonts w:hint="eastAsia"/>
          <w:sz w:val="28"/>
        </w:rPr>
      </w:pPr>
      <w:r>
        <w:rPr>
          <w:sz w:val="28"/>
        </w:rPr>
        <w:t>建设单位拟提高容积率或增加地下建筑面积的，建设单位应向市政府提出申请，经市城市规划、建设、国土、房产等行政主管部门组成的联席会议研究确定是否调整容积率或地下建筑面积。原那么上住宅工程容积率增加幅度不应超过20%；公建工程容积率增加幅度不应超过40%。容积率或地下建筑面积调整后建设单位按照以下规定向市政府补交土地出让金，同时交纳相应的城市根底设施配套费</w:t>
      </w:r>
      <w:r>
        <w:rPr>
          <w:rFonts w:hint="eastAsia"/>
          <w:sz w:val="28"/>
        </w:rPr>
        <w:t>。</w:t>
      </w:r>
    </w:p>
    <w:p>
      <w:pPr>
        <w:numPr>
          <w:ilvl w:val="1"/>
          <w:numId w:val="7"/>
        </w:numPr>
        <w:tabs>
          <w:tab w:val="left" w:pos="1440"/>
          <w:tab w:val="left" w:pos="1980"/>
        </w:tabs>
        <w:spacing w:line="360" w:lineRule="auto"/>
        <w:ind w:left="1440" w:firstLineChars="0"/>
        <w:outlineLvl w:val="0"/>
        <w:rPr>
          <w:rFonts w:ascii="ˎ̥" w:hAnsi="ˎ̥" w:cs="宋体" w:hint="eastAsia"/>
          <w:kern w:val="0"/>
          <w:sz w:val="36"/>
          <w:szCs w:val="36"/>
        </w:rPr>
      </w:pPr>
      <w:r>
        <w:rPr>
          <w:sz w:val="28"/>
        </w:rPr>
        <w:t>地上住宅、公建建筑面积增加局部，综合考虑地类级差因素，建设单位按该工程土地用途的楼面地价2</w:t>
      </w:r>
      <w:r>
        <w:rPr>
          <w:rFonts w:hint="eastAsia"/>
          <w:sz w:val="28"/>
        </w:rPr>
        <w:softHyphen/>
      </w:r>
      <w:r>
        <w:rPr>
          <w:rFonts w:hint="eastAsia"/>
          <w:sz w:val="28"/>
        </w:rPr>
        <w:t>—</w:t>
      </w:r>
      <w:r>
        <w:rPr>
          <w:sz w:val="28"/>
        </w:rPr>
        <w:t>4倍补交土地出让金</w:t>
      </w:r>
      <w:r>
        <w:rPr>
          <w:rFonts w:hint="eastAsia"/>
          <w:sz w:val="28"/>
        </w:rPr>
        <w:t>。</w:t>
      </w:r>
    </w:p>
    <w:p>
      <w:pPr>
        <w:numPr>
          <w:ilvl w:val="1"/>
          <w:numId w:val="7"/>
        </w:numPr>
        <w:tabs>
          <w:tab w:val="left" w:pos="1440"/>
          <w:tab w:val="left" w:pos="1980"/>
        </w:tabs>
        <w:spacing w:line="360" w:lineRule="auto"/>
        <w:ind w:left="1440" w:firstLineChars="0"/>
        <w:outlineLvl w:val="0"/>
        <w:rPr>
          <w:rFonts w:hint="eastAsia"/>
          <w:sz w:val="28"/>
        </w:rPr>
      </w:pPr>
      <w:r>
        <w:rPr>
          <w:rFonts w:hint="eastAsia"/>
          <w:sz w:val="28"/>
        </w:rPr>
        <w:t>地</w:t>
      </w:r>
      <w:r>
        <w:rPr>
          <w:sz w:val="28"/>
        </w:rPr>
        <w:t>下建筑面积增加的工程，地下一层建筑面积增加局部按照该工程的楼面地价的30%补交土地出让金；地下二层建筑面积增加局部按照该工程的楼面地价的15% 补交土地出让金；地下三层建筑面积增加局部按照该工程的楼面地价的7.5%补交土地出让金</w:t>
      </w:r>
      <w:r>
        <w:rPr>
          <w:rFonts w:hint="eastAsia"/>
          <w:sz w:val="28"/>
        </w:rPr>
        <w:t>。</w:t>
      </w:r>
    </w:p>
    <w:p>
      <w:pPr>
        <w:numPr>
          <w:ilvl w:val="0"/>
          <w:numId w:val="13"/>
        </w:numPr>
        <w:tabs>
          <w:tab w:val="left" w:pos="1080"/>
          <w:tab w:val="left" w:pos="1440"/>
        </w:tabs>
        <w:spacing w:line="360" w:lineRule="auto"/>
        <w:ind w:left="1440" w:hanging="1440" w:firstLineChars="0"/>
        <w:outlineLvl w:val="0"/>
        <w:rPr>
          <w:rFonts w:hint="eastAsia"/>
          <w:sz w:val="28"/>
        </w:rPr>
      </w:pPr>
      <w:r>
        <w:rPr>
          <w:sz w:val="28"/>
        </w:rPr>
        <w:t>公建或住宅建设工程为城市提供公共空间及公益设施的建设工程可适当增加容积率</w:t>
      </w:r>
      <w:r>
        <w:rPr>
          <w:rFonts w:hint="eastAsia"/>
          <w:sz w:val="28"/>
        </w:rPr>
        <w:t>。</w:t>
      </w:r>
    </w:p>
    <w:p>
      <w:pPr>
        <w:numPr>
          <w:ilvl w:val="0"/>
          <w:numId w:val="9"/>
        </w:numPr>
        <w:tabs>
          <w:tab w:val="left" w:pos="1440"/>
          <w:tab w:val="clear" w:pos="1980"/>
        </w:tabs>
        <w:spacing w:line="360" w:lineRule="auto"/>
        <w:ind w:left="1440" w:firstLineChars="0"/>
        <w:outlineLvl w:val="0"/>
        <w:rPr>
          <w:rFonts w:hint="eastAsia"/>
          <w:sz w:val="28"/>
        </w:rPr>
      </w:pPr>
      <w:r>
        <w:rPr>
          <w:sz w:val="28"/>
        </w:rPr>
        <w:t>为城市提供常年开放，面积不小于150平方米的供市民自由使用的广场、绿地，并负责开放空间日常维修管理或承当日常维护管理费用的，每提供1平方米开放空间，根据开放空间地区控制容积率核定允许其增加建筑面积数量</w:t>
      </w:r>
      <w:r>
        <w:rPr>
          <w:rFonts w:hint="eastAsia"/>
          <w:sz w:val="28"/>
        </w:rPr>
        <w:t>。</w:t>
      </w:r>
    </w:p>
    <w:p>
      <w:pPr>
        <w:numPr>
          <w:ilvl w:val="0"/>
          <w:numId w:val="9"/>
        </w:numPr>
        <w:tabs>
          <w:tab w:val="left" w:pos="1440"/>
          <w:tab w:val="clear" w:pos="1980"/>
        </w:tabs>
        <w:spacing w:line="360" w:lineRule="auto"/>
        <w:ind w:left="1440" w:firstLineChars="0"/>
        <w:outlineLvl w:val="0"/>
        <w:rPr>
          <w:rFonts w:hint="eastAsia"/>
          <w:sz w:val="28"/>
        </w:rPr>
      </w:pPr>
      <w:r>
        <w:rPr>
          <w:rFonts w:hint="eastAsia"/>
          <w:sz w:val="28"/>
        </w:rPr>
        <w:t>额</w:t>
      </w:r>
      <w:r>
        <w:rPr>
          <w:sz w:val="28"/>
        </w:rPr>
        <w:t>外为城市提供公益设施〔公共厕所、文化活动场所及警务室、青少年、老年活动站室等〕，并向公众提供无偿使用的。每提供1平方米使用面积的，允许增加建筑面积6平方米</w:t>
      </w:r>
      <w:r>
        <w:rPr>
          <w:rFonts w:hint="eastAsia"/>
          <w:sz w:val="28"/>
        </w:rPr>
        <w:t>。</w:t>
      </w:r>
    </w:p>
    <w:p>
      <w:pPr>
        <w:numPr>
          <w:ilvl w:val="0"/>
          <w:numId w:val="9"/>
        </w:numPr>
        <w:tabs>
          <w:tab w:val="left" w:pos="1440"/>
          <w:tab w:val="clear" w:pos="1980"/>
        </w:tabs>
        <w:spacing w:line="360" w:lineRule="auto"/>
        <w:ind w:left="1440" w:firstLineChars="0"/>
        <w:outlineLvl w:val="0"/>
        <w:rPr>
          <w:rFonts w:hint="eastAsia"/>
          <w:sz w:val="28"/>
        </w:rPr>
      </w:pPr>
      <w:r>
        <w:rPr>
          <w:sz w:val="28"/>
        </w:rPr>
        <w:t>建设工程为保护建筑提供欣赏空间或维护资金的，每提供 1 平方开放空间，允许增加建筑面积6平方米。修缮国、省、市级保护建筑的可以按其修缮工程费用的2倍，按工程的楼面地价折算成容积率予以奖励</w:t>
      </w:r>
      <w:r>
        <w:rPr>
          <w:rFonts w:hint="eastAsia"/>
          <w:sz w:val="28"/>
        </w:rPr>
        <w:t>。</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pStyle w:val="Heading1"/>
        <w:tabs>
          <w:tab w:val="left" w:pos="432"/>
        </w:tabs>
        <w:rPr>
          <w:rFonts w:hint="eastAsia"/>
          <w:sz w:val="28"/>
        </w:rPr>
      </w:pPr>
      <w:bookmarkStart w:id="40" w:name="_Toc59103160"/>
      <w:bookmarkStart w:id="41" w:name="_Toc59415877"/>
      <w:bookmarkStart w:id="42" w:name="_Toc94589647"/>
      <w:r>
        <w:rPr>
          <w:rFonts w:hint="eastAsia"/>
        </w:rPr>
        <w:t>附录</w:t>
      </w:r>
      <w:r>
        <w:t xml:space="preserve">  </w:t>
      </w:r>
      <w:r>
        <w:rPr>
          <w:rFonts w:hint="eastAsia"/>
        </w:rPr>
        <w:t>名词解释</w:t>
      </w:r>
      <w:bookmarkEnd w:id="40"/>
      <w:bookmarkEnd w:id="41"/>
      <w:bookmarkEnd w:id="42"/>
    </w:p>
    <w:p>
      <w:pPr>
        <w:spacing w:line="360" w:lineRule="auto"/>
        <w:ind w:firstLine="560"/>
        <w:outlineLvl w:val="0"/>
        <w:rPr>
          <w:rFonts w:hint="eastAsia"/>
          <w:sz w:val="28"/>
        </w:rPr>
      </w:pPr>
      <w:r>
        <w:rPr>
          <w:sz w:val="28"/>
        </w:rPr>
        <w:t>1.</w:t>
      </w:r>
      <w:r>
        <w:rPr>
          <w:rFonts w:hint="eastAsia"/>
          <w:sz w:val="28"/>
        </w:rPr>
        <w:t>地  块：由城市道路或不同用地性质界线围合出的大小不等的城市用地。</w:t>
      </w:r>
    </w:p>
    <w:p>
      <w:pPr>
        <w:spacing w:line="360" w:lineRule="auto"/>
        <w:ind w:left="1962" w:hanging="1400" w:leftChars="234" w:hangingChars="500"/>
        <w:outlineLvl w:val="0"/>
        <w:rPr>
          <w:rFonts w:hint="eastAsia"/>
          <w:sz w:val="28"/>
        </w:rPr>
      </w:pPr>
      <w:r>
        <w:rPr>
          <w:sz w:val="28"/>
        </w:rPr>
        <w:t>2.</w:t>
      </w:r>
      <w:r>
        <w:rPr>
          <w:rFonts w:hint="eastAsia"/>
          <w:sz w:val="28"/>
        </w:rPr>
        <w:t>容积率：规划地块内建筑总面积与规划地块面积之比。图那么中所提容积率一般为上限值，即须小于或等于。</w:t>
      </w:r>
    </w:p>
    <w:p>
      <w:pPr>
        <w:spacing w:line="360" w:lineRule="auto"/>
        <w:ind w:left="1962" w:hanging="1400" w:leftChars="234" w:hangingChars="500"/>
        <w:outlineLvl w:val="0"/>
        <w:rPr>
          <w:rFonts w:hint="eastAsia"/>
          <w:sz w:val="28"/>
        </w:rPr>
      </w:pPr>
      <w:r>
        <w:rPr>
          <w:rFonts w:hint="eastAsia"/>
          <w:sz w:val="28"/>
        </w:rPr>
        <w:t>3</w:t>
      </w:r>
      <w:r>
        <w:rPr>
          <w:sz w:val="28"/>
        </w:rPr>
        <w:t>.</w:t>
      </w:r>
      <w:r>
        <w:rPr>
          <w:rFonts w:hint="eastAsia"/>
          <w:sz w:val="28"/>
        </w:rPr>
        <w:t>绿地率：规划地块内绿地面积与规划地块面积之比，以百分比计。绿地面积的计算包括：公共绿地、宅旁绿地、公共效劳设施所属绿地，但不包括屋顶、天台、垂直绿化。图那么中所提绿地率均为下限，即须大于或等于。</w:t>
      </w:r>
    </w:p>
    <w:p>
      <w:pPr>
        <w:spacing w:line="360" w:lineRule="auto"/>
        <w:ind w:left="2242" w:hanging="1680" w:leftChars="234" w:hangingChars="600"/>
        <w:outlineLvl w:val="0"/>
        <w:rPr>
          <w:rFonts w:hint="eastAsia"/>
          <w:sz w:val="28"/>
        </w:rPr>
        <w:sectPr>
          <w:type w:val="nextPage"/>
          <w:pgSz w:w="23814" w:h="16840" w:orient="landscape"/>
          <w:pgMar w:top="1162" w:right="1270" w:bottom="1162" w:left="1230" w:header="851" w:footer="992" w:gutter="0"/>
          <w:pgNumType w:start="16"/>
          <w:cols w:num="2" w:space="1200" w:equalWidth="1"/>
          <w:titlePg w:val="0"/>
          <w:docGrid w:type="lines" w:linePitch="312"/>
        </w:sectPr>
      </w:pPr>
      <w:r>
        <w:rPr>
          <w:rFonts w:hint="eastAsia"/>
          <w:sz w:val="28"/>
        </w:rPr>
        <w:t>4</w:t>
      </w:r>
      <w:r>
        <w:rPr>
          <w:sz w:val="28"/>
        </w:rPr>
        <w:t>.</w:t>
      </w:r>
      <w:r>
        <w:rPr>
          <w:rFonts w:hint="eastAsia"/>
          <w:sz w:val="28"/>
        </w:rPr>
        <w:t>建筑密度：建筑占地面积与规划地块面积之比，以百分比计。图那么中所提建筑密度均为上限值，即须小于或等于。</w:t>
      </w:r>
    </w:p>
    <w:p>
      <w:pPr>
        <w:spacing w:line="360" w:lineRule="auto"/>
        <w:ind w:left="2242" w:hanging="1680" w:leftChars="234" w:hangingChars="600"/>
        <w:outlineLvl w:val="0"/>
        <w:rPr>
          <w:rFonts w:hint="eastAsia"/>
          <w:sz w:val="28"/>
        </w:rPr>
      </w:pPr>
      <w:r>
        <w:rPr>
          <w:rFonts w:hint="eastAsia"/>
          <w:sz w:val="28"/>
        </w:rPr>
        <w:t>5</w:t>
      </w:r>
      <w:r>
        <w:rPr>
          <w:sz w:val="28"/>
        </w:rPr>
        <w:t>.</w:t>
      </w:r>
      <w:r>
        <w:rPr>
          <w:rFonts w:hint="eastAsia"/>
          <w:sz w:val="28"/>
        </w:rPr>
        <w:t>建筑限高：地块内建筑物允许建造的最大高度，以建筑室外明沟面或散水坡至主体最高点垂直距离计。</w:t>
      </w:r>
    </w:p>
    <w:p>
      <w:pPr>
        <w:ind w:left="3362" w:hanging="2800" w:leftChars="234" w:hangingChars="1000"/>
        <w:rPr>
          <w:rFonts w:hint="eastAsia"/>
          <w:sz w:val="28"/>
        </w:rPr>
      </w:pPr>
      <w:r>
        <w:rPr>
          <w:rFonts w:hint="eastAsia"/>
          <w:sz w:val="28"/>
        </w:rPr>
        <w:t>6</w:t>
      </w:r>
      <w:r>
        <w:rPr>
          <w:sz w:val="28"/>
        </w:rPr>
        <w:t>.</w:t>
      </w:r>
      <w:r>
        <w:rPr>
          <w:rFonts w:hint="eastAsia"/>
          <w:sz w:val="28"/>
        </w:rPr>
        <w:t>建筑后退红线距离：建筑相对于规划地块某边界后退的距离。图那么中所提建筑退线均为最小距离限值，即须大于或等于。</w:t>
      </w:r>
    </w:p>
    <w:p>
      <w:pPr>
        <w:tabs>
          <w:tab w:val="left" w:pos="1440"/>
        </w:tabs>
        <w:spacing w:line="360" w:lineRule="auto"/>
        <w:ind w:left="2802" w:hanging="2240" w:leftChars="234" w:hangingChars="800"/>
        <w:outlineLvl w:val="0"/>
        <w:rPr>
          <w:rFonts w:hint="eastAsia"/>
          <w:sz w:val="28"/>
        </w:rPr>
      </w:pPr>
      <w:r>
        <w:rPr>
          <w:rFonts w:hint="eastAsia"/>
          <w:sz w:val="28"/>
        </w:rPr>
        <w:t>7</w:t>
      </w:r>
      <w:r>
        <w:rPr>
          <w:sz w:val="28"/>
        </w:rPr>
        <w:t>.</w:t>
      </w:r>
      <w:r>
        <w:rPr>
          <w:rFonts w:hint="eastAsia"/>
          <w:sz w:val="28"/>
        </w:rPr>
        <w:t>配建停车泊位：指地块内必须建设的与建设工程相配套的机动车停车位数。图那么规定配建停车位数量为下限，即须大于或等于。停车泊位应满足不同功能用地的使用要求，泊位计算包括室外停车场和室内停车库两局部。各类建筑工程配建停车场指标参考有关城市的规定及相应的标准。</w:t>
      </w:r>
    </w:p>
    <w:p>
      <w:pPr>
        <w:tabs>
          <w:tab w:val="left" w:pos="1440"/>
        </w:tabs>
        <w:spacing w:line="360" w:lineRule="auto"/>
        <w:ind w:firstLine="0" w:firstLineChars="0"/>
        <w:outlineLvl w:val="0"/>
        <w:rPr>
          <w:rFonts w:hint="eastAsia"/>
          <w:sz w:val="28"/>
        </w:rPr>
      </w:pPr>
    </w:p>
    <w:p>
      <w:pPr>
        <w:tabs>
          <w:tab w:val="left" w:pos="1440"/>
        </w:tabs>
        <w:spacing w:line="360" w:lineRule="auto"/>
        <w:ind w:firstLine="0" w:firstLineChars="0"/>
        <w:outlineLvl w:val="0"/>
        <w:rPr>
          <w:rFonts w:hint="eastAsia"/>
          <w:sz w:val="28"/>
        </w:rPr>
      </w:pPr>
    </w:p>
    <w:p>
      <w:pPr>
        <w:pStyle w:val="Heading1"/>
        <w:tabs>
          <w:tab w:val="left" w:pos="432"/>
        </w:tabs>
        <w:rPr>
          <w:rFonts w:hint="eastAsia"/>
        </w:rPr>
      </w:pPr>
      <w:r>
        <w:rPr>
          <w:rFonts w:hint="eastAsia"/>
        </w:rPr>
        <w:t>附表</w:t>
      </w:r>
    </w:p>
    <w:tbl>
      <w:tblPr>
        <w:tblStyle w:val="TableNormal"/>
        <w:jc w:val="center"/>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636"/>
        <w:gridCol w:w="1072"/>
        <w:gridCol w:w="1072"/>
        <w:gridCol w:w="1656"/>
        <w:gridCol w:w="576"/>
        <w:gridCol w:w="1056"/>
        <w:gridCol w:w="1266"/>
        <w:gridCol w:w="942"/>
      </w:tblGrid>
      <w:tr>
        <w:tblPrEx>
          <w:jc w:val="center"/>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8276" w:type="dxa"/>
            <w:gridSpan w:val="8"/>
            <w:tcBorders>
              <w:top w:val="nil"/>
              <w:left w:val="nil"/>
              <w:bottom w:val="nil"/>
              <w:right w:val="nil"/>
            </w:tcBorders>
            <w:vAlign w:val="center"/>
          </w:tcPr>
          <w:p>
            <w:pPr>
              <w:spacing w:line="360" w:lineRule="auto"/>
              <w:ind w:firstLine="0" w:firstLineChars="0"/>
              <w:outlineLvl w:val="0"/>
              <w:rPr>
                <w:sz w:val="28"/>
              </w:rPr>
            </w:pPr>
            <w:r>
              <w:rPr>
                <w:rFonts w:hint="eastAsia"/>
                <w:sz w:val="28"/>
              </w:rPr>
              <w:t>附表一：用地平衡表</w:t>
            </w:r>
          </w:p>
        </w:tc>
      </w:tr>
      <w:tr>
        <w:tblPrEx>
          <w:jc w:val="center"/>
          <w:tblInd w:w="93" w:type="dxa"/>
          <w:tblLayout w:type="fixed"/>
          <w:tblCellMar>
            <w:top w:w="0" w:type="dxa"/>
            <w:left w:w="108" w:type="dxa"/>
            <w:bottom w:w="0" w:type="dxa"/>
            <w:right w:w="108" w:type="dxa"/>
          </w:tblCellMar>
          <w:tblLook w:val="0000"/>
        </w:tblPrEx>
        <w:trPr>
          <w:jc w:val="center"/>
        </w:trPr>
        <w:tc>
          <w:tcPr>
            <w:tcW w:w="8276" w:type="dxa"/>
            <w:gridSpan w:val="8"/>
            <w:tcBorders>
              <w:top w:val="nil"/>
              <w:left w:val="nil"/>
              <w:bottom w:val="single" w:sz="6" w:space="0" w:color="auto"/>
              <w:right w:val="nil"/>
            </w:tcBorders>
            <w:vAlign w:val="center"/>
          </w:tcPr>
          <w:p>
            <w:pPr>
              <w:widowControl/>
              <w:spacing w:line="240" w:lineRule="auto"/>
              <w:ind w:firstLine="0" w:firstLineChars="0"/>
              <w:jc w:val="right"/>
              <w:rPr>
                <w:rFonts w:ascii="宋体" w:hAnsi="宋体" w:cs="宋体"/>
                <w:kern w:val="0"/>
                <w:sz w:val="20"/>
                <w:szCs w:val="20"/>
              </w:rPr>
            </w:pPr>
            <w:r>
              <w:rPr>
                <w:rFonts w:ascii="宋体" w:hAnsi="宋体" w:cs="宋体" w:hint="eastAsia"/>
                <w:kern w:val="0"/>
                <w:sz w:val="20"/>
                <w:szCs w:val="20"/>
              </w:rPr>
              <w:t>(单位：公顷、%、平方米/人)</w:t>
            </w:r>
          </w:p>
        </w:tc>
      </w:tr>
      <w:tr>
        <w:tblPrEx>
          <w:jc w:val="center"/>
          <w:tblInd w:w="93" w:type="dxa"/>
          <w:tblLayout w:type="fixed"/>
          <w:tblCellMar>
            <w:top w:w="0" w:type="dxa"/>
            <w:left w:w="108" w:type="dxa"/>
            <w:bottom w:w="0" w:type="dxa"/>
            <w:right w:w="108" w:type="dxa"/>
          </w:tblCellMar>
          <w:tblLook w:val="0000"/>
        </w:tblPrEx>
        <w:trPr>
          <w:jc w:val="center"/>
        </w:trPr>
        <w:tc>
          <w:tcPr>
            <w:tcW w:w="636" w:type="dxa"/>
            <w:tcBorders>
              <w:top w:val="single" w:sz="6" w:space="0" w:color="auto"/>
            </w:tcBorders>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序号</w:t>
            </w:r>
          </w:p>
        </w:tc>
        <w:tc>
          <w:tcPr>
            <w:tcW w:w="4376" w:type="dxa"/>
            <w:gridSpan w:val="4"/>
            <w:tcBorders>
              <w:top w:val="single" w:sz="6" w:space="0" w:color="auto"/>
            </w:tcBorders>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用地名称</w:t>
            </w:r>
          </w:p>
        </w:tc>
        <w:tc>
          <w:tcPr>
            <w:tcW w:w="1056" w:type="dxa"/>
            <w:tcBorders>
              <w:top w:val="single" w:sz="6" w:space="0" w:color="auto"/>
            </w:tcBorders>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用地面积</w:t>
            </w:r>
          </w:p>
        </w:tc>
        <w:tc>
          <w:tcPr>
            <w:tcW w:w="1266" w:type="dxa"/>
            <w:tcBorders>
              <w:top w:val="single" w:sz="6" w:space="0" w:color="auto"/>
            </w:tcBorders>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占城市建设</w:t>
            </w:r>
          </w:p>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用地比重</w:t>
            </w:r>
          </w:p>
        </w:tc>
        <w:tc>
          <w:tcPr>
            <w:tcW w:w="942" w:type="dxa"/>
            <w:tcBorders>
              <w:top w:val="single" w:sz="6" w:space="0" w:color="auto"/>
            </w:tcBorders>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人均用</w:t>
            </w:r>
          </w:p>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地面积</w:t>
            </w:r>
          </w:p>
        </w:tc>
      </w:tr>
      <w:tr>
        <w:tblPrEx>
          <w:jc w:val="center"/>
          <w:tblInd w:w="93" w:type="dxa"/>
          <w:tblLayout w:type="fixed"/>
          <w:tblCellMar>
            <w:top w:w="0" w:type="dxa"/>
            <w:left w:w="108" w:type="dxa"/>
            <w:bottom w:w="0" w:type="dxa"/>
            <w:right w:w="108" w:type="dxa"/>
          </w:tblCellMar>
          <w:tblLook w:val="0000"/>
        </w:tblPrEx>
        <w:trPr>
          <w:cantSplit/>
          <w:jc w:val="center"/>
        </w:trPr>
        <w:tc>
          <w:tcPr>
            <w:tcW w:w="636" w:type="dxa"/>
            <w:vMerge w:val="restart"/>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1</w:t>
            </w:r>
          </w:p>
        </w:tc>
        <w:tc>
          <w:tcPr>
            <w:tcW w:w="2144"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居住用地</w:t>
            </w:r>
          </w:p>
        </w:tc>
        <w:tc>
          <w:tcPr>
            <w:tcW w:w="2232"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R</w:t>
            </w:r>
          </w:p>
        </w:tc>
        <w:tc>
          <w:tcPr>
            <w:tcW w:w="1056" w:type="dxa"/>
            <w:vAlign w:val="center"/>
          </w:tcPr>
          <w:p>
            <w:pPr>
              <w:widowControl/>
              <w:spacing w:line="240" w:lineRule="auto"/>
              <w:ind w:firstLine="0" w:firstLineChars="0"/>
              <w:jc w:val="right"/>
              <w:rPr>
                <w:rFonts w:ascii="宋体" w:hAnsi="宋体" w:cs="宋体"/>
                <w:b/>
                <w:bCs/>
                <w:kern w:val="0"/>
              </w:rPr>
            </w:pPr>
            <w:r>
              <w:rPr>
                <w:rFonts w:ascii="宋体" w:hAnsi="宋体" w:cs="宋体" w:hint="eastAsia"/>
                <w:b/>
                <w:bCs/>
                <w:kern w:val="0"/>
              </w:rPr>
              <w:t>182.80</w:t>
            </w:r>
          </w:p>
        </w:tc>
        <w:tc>
          <w:tcPr>
            <w:tcW w:w="1266"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39.97%</w:t>
            </w:r>
          </w:p>
        </w:tc>
        <w:tc>
          <w:tcPr>
            <w:tcW w:w="942"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47.98</w:t>
            </w:r>
          </w:p>
        </w:tc>
      </w:tr>
      <w:tr>
        <w:tblPrEx>
          <w:jc w:val="center"/>
          <w:tblInd w:w="93" w:type="dxa"/>
          <w:tblLayout w:type="fixed"/>
          <w:tblCellMar>
            <w:top w:w="0" w:type="dxa"/>
            <w:left w:w="108" w:type="dxa"/>
            <w:bottom w:w="0" w:type="dxa"/>
            <w:right w:w="108" w:type="dxa"/>
          </w:tblCellMar>
          <w:tblLook w:val="0000"/>
        </w:tblPrEx>
        <w:trPr>
          <w:cantSplit/>
          <w:jc w:val="center"/>
        </w:trPr>
        <w:tc>
          <w:tcPr>
            <w:tcW w:w="1" w:type="dxa"/>
            <w:vMerge/>
            <w:vAlign w:val="center"/>
          </w:tcPr>
          <w:p>
            <w:pPr>
              <w:widowControl/>
              <w:spacing w:line="240" w:lineRule="auto"/>
              <w:ind w:firstLine="0" w:firstLineChars="0"/>
              <w:jc w:val="left"/>
              <w:rPr>
                <w:rFonts w:ascii="宋体" w:hAnsi="宋体" w:cs="宋体"/>
                <w:kern w:val="0"/>
              </w:rPr>
            </w:pPr>
          </w:p>
        </w:tc>
        <w:tc>
          <w:tcPr>
            <w:tcW w:w="2144" w:type="dxa"/>
            <w:gridSpan w:val="2"/>
            <w:vMerge w:val="restart"/>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其中</w:t>
            </w:r>
          </w:p>
        </w:tc>
        <w:tc>
          <w:tcPr>
            <w:tcW w:w="165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商住混合用地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CR</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48.18</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10.53%</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12.65</w:t>
            </w:r>
          </w:p>
        </w:tc>
      </w:tr>
      <w:tr>
        <w:tblPrEx>
          <w:jc w:val="center"/>
          <w:tblInd w:w="93" w:type="dxa"/>
          <w:tblLayout w:type="fixed"/>
          <w:tblCellMar>
            <w:top w:w="0" w:type="dxa"/>
            <w:left w:w="108" w:type="dxa"/>
            <w:bottom w:w="0" w:type="dxa"/>
            <w:right w:w="108" w:type="dxa"/>
          </w:tblCellMar>
          <w:tblLook w:val="0000"/>
        </w:tblPrEx>
        <w:trPr>
          <w:cantSplit/>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gridSpan w:val="2"/>
            <w:vMerge/>
            <w:vAlign w:val="center"/>
          </w:tcPr>
          <w:p>
            <w:pPr>
              <w:widowControl/>
              <w:spacing w:line="240" w:lineRule="auto"/>
              <w:ind w:firstLine="0" w:firstLineChars="0"/>
              <w:jc w:val="left"/>
              <w:rPr>
                <w:rFonts w:ascii="宋体" w:hAnsi="宋体" w:cs="宋体"/>
                <w:kern w:val="0"/>
              </w:rPr>
            </w:pPr>
          </w:p>
        </w:tc>
        <w:tc>
          <w:tcPr>
            <w:tcW w:w="165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一类居住用地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R1</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34.63</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7.57%</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9.09</w:t>
            </w:r>
          </w:p>
        </w:tc>
      </w:tr>
      <w:tr>
        <w:tblPrEx>
          <w:jc w:val="center"/>
          <w:tblInd w:w="93" w:type="dxa"/>
          <w:tblLayout w:type="fixed"/>
          <w:tblCellMar>
            <w:top w:w="0" w:type="dxa"/>
            <w:left w:w="108" w:type="dxa"/>
            <w:bottom w:w="0" w:type="dxa"/>
            <w:right w:w="108" w:type="dxa"/>
          </w:tblCellMar>
          <w:tblLook w:val="0000"/>
        </w:tblPrEx>
        <w:trPr>
          <w:cantSplit/>
          <w:trHeight w:val="299"/>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gridSpan w:val="2"/>
            <w:vMerge/>
            <w:vAlign w:val="center"/>
          </w:tcPr>
          <w:p>
            <w:pPr>
              <w:widowControl/>
              <w:spacing w:line="240" w:lineRule="auto"/>
              <w:ind w:firstLine="0" w:firstLineChars="0"/>
              <w:jc w:val="left"/>
              <w:rPr>
                <w:rFonts w:ascii="宋体" w:hAnsi="宋体" w:cs="宋体"/>
                <w:kern w:val="0"/>
              </w:rPr>
            </w:pPr>
          </w:p>
        </w:tc>
        <w:tc>
          <w:tcPr>
            <w:tcW w:w="1656" w:type="dxa"/>
            <w:vAlign w:val="center"/>
          </w:tcPr>
          <w:p>
            <w:pPr>
              <w:widowControl/>
              <w:spacing w:line="240" w:lineRule="auto"/>
              <w:ind w:firstLine="0" w:firstLineChars="0"/>
              <w:jc w:val="left"/>
              <w:rPr>
                <w:rFonts w:ascii="宋体" w:hAnsi="宋体" w:cs="宋体" w:hint="eastAsia"/>
                <w:kern w:val="0"/>
              </w:rPr>
            </w:pPr>
            <w:r>
              <w:rPr>
                <w:rFonts w:ascii="宋体" w:hAnsi="宋体" w:cs="宋体" w:hint="eastAsia"/>
                <w:kern w:val="0"/>
              </w:rPr>
              <w:t>二类居住用地</w:t>
            </w:r>
          </w:p>
        </w:tc>
        <w:tc>
          <w:tcPr>
            <w:tcW w:w="576" w:type="dxa"/>
            <w:vAlign w:val="center"/>
          </w:tcPr>
          <w:p>
            <w:pPr>
              <w:ind w:firstLine="0" w:firstLineChars="0"/>
              <w:jc w:val="left"/>
              <w:rPr>
                <w:rFonts w:ascii="宋体" w:hAnsi="宋体" w:cs="宋体"/>
                <w:kern w:val="0"/>
              </w:rPr>
            </w:pPr>
            <w:r>
              <w:rPr>
                <w:rFonts w:ascii="宋体" w:hAnsi="宋体" w:cs="宋体" w:hint="eastAsia"/>
                <w:kern w:val="0"/>
              </w:rPr>
              <w:t>R2</w:t>
            </w:r>
          </w:p>
        </w:tc>
        <w:tc>
          <w:tcPr>
            <w:tcW w:w="1056" w:type="dxa"/>
            <w:vAlign w:val="center"/>
          </w:tcPr>
          <w:p>
            <w:pPr>
              <w:widowControl/>
              <w:spacing w:line="240" w:lineRule="auto"/>
              <w:ind w:firstLine="0" w:firstLineChars="0"/>
              <w:jc w:val="right"/>
              <w:rPr>
                <w:rFonts w:ascii="宋体" w:hAnsi="宋体" w:cs="宋体" w:hint="eastAsia"/>
                <w:kern w:val="0"/>
                <w:sz w:val="21"/>
                <w:szCs w:val="21"/>
              </w:rPr>
            </w:pPr>
            <w:r>
              <w:rPr>
                <w:rFonts w:ascii="宋体" w:hAnsi="宋体" w:cs="宋体" w:hint="eastAsia"/>
                <w:kern w:val="0"/>
                <w:sz w:val="21"/>
                <w:szCs w:val="21"/>
              </w:rPr>
              <w:t>99.99</w:t>
            </w:r>
          </w:p>
        </w:tc>
        <w:tc>
          <w:tcPr>
            <w:tcW w:w="1266"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21.87%</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26.24</w:t>
            </w:r>
          </w:p>
        </w:tc>
      </w:tr>
      <w:tr>
        <w:tblPrEx>
          <w:jc w:val="center"/>
          <w:tblInd w:w="93" w:type="dxa"/>
          <w:tblLayout w:type="fixed"/>
          <w:tblCellMar>
            <w:top w:w="0" w:type="dxa"/>
            <w:left w:w="108" w:type="dxa"/>
            <w:bottom w:w="0" w:type="dxa"/>
            <w:right w:w="108" w:type="dxa"/>
          </w:tblCellMar>
          <w:tblLook w:val="0000"/>
        </w:tblPrEx>
        <w:trPr>
          <w:cantSplit/>
          <w:jc w:val="center"/>
        </w:trPr>
        <w:tc>
          <w:tcPr>
            <w:tcW w:w="636" w:type="dxa"/>
            <w:vMerge w:val="restart"/>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2</w:t>
            </w:r>
          </w:p>
        </w:tc>
        <w:tc>
          <w:tcPr>
            <w:tcW w:w="2144"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公共设施用地</w:t>
            </w:r>
          </w:p>
        </w:tc>
        <w:tc>
          <w:tcPr>
            <w:tcW w:w="2232"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C</w:t>
            </w:r>
          </w:p>
        </w:tc>
        <w:tc>
          <w:tcPr>
            <w:tcW w:w="1056" w:type="dxa"/>
            <w:vAlign w:val="center"/>
          </w:tcPr>
          <w:p>
            <w:pPr>
              <w:widowControl/>
              <w:spacing w:line="240" w:lineRule="auto"/>
              <w:ind w:firstLine="0" w:firstLineChars="0"/>
              <w:jc w:val="right"/>
              <w:rPr>
                <w:rFonts w:ascii="宋体" w:hAnsi="宋体" w:cs="宋体"/>
                <w:b/>
                <w:bCs/>
                <w:kern w:val="0"/>
              </w:rPr>
            </w:pPr>
            <w:r>
              <w:rPr>
                <w:rFonts w:ascii="宋体" w:hAnsi="宋体" w:cs="宋体" w:hint="eastAsia"/>
                <w:b/>
                <w:bCs/>
                <w:kern w:val="0"/>
              </w:rPr>
              <w:t xml:space="preserve">76.37 </w:t>
            </w:r>
          </w:p>
        </w:tc>
        <w:tc>
          <w:tcPr>
            <w:tcW w:w="1266"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17.70%</w:t>
            </w:r>
          </w:p>
        </w:tc>
        <w:tc>
          <w:tcPr>
            <w:tcW w:w="942"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20.04</w:t>
            </w:r>
          </w:p>
        </w:tc>
      </w:tr>
      <w:tr>
        <w:tblPrEx>
          <w:jc w:val="center"/>
          <w:tblInd w:w="93" w:type="dxa"/>
          <w:tblLayout w:type="fixed"/>
          <w:tblCellMar>
            <w:top w:w="0" w:type="dxa"/>
            <w:left w:w="108" w:type="dxa"/>
            <w:bottom w:w="0" w:type="dxa"/>
            <w:right w:w="108" w:type="dxa"/>
          </w:tblCellMar>
          <w:tblLook w:val="0000"/>
        </w:tblPrEx>
        <w:trPr>
          <w:cantSplit/>
          <w:trHeight w:val="78"/>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072" w:type="dxa"/>
            <w:vMerge w:val="restart"/>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其中</w:t>
            </w:r>
          </w:p>
        </w:tc>
        <w:tc>
          <w:tcPr>
            <w:tcW w:w="2728" w:type="dxa"/>
            <w:gridSpan w:val="2"/>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商业金融用地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C2</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14.55</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3.18%</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3.82</w:t>
            </w:r>
          </w:p>
        </w:tc>
      </w:tr>
      <w:tr>
        <w:tblPrEx>
          <w:jc w:val="center"/>
          <w:tblInd w:w="93" w:type="dxa"/>
          <w:tblLayout w:type="fixed"/>
          <w:tblCellMar>
            <w:top w:w="0" w:type="dxa"/>
            <w:left w:w="108" w:type="dxa"/>
            <w:bottom w:w="0" w:type="dxa"/>
            <w:right w:w="108" w:type="dxa"/>
          </w:tblCellMar>
          <w:tblLook w:val="0000"/>
        </w:tblPrEx>
        <w:trPr>
          <w:cantSplit/>
          <w:trHeight w:val="78"/>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vMerge/>
            <w:vAlign w:val="center"/>
          </w:tcPr>
          <w:p>
            <w:pPr>
              <w:widowControl/>
              <w:spacing w:line="240" w:lineRule="auto"/>
              <w:ind w:firstLine="0" w:firstLineChars="0"/>
              <w:jc w:val="left"/>
              <w:rPr>
                <w:rFonts w:ascii="宋体" w:hAnsi="宋体" w:cs="宋体"/>
                <w:kern w:val="0"/>
              </w:rPr>
            </w:pPr>
          </w:p>
        </w:tc>
        <w:tc>
          <w:tcPr>
            <w:tcW w:w="2728" w:type="dxa"/>
            <w:gridSpan w:val="2"/>
            <w:vAlign w:val="center"/>
          </w:tcPr>
          <w:p>
            <w:pPr>
              <w:widowControl/>
              <w:spacing w:line="240" w:lineRule="auto"/>
              <w:ind w:firstLine="0" w:firstLineChars="0"/>
              <w:jc w:val="center"/>
              <w:rPr>
                <w:rFonts w:ascii="宋体" w:hAnsi="宋体" w:cs="宋体" w:hint="eastAsia"/>
                <w:kern w:val="0"/>
              </w:rPr>
            </w:pPr>
            <w:r>
              <w:rPr>
                <w:rFonts w:ascii="宋体" w:hAnsi="宋体" w:cs="宋体" w:hint="eastAsia"/>
                <w:kern w:val="0"/>
              </w:rPr>
              <w:t>文化娱乐用地</w:t>
            </w:r>
          </w:p>
        </w:tc>
        <w:tc>
          <w:tcPr>
            <w:tcW w:w="576" w:type="dxa"/>
            <w:vAlign w:val="center"/>
          </w:tcPr>
          <w:p>
            <w:pPr>
              <w:widowControl/>
              <w:spacing w:line="240" w:lineRule="auto"/>
              <w:ind w:firstLine="0" w:firstLineChars="0"/>
              <w:jc w:val="left"/>
              <w:rPr>
                <w:rFonts w:ascii="宋体" w:hAnsi="宋体" w:cs="宋体" w:hint="eastAsia"/>
                <w:kern w:val="0"/>
              </w:rPr>
            </w:pPr>
            <w:r>
              <w:rPr>
                <w:rFonts w:ascii="宋体" w:hAnsi="宋体" w:cs="宋体" w:hint="eastAsia"/>
                <w:kern w:val="0"/>
              </w:rPr>
              <w:t>C3</w:t>
            </w:r>
          </w:p>
        </w:tc>
        <w:tc>
          <w:tcPr>
            <w:tcW w:w="1056" w:type="dxa"/>
            <w:vAlign w:val="center"/>
          </w:tcPr>
          <w:p>
            <w:pPr>
              <w:widowControl/>
              <w:spacing w:line="240" w:lineRule="auto"/>
              <w:ind w:firstLine="0" w:firstLineChars="0"/>
              <w:jc w:val="right"/>
              <w:rPr>
                <w:rFonts w:ascii="宋体" w:hAnsi="宋体" w:cs="宋体" w:hint="eastAsia"/>
                <w:kern w:val="0"/>
                <w:sz w:val="21"/>
                <w:szCs w:val="21"/>
              </w:rPr>
            </w:pPr>
            <w:r>
              <w:rPr>
                <w:rFonts w:ascii="宋体" w:hAnsi="宋体" w:cs="宋体" w:hint="eastAsia"/>
                <w:kern w:val="0"/>
                <w:sz w:val="21"/>
                <w:szCs w:val="21"/>
              </w:rPr>
              <w:t>4.66</w:t>
            </w:r>
          </w:p>
        </w:tc>
        <w:tc>
          <w:tcPr>
            <w:tcW w:w="1266"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1.02%</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1.22</w:t>
            </w:r>
          </w:p>
        </w:tc>
      </w:tr>
      <w:tr>
        <w:tblPrEx>
          <w:jc w:val="center"/>
          <w:tblInd w:w="93" w:type="dxa"/>
          <w:tblLayout w:type="fixed"/>
          <w:tblCellMar>
            <w:top w:w="0" w:type="dxa"/>
            <w:left w:w="108" w:type="dxa"/>
            <w:bottom w:w="0" w:type="dxa"/>
            <w:right w:w="108" w:type="dxa"/>
          </w:tblCellMar>
          <w:tblLook w:val="0000"/>
        </w:tblPrEx>
        <w:trPr>
          <w:cantSplit/>
          <w:trHeight w:val="78"/>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vMerge/>
            <w:vAlign w:val="center"/>
          </w:tcPr>
          <w:p>
            <w:pPr>
              <w:widowControl/>
              <w:spacing w:line="240" w:lineRule="auto"/>
              <w:ind w:firstLine="0" w:firstLineChars="0"/>
              <w:jc w:val="left"/>
              <w:rPr>
                <w:rFonts w:ascii="宋体" w:hAnsi="宋体" w:cs="宋体"/>
                <w:kern w:val="0"/>
              </w:rPr>
            </w:pPr>
          </w:p>
        </w:tc>
        <w:tc>
          <w:tcPr>
            <w:tcW w:w="2728" w:type="dxa"/>
            <w:gridSpan w:val="2"/>
            <w:vAlign w:val="center"/>
          </w:tcPr>
          <w:p>
            <w:pPr>
              <w:widowControl/>
              <w:spacing w:line="240" w:lineRule="auto"/>
              <w:ind w:firstLine="0" w:firstLineChars="0"/>
              <w:jc w:val="center"/>
              <w:rPr>
                <w:rFonts w:ascii="宋体" w:hAnsi="宋体" w:cs="宋体" w:hint="eastAsia"/>
                <w:kern w:val="0"/>
              </w:rPr>
            </w:pPr>
            <w:r>
              <w:rPr>
                <w:rFonts w:ascii="宋体" w:hAnsi="宋体" w:cs="宋体" w:hint="eastAsia"/>
                <w:kern w:val="0"/>
              </w:rPr>
              <w:t xml:space="preserve">科研设计用地                                                                                                                                                </w:t>
            </w:r>
          </w:p>
        </w:tc>
        <w:tc>
          <w:tcPr>
            <w:tcW w:w="576" w:type="dxa"/>
            <w:vAlign w:val="center"/>
          </w:tcPr>
          <w:p>
            <w:pPr>
              <w:widowControl/>
              <w:spacing w:line="240" w:lineRule="auto"/>
              <w:ind w:firstLine="0" w:firstLineChars="0"/>
              <w:jc w:val="left"/>
              <w:rPr>
                <w:rFonts w:ascii="宋体" w:hAnsi="宋体" w:cs="宋体" w:hint="eastAsia"/>
                <w:kern w:val="0"/>
              </w:rPr>
            </w:pPr>
            <w:r>
              <w:rPr>
                <w:rFonts w:ascii="宋体" w:hAnsi="宋体" w:cs="宋体" w:hint="eastAsia"/>
                <w:kern w:val="0"/>
              </w:rPr>
              <w:t>C6</w:t>
            </w:r>
          </w:p>
        </w:tc>
        <w:tc>
          <w:tcPr>
            <w:tcW w:w="1056" w:type="dxa"/>
            <w:vAlign w:val="center"/>
          </w:tcPr>
          <w:p>
            <w:pPr>
              <w:widowControl/>
              <w:spacing w:line="240" w:lineRule="auto"/>
              <w:ind w:firstLine="0" w:firstLineChars="0"/>
              <w:jc w:val="right"/>
              <w:rPr>
                <w:rFonts w:ascii="宋体" w:hAnsi="宋体" w:cs="宋体" w:hint="eastAsia"/>
                <w:kern w:val="0"/>
                <w:sz w:val="21"/>
                <w:szCs w:val="21"/>
              </w:rPr>
            </w:pPr>
            <w:r>
              <w:rPr>
                <w:rFonts w:ascii="宋体" w:hAnsi="宋体" w:cs="宋体" w:hint="eastAsia"/>
                <w:kern w:val="0"/>
                <w:sz w:val="21"/>
                <w:szCs w:val="21"/>
              </w:rPr>
              <w:t>57.16</w:t>
            </w:r>
          </w:p>
        </w:tc>
        <w:tc>
          <w:tcPr>
            <w:tcW w:w="1266"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12.50%</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15.00</w:t>
            </w:r>
          </w:p>
        </w:tc>
      </w:tr>
      <w:tr>
        <w:tblPrEx>
          <w:jc w:val="center"/>
          <w:tblInd w:w="93" w:type="dxa"/>
          <w:tblLayout w:type="fixed"/>
          <w:tblCellMar>
            <w:top w:w="0" w:type="dxa"/>
            <w:left w:w="108" w:type="dxa"/>
            <w:bottom w:w="0" w:type="dxa"/>
            <w:right w:w="108" w:type="dxa"/>
          </w:tblCellMar>
          <w:tblLook w:val="0000"/>
        </w:tblPrEx>
        <w:trPr>
          <w:cantSplit/>
          <w:jc w:val="center"/>
        </w:trPr>
        <w:tc>
          <w:tcPr>
            <w:tcW w:w="636" w:type="dxa"/>
            <w:vMerge w:val="restart"/>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3</w:t>
            </w:r>
          </w:p>
        </w:tc>
        <w:tc>
          <w:tcPr>
            <w:tcW w:w="2144"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道路广场用地</w:t>
            </w:r>
          </w:p>
        </w:tc>
        <w:tc>
          <w:tcPr>
            <w:tcW w:w="2232"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S</w:t>
            </w:r>
          </w:p>
        </w:tc>
        <w:tc>
          <w:tcPr>
            <w:tcW w:w="1056" w:type="dxa"/>
            <w:vAlign w:val="center"/>
          </w:tcPr>
          <w:p>
            <w:pPr>
              <w:widowControl/>
              <w:spacing w:line="240" w:lineRule="auto"/>
              <w:ind w:firstLine="0" w:firstLineChars="0"/>
              <w:jc w:val="right"/>
              <w:rPr>
                <w:rFonts w:ascii="宋体" w:hAnsi="宋体" w:cs="宋体"/>
                <w:b/>
                <w:bCs/>
                <w:kern w:val="0"/>
              </w:rPr>
            </w:pPr>
            <w:r>
              <w:rPr>
                <w:rFonts w:ascii="宋体" w:hAnsi="宋体" w:cs="宋体" w:hint="eastAsia"/>
                <w:b/>
                <w:bCs/>
                <w:kern w:val="0"/>
              </w:rPr>
              <w:t xml:space="preserve">59.86 </w:t>
            </w:r>
          </w:p>
        </w:tc>
        <w:tc>
          <w:tcPr>
            <w:tcW w:w="1266"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13.09%</w:t>
            </w:r>
          </w:p>
        </w:tc>
        <w:tc>
          <w:tcPr>
            <w:tcW w:w="942"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 xml:space="preserve">15.71 </w:t>
            </w:r>
          </w:p>
        </w:tc>
      </w:tr>
      <w:tr>
        <w:tblPrEx>
          <w:jc w:val="center"/>
          <w:tblInd w:w="93" w:type="dxa"/>
          <w:tblLayout w:type="fixed"/>
          <w:tblCellMar>
            <w:top w:w="0" w:type="dxa"/>
            <w:left w:w="108" w:type="dxa"/>
            <w:bottom w:w="0" w:type="dxa"/>
            <w:right w:w="108" w:type="dxa"/>
          </w:tblCellMar>
          <w:tblLook w:val="0000"/>
        </w:tblPrEx>
        <w:trPr>
          <w:cantSplit/>
          <w:jc w:val="center"/>
        </w:trPr>
        <w:tc>
          <w:tcPr>
            <w:tcW w:w="1" w:type="dxa"/>
            <w:vMerge/>
            <w:tcBorders>
              <w:bottom w:val="single" w:sz="4" w:space="0" w:color="auto"/>
            </w:tcBorders>
            <w:vAlign w:val="center"/>
          </w:tcPr>
          <w:p>
            <w:pPr>
              <w:widowControl/>
              <w:spacing w:line="240" w:lineRule="auto"/>
              <w:ind w:firstLine="0" w:firstLineChars="0"/>
              <w:jc w:val="left"/>
              <w:rPr>
                <w:rFonts w:ascii="宋体" w:hAnsi="宋体" w:cs="宋体"/>
                <w:kern w:val="0"/>
              </w:rPr>
            </w:pPr>
          </w:p>
        </w:tc>
        <w:tc>
          <w:tcPr>
            <w:tcW w:w="1072" w:type="dxa"/>
            <w:tcBorders>
              <w:bottom w:val="single" w:sz="4" w:space="0" w:color="auto"/>
            </w:tcBorders>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其中</w:t>
            </w:r>
          </w:p>
        </w:tc>
        <w:tc>
          <w:tcPr>
            <w:tcW w:w="2728" w:type="dxa"/>
            <w:gridSpan w:val="2"/>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道路用地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S1</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59.86</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13.09%</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15.71</w:t>
            </w:r>
          </w:p>
        </w:tc>
      </w:tr>
      <w:tr>
        <w:tblPrEx>
          <w:jc w:val="center"/>
          <w:tblInd w:w="93" w:type="dxa"/>
          <w:tblLayout w:type="fixed"/>
          <w:tblCellMar>
            <w:top w:w="0" w:type="dxa"/>
            <w:left w:w="108" w:type="dxa"/>
            <w:bottom w:w="0" w:type="dxa"/>
            <w:right w:w="108" w:type="dxa"/>
          </w:tblCellMar>
          <w:tblLook w:val="0000"/>
        </w:tblPrEx>
        <w:trPr>
          <w:cantSplit/>
          <w:jc w:val="center"/>
        </w:trPr>
        <w:tc>
          <w:tcPr>
            <w:tcW w:w="636" w:type="dxa"/>
            <w:vMerge w:val="restart"/>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4</w:t>
            </w:r>
          </w:p>
        </w:tc>
        <w:tc>
          <w:tcPr>
            <w:tcW w:w="2144"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市政公用设施用地</w:t>
            </w:r>
          </w:p>
        </w:tc>
        <w:tc>
          <w:tcPr>
            <w:tcW w:w="2232"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U</w:t>
            </w:r>
          </w:p>
        </w:tc>
        <w:tc>
          <w:tcPr>
            <w:tcW w:w="1056" w:type="dxa"/>
            <w:vAlign w:val="center"/>
          </w:tcPr>
          <w:p>
            <w:pPr>
              <w:widowControl/>
              <w:spacing w:line="240" w:lineRule="auto"/>
              <w:ind w:firstLine="0" w:firstLineChars="0"/>
              <w:jc w:val="right"/>
              <w:rPr>
                <w:rFonts w:ascii="宋体" w:hAnsi="宋体" w:cs="宋体"/>
                <w:b/>
                <w:bCs/>
                <w:kern w:val="0"/>
              </w:rPr>
            </w:pPr>
            <w:r>
              <w:rPr>
                <w:rFonts w:ascii="宋体" w:hAnsi="宋体" w:cs="宋体" w:hint="eastAsia"/>
                <w:b/>
                <w:bCs/>
                <w:kern w:val="0"/>
              </w:rPr>
              <w:t xml:space="preserve">11.94 </w:t>
            </w:r>
          </w:p>
        </w:tc>
        <w:tc>
          <w:tcPr>
            <w:tcW w:w="1266"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2.61%</w:t>
            </w:r>
          </w:p>
        </w:tc>
        <w:tc>
          <w:tcPr>
            <w:tcW w:w="942"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3.13</w:t>
            </w:r>
          </w:p>
        </w:tc>
      </w:tr>
      <w:tr>
        <w:tblPrEx>
          <w:jc w:val="center"/>
          <w:tblInd w:w="93" w:type="dxa"/>
          <w:tblLayout w:type="fixed"/>
          <w:tblCellMar>
            <w:top w:w="0" w:type="dxa"/>
            <w:left w:w="108" w:type="dxa"/>
            <w:bottom w:w="0" w:type="dxa"/>
            <w:right w:w="108" w:type="dxa"/>
          </w:tblCellMar>
          <w:tblLook w:val="0000"/>
        </w:tblPrEx>
        <w:trPr>
          <w:cantSplit/>
          <w:trHeight w:val="158"/>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072" w:type="dxa"/>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其中</w:t>
            </w:r>
          </w:p>
        </w:tc>
        <w:tc>
          <w:tcPr>
            <w:tcW w:w="2728" w:type="dxa"/>
            <w:gridSpan w:val="2"/>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其他交通设施用地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U29</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11.94</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2.61%</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3.13</w:t>
            </w:r>
          </w:p>
        </w:tc>
      </w:tr>
      <w:tr>
        <w:tblPrEx>
          <w:jc w:val="center"/>
          <w:tblInd w:w="93" w:type="dxa"/>
          <w:tblLayout w:type="fixed"/>
          <w:tblCellMar>
            <w:top w:w="0" w:type="dxa"/>
            <w:left w:w="108" w:type="dxa"/>
            <w:bottom w:w="0" w:type="dxa"/>
            <w:right w:w="108" w:type="dxa"/>
          </w:tblCellMar>
          <w:tblLook w:val="0000"/>
        </w:tblPrEx>
        <w:trPr>
          <w:cantSplit/>
          <w:jc w:val="center"/>
        </w:trPr>
        <w:tc>
          <w:tcPr>
            <w:tcW w:w="636" w:type="dxa"/>
            <w:vMerge w:val="restart"/>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5</w:t>
            </w:r>
          </w:p>
        </w:tc>
        <w:tc>
          <w:tcPr>
            <w:tcW w:w="2144"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绿地</w:t>
            </w:r>
          </w:p>
        </w:tc>
        <w:tc>
          <w:tcPr>
            <w:tcW w:w="2232" w:type="dxa"/>
            <w:gridSpan w:val="2"/>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G</w:t>
            </w:r>
          </w:p>
        </w:tc>
        <w:tc>
          <w:tcPr>
            <w:tcW w:w="1056" w:type="dxa"/>
            <w:vAlign w:val="center"/>
          </w:tcPr>
          <w:p>
            <w:pPr>
              <w:widowControl/>
              <w:spacing w:line="240" w:lineRule="auto"/>
              <w:ind w:firstLine="0" w:firstLineChars="0"/>
              <w:jc w:val="right"/>
              <w:rPr>
                <w:rFonts w:ascii="宋体" w:hAnsi="宋体" w:cs="宋体"/>
                <w:b/>
                <w:bCs/>
                <w:kern w:val="0"/>
              </w:rPr>
            </w:pPr>
            <w:r>
              <w:rPr>
                <w:rFonts w:ascii="宋体" w:hAnsi="宋体" w:cs="宋体" w:hint="eastAsia"/>
                <w:b/>
                <w:bCs/>
                <w:kern w:val="0"/>
              </w:rPr>
              <w:t>126.40</w:t>
            </w:r>
          </w:p>
        </w:tc>
        <w:tc>
          <w:tcPr>
            <w:tcW w:w="1266"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27.64%</w:t>
            </w:r>
          </w:p>
        </w:tc>
        <w:tc>
          <w:tcPr>
            <w:tcW w:w="942" w:type="dxa"/>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 xml:space="preserve">33.18 </w:t>
            </w:r>
          </w:p>
        </w:tc>
      </w:tr>
      <w:tr>
        <w:tblPrEx>
          <w:jc w:val="center"/>
          <w:tblInd w:w="93" w:type="dxa"/>
          <w:tblLayout w:type="fixed"/>
          <w:tblCellMar>
            <w:top w:w="0" w:type="dxa"/>
            <w:left w:w="108" w:type="dxa"/>
            <w:bottom w:w="0" w:type="dxa"/>
            <w:right w:w="108" w:type="dxa"/>
          </w:tblCellMar>
          <w:tblLook w:val="0000"/>
        </w:tblPrEx>
        <w:trPr>
          <w:cantSplit/>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072" w:type="dxa"/>
            <w:vMerge w:val="restart"/>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其中</w:t>
            </w:r>
          </w:p>
        </w:tc>
        <w:tc>
          <w:tcPr>
            <w:tcW w:w="2728" w:type="dxa"/>
            <w:gridSpan w:val="2"/>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公共绿地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G1</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115.86</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25.33%</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30.41</w:t>
            </w:r>
          </w:p>
        </w:tc>
      </w:tr>
      <w:tr>
        <w:tblPrEx>
          <w:jc w:val="center"/>
          <w:tblInd w:w="93" w:type="dxa"/>
          <w:tblLayout w:type="fixed"/>
          <w:tblCellMar>
            <w:top w:w="0" w:type="dxa"/>
            <w:left w:w="108" w:type="dxa"/>
            <w:bottom w:w="0" w:type="dxa"/>
            <w:right w:w="108" w:type="dxa"/>
          </w:tblCellMar>
          <w:tblLook w:val="0000"/>
        </w:tblPrEx>
        <w:trPr>
          <w:cantSplit/>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vMerge/>
            <w:vAlign w:val="center"/>
          </w:tcPr>
          <w:p>
            <w:pPr>
              <w:widowControl/>
              <w:spacing w:line="240" w:lineRule="auto"/>
              <w:ind w:firstLine="0" w:firstLineChars="0"/>
              <w:jc w:val="left"/>
              <w:rPr>
                <w:rFonts w:ascii="宋体" w:hAnsi="宋体" w:cs="宋体"/>
                <w:kern w:val="0"/>
              </w:rPr>
            </w:pPr>
          </w:p>
        </w:tc>
        <w:tc>
          <w:tcPr>
            <w:tcW w:w="1072" w:type="dxa"/>
            <w:vMerge w:val="restart"/>
            <w:tcBorders>
              <w:top w:val="single" w:sz="4" w:space="0" w:color="auto"/>
            </w:tcBorders>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其中</w:t>
            </w:r>
          </w:p>
        </w:tc>
        <w:tc>
          <w:tcPr>
            <w:tcW w:w="1656" w:type="dxa"/>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公园绿地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G11</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 xml:space="preserve">84.70 </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18.52%</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22.23</w:t>
            </w:r>
          </w:p>
        </w:tc>
      </w:tr>
      <w:tr>
        <w:tblPrEx>
          <w:jc w:val="center"/>
          <w:tblInd w:w="93" w:type="dxa"/>
          <w:tblLayout w:type="fixed"/>
          <w:tblCellMar>
            <w:top w:w="0" w:type="dxa"/>
            <w:left w:w="108" w:type="dxa"/>
            <w:bottom w:w="0" w:type="dxa"/>
            <w:right w:w="108" w:type="dxa"/>
          </w:tblCellMar>
          <w:tblLook w:val="0000"/>
        </w:tblPrEx>
        <w:trPr>
          <w:cantSplit/>
          <w:trHeight w:val="158"/>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vMerge/>
            <w:vAlign w:val="center"/>
          </w:tcPr>
          <w:p>
            <w:pPr>
              <w:widowControl/>
              <w:spacing w:line="240" w:lineRule="auto"/>
              <w:ind w:firstLine="0" w:firstLineChars="0"/>
              <w:jc w:val="left"/>
              <w:rPr>
                <w:rFonts w:ascii="宋体" w:hAnsi="宋体" w:cs="宋体"/>
                <w:kern w:val="0"/>
              </w:rPr>
            </w:pPr>
          </w:p>
        </w:tc>
        <w:tc>
          <w:tcPr>
            <w:tcW w:w="1" w:type="dxa"/>
            <w:vMerge/>
            <w:tcBorders>
              <w:bottom w:val="single" w:sz="4" w:space="0" w:color="auto"/>
            </w:tcBorders>
            <w:vAlign w:val="center"/>
          </w:tcPr>
          <w:p>
            <w:pPr>
              <w:widowControl/>
              <w:spacing w:line="240" w:lineRule="auto"/>
              <w:ind w:firstLine="0" w:firstLineChars="0"/>
              <w:jc w:val="left"/>
              <w:rPr>
                <w:rFonts w:ascii="宋体" w:hAnsi="宋体" w:cs="宋体"/>
                <w:kern w:val="0"/>
              </w:rPr>
            </w:pPr>
          </w:p>
        </w:tc>
        <w:tc>
          <w:tcPr>
            <w:tcW w:w="1656" w:type="dxa"/>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街头绿地</w:t>
            </w:r>
          </w:p>
        </w:tc>
        <w:tc>
          <w:tcPr>
            <w:tcW w:w="576" w:type="dxa"/>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G12</w:t>
            </w:r>
          </w:p>
        </w:tc>
        <w:tc>
          <w:tcPr>
            <w:tcW w:w="1056" w:type="dxa"/>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 xml:space="preserve">31.16 </w:t>
            </w:r>
          </w:p>
        </w:tc>
        <w:tc>
          <w:tcPr>
            <w:tcW w:w="1266" w:type="dxa"/>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6.81%</w:t>
            </w:r>
          </w:p>
        </w:tc>
        <w:tc>
          <w:tcPr>
            <w:tcW w:w="942" w:type="dxa"/>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8.18</w:t>
            </w:r>
          </w:p>
        </w:tc>
      </w:tr>
      <w:tr>
        <w:tblPrEx>
          <w:jc w:val="center"/>
          <w:tblInd w:w="93" w:type="dxa"/>
          <w:tblLayout w:type="fixed"/>
          <w:tblCellMar>
            <w:top w:w="0" w:type="dxa"/>
            <w:left w:w="108" w:type="dxa"/>
            <w:bottom w:w="0" w:type="dxa"/>
            <w:right w:w="108" w:type="dxa"/>
          </w:tblCellMar>
          <w:tblLook w:val="0000"/>
        </w:tblPrEx>
        <w:trPr>
          <w:cantSplit/>
          <w:trHeight w:val="195"/>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vMerge/>
            <w:vAlign w:val="center"/>
          </w:tcPr>
          <w:p>
            <w:pPr>
              <w:widowControl/>
              <w:spacing w:line="240" w:lineRule="auto"/>
              <w:ind w:firstLine="0" w:firstLineChars="0"/>
              <w:jc w:val="left"/>
              <w:rPr>
                <w:rFonts w:ascii="宋体" w:hAnsi="宋体" w:cs="宋体"/>
                <w:kern w:val="0"/>
              </w:rPr>
            </w:pPr>
          </w:p>
        </w:tc>
        <w:tc>
          <w:tcPr>
            <w:tcW w:w="2728" w:type="dxa"/>
            <w:gridSpan w:val="2"/>
            <w:tcBorders>
              <w:top w:val="single" w:sz="4" w:space="0" w:color="auto"/>
              <w:bottom w:val="single" w:sz="4" w:space="0" w:color="auto"/>
            </w:tcBorders>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生产防护绿地</w:t>
            </w:r>
          </w:p>
        </w:tc>
        <w:tc>
          <w:tcPr>
            <w:tcW w:w="576" w:type="dxa"/>
            <w:tcBorders>
              <w:bottom w:val="single" w:sz="4" w:space="0" w:color="auto"/>
            </w:tcBorders>
            <w:vAlign w:val="center"/>
          </w:tcPr>
          <w:p>
            <w:pPr>
              <w:widowControl/>
              <w:spacing w:line="240" w:lineRule="auto"/>
              <w:ind w:firstLine="0" w:firstLineChars="0"/>
              <w:jc w:val="left"/>
              <w:rPr>
                <w:rFonts w:ascii="宋体" w:hAnsi="宋体" w:cs="宋体"/>
                <w:kern w:val="0"/>
              </w:rPr>
            </w:pPr>
            <w:r>
              <w:rPr>
                <w:rFonts w:ascii="宋体" w:hAnsi="宋体" w:cs="宋体" w:hint="eastAsia"/>
                <w:kern w:val="0"/>
              </w:rPr>
              <w:t>G2</w:t>
            </w:r>
          </w:p>
        </w:tc>
        <w:tc>
          <w:tcPr>
            <w:tcW w:w="1056" w:type="dxa"/>
            <w:tcBorders>
              <w:bottom w:val="single" w:sz="4" w:space="0" w:color="auto"/>
            </w:tcBorders>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10.54</w:t>
            </w:r>
          </w:p>
        </w:tc>
        <w:tc>
          <w:tcPr>
            <w:tcW w:w="1266" w:type="dxa"/>
            <w:tcBorders>
              <w:bottom w:val="single" w:sz="4" w:space="0" w:color="auto"/>
            </w:tcBorders>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2.30%</w:t>
            </w:r>
          </w:p>
        </w:tc>
        <w:tc>
          <w:tcPr>
            <w:tcW w:w="942" w:type="dxa"/>
            <w:tcBorders>
              <w:bottom w:val="single" w:sz="4" w:space="0" w:color="auto"/>
            </w:tcBorders>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2.77</w:t>
            </w:r>
          </w:p>
        </w:tc>
      </w:tr>
      <w:tr>
        <w:tblPrEx>
          <w:jc w:val="center"/>
          <w:tblInd w:w="93" w:type="dxa"/>
          <w:tblLayout w:type="fixed"/>
          <w:tblCellMar>
            <w:top w:w="0" w:type="dxa"/>
            <w:left w:w="108" w:type="dxa"/>
            <w:bottom w:w="0" w:type="dxa"/>
            <w:right w:w="108" w:type="dxa"/>
          </w:tblCellMar>
          <w:tblLook w:val="0000"/>
        </w:tblPrEx>
        <w:trPr>
          <w:cantSplit/>
          <w:trHeight w:val="195"/>
          <w:jc w:val="center"/>
        </w:trPr>
        <w:tc>
          <w:tcPr>
            <w:tcW w:w="1" w:type="dxa"/>
            <w:vMerge/>
            <w:vAlign w:val="center"/>
          </w:tcPr>
          <w:p>
            <w:pPr>
              <w:widowControl/>
              <w:spacing w:line="240" w:lineRule="auto"/>
              <w:ind w:firstLine="0" w:firstLineChars="0"/>
              <w:jc w:val="left"/>
              <w:rPr>
                <w:rFonts w:ascii="宋体" w:hAnsi="宋体" w:cs="宋体"/>
                <w:kern w:val="0"/>
              </w:rPr>
            </w:pPr>
          </w:p>
        </w:tc>
        <w:tc>
          <w:tcPr>
            <w:tcW w:w="1" w:type="dxa"/>
            <w:vMerge/>
            <w:vAlign w:val="center"/>
          </w:tcPr>
          <w:p>
            <w:pPr>
              <w:widowControl/>
              <w:spacing w:line="240" w:lineRule="auto"/>
              <w:ind w:firstLine="0" w:firstLineChars="0"/>
              <w:jc w:val="left"/>
              <w:rPr>
                <w:rFonts w:ascii="宋体" w:hAnsi="宋体" w:cs="宋体"/>
                <w:kern w:val="0"/>
              </w:rPr>
            </w:pPr>
          </w:p>
        </w:tc>
        <w:tc>
          <w:tcPr>
            <w:tcW w:w="1072" w:type="dxa"/>
            <w:tcBorders>
              <w:top w:val="single" w:sz="4" w:space="0" w:color="auto"/>
              <w:bottom w:val="single" w:sz="4" w:space="0" w:color="auto"/>
            </w:tcBorders>
            <w:vAlign w:val="center"/>
          </w:tcPr>
          <w:p>
            <w:pPr>
              <w:widowControl/>
              <w:spacing w:line="240" w:lineRule="auto"/>
              <w:ind w:firstLine="0" w:firstLineChars="0"/>
              <w:jc w:val="center"/>
              <w:rPr>
                <w:rFonts w:ascii="宋体" w:hAnsi="宋体" w:cs="宋体" w:hint="eastAsia"/>
                <w:kern w:val="0"/>
              </w:rPr>
            </w:pPr>
            <w:r>
              <w:rPr>
                <w:rFonts w:ascii="宋体" w:hAnsi="宋体" w:cs="宋体" w:hint="eastAsia"/>
                <w:kern w:val="0"/>
              </w:rPr>
              <w:t>其中</w:t>
            </w:r>
          </w:p>
        </w:tc>
        <w:tc>
          <w:tcPr>
            <w:tcW w:w="1656" w:type="dxa"/>
            <w:tcBorders>
              <w:top w:val="single" w:sz="4" w:space="0" w:color="auto"/>
            </w:tcBorders>
            <w:vAlign w:val="center"/>
          </w:tcPr>
          <w:p>
            <w:pPr>
              <w:widowControl/>
              <w:spacing w:line="240" w:lineRule="auto"/>
              <w:ind w:firstLine="0" w:firstLineChars="0"/>
              <w:jc w:val="center"/>
              <w:rPr>
                <w:rFonts w:ascii="宋体" w:hAnsi="宋体" w:cs="宋体" w:hint="eastAsia"/>
                <w:kern w:val="0"/>
              </w:rPr>
            </w:pPr>
            <w:r>
              <w:rPr>
                <w:rFonts w:ascii="宋体" w:hAnsi="宋体" w:cs="宋体" w:hint="eastAsia"/>
                <w:kern w:val="0"/>
              </w:rPr>
              <w:t>防护绿地</w:t>
            </w:r>
          </w:p>
        </w:tc>
        <w:tc>
          <w:tcPr>
            <w:tcW w:w="576" w:type="dxa"/>
            <w:tcBorders>
              <w:top w:val="single" w:sz="4" w:space="0" w:color="auto"/>
            </w:tcBorders>
            <w:vAlign w:val="center"/>
          </w:tcPr>
          <w:p>
            <w:pPr>
              <w:widowControl/>
              <w:spacing w:line="240" w:lineRule="auto"/>
              <w:ind w:firstLine="0" w:firstLineChars="0"/>
              <w:jc w:val="left"/>
              <w:rPr>
                <w:rFonts w:ascii="宋体" w:hAnsi="宋体" w:cs="宋体" w:hint="eastAsia"/>
                <w:kern w:val="0"/>
              </w:rPr>
            </w:pPr>
            <w:r>
              <w:rPr>
                <w:rFonts w:ascii="宋体" w:hAnsi="宋体" w:cs="宋体" w:hint="eastAsia"/>
                <w:kern w:val="0"/>
              </w:rPr>
              <w:t>G22</w:t>
            </w:r>
          </w:p>
        </w:tc>
        <w:tc>
          <w:tcPr>
            <w:tcW w:w="1056" w:type="dxa"/>
            <w:tcBorders>
              <w:top w:val="single" w:sz="4" w:space="0" w:color="auto"/>
            </w:tcBorders>
            <w:vAlign w:val="center"/>
          </w:tcPr>
          <w:p>
            <w:pPr>
              <w:widowControl/>
              <w:spacing w:line="240" w:lineRule="auto"/>
              <w:ind w:firstLine="0" w:firstLineChars="0"/>
              <w:jc w:val="right"/>
              <w:rPr>
                <w:rFonts w:ascii="宋体" w:hAnsi="宋体" w:cs="宋体"/>
                <w:kern w:val="0"/>
                <w:sz w:val="21"/>
                <w:szCs w:val="21"/>
              </w:rPr>
            </w:pPr>
            <w:r>
              <w:rPr>
                <w:rFonts w:ascii="宋体" w:hAnsi="宋体" w:cs="宋体" w:hint="eastAsia"/>
                <w:kern w:val="0"/>
                <w:sz w:val="21"/>
                <w:szCs w:val="21"/>
              </w:rPr>
              <w:t xml:space="preserve">10.54 </w:t>
            </w:r>
          </w:p>
        </w:tc>
        <w:tc>
          <w:tcPr>
            <w:tcW w:w="1266" w:type="dxa"/>
            <w:tcBorders>
              <w:top w:val="single" w:sz="4" w:space="0" w:color="auto"/>
            </w:tcBorders>
            <w:vAlign w:val="center"/>
          </w:tcPr>
          <w:p>
            <w:pPr>
              <w:widowControl/>
              <w:spacing w:line="240" w:lineRule="auto"/>
              <w:ind w:firstLine="0" w:firstLineChars="0"/>
              <w:jc w:val="center"/>
              <w:rPr>
                <w:rFonts w:ascii="宋体" w:hAnsi="宋体" w:cs="宋体"/>
                <w:kern w:val="0"/>
                <w:sz w:val="21"/>
                <w:szCs w:val="21"/>
              </w:rPr>
            </w:pPr>
            <w:r>
              <w:rPr>
                <w:rFonts w:ascii="宋体" w:hAnsi="宋体" w:cs="宋体" w:hint="eastAsia"/>
                <w:kern w:val="0"/>
                <w:sz w:val="21"/>
                <w:szCs w:val="21"/>
              </w:rPr>
              <w:t>2.30%</w:t>
            </w:r>
          </w:p>
        </w:tc>
        <w:tc>
          <w:tcPr>
            <w:tcW w:w="942" w:type="dxa"/>
            <w:tcBorders>
              <w:top w:val="single" w:sz="4" w:space="0" w:color="auto"/>
            </w:tcBorders>
            <w:vAlign w:val="center"/>
          </w:tcPr>
          <w:p>
            <w:pPr>
              <w:widowControl/>
              <w:spacing w:line="240" w:lineRule="auto"/>
              <w:ind w:firstLine="0" w:firstLineChars="0"/>
              <w:jc w:val="center"/>
              <w:rPr>
                <w:rFonts w:ascii="宋体" w:hAnsi="宋体" w:cs="宋体" w:hint="eastAsia"/>
                <w:kern w:val="0"/>
                <w:sz w:val="21"/>
                <w:szCs w:val="21"/>
              </w:rPr>
            </w:pPr>
            <w:r>
              <w:rPr>
                <w:rFonts w:ascii="宋体" w:hAnsi="宋体" w:cs="宋体" w:hint="eastAsia"/>
                <w:kern w:val="0"/>
                <w:sz w:val="21"/>
                <w:szCs w:val="21"/>
              </w:rPr>
              <w:t>2.77</w:t>
            </w:r>
          </w:p>
        </w:tc>
      </w:tr>
      <w:tr>
        <w:tblPrEx>
          <w:jc w:val="center"/>
          <w:tblInd w:w="93" w:type="dxa"/>
          <w:tblLayout w:type="fixed"/>
          <w:tblCellMar>
            <w:top w:w="0" w:type="dxa"/>
            <w:left w:w="108" w:type="dxa"/>
            <w:bottom w:w="0" w:type="dxa"/>
            <w:right w:w="108" w:type="dxa"/>
          </w:tblCellMar>
          <w:tblLook w:val="0000"/>
        </w:tblPrEx>
        <w:trPr>
          <w:jc w:val="center"/>
        </w:trPr>
        <w:tc>
          <w:tcPr>
            <w:tcW w:w="636" w:type="dxa"/>
            <w:tcBorders>
              <w:bottom w:val="single" w:sz="6" w:space="0" w:color="auto"/>
            </w:tcBorders>
            <w:vAlign w:val="center"/>
          </w:tcPr>
          <w:p>
            <w:pPr>
              <w:widowControl/>
              <w:spacing w:line="240" w:lineRule="auto"/>
              <w:ind w:firstLine="0" w:firstLineChars="0"/>
              <w:jc w:val="center"/>
              <w:rPr>
                <w:rFonts w:ascii="宋体" w:hAnsi="宋体" w:cs="宋体"/>
                <w:kern w:val="0"/>
              </w:rPr>
            </w:pPr>
            <w:r>
              <w:rPr>
                <w:rFonts w:ascii="宋体" w:hAnsi="宋体" w:cs="宋体" w:hint="eastAsia"/>
                <w:kern w:val="0"/>
              </w:rPr>
              <w:t>6</w:t>
            </w:r>
          </w:p>
        </w:tc>
        <w:tc>
          <w:tcPr>
            <w:tcW w:w="4376" w:type="dxa"/>
            <w:gridSpan w:val="4"/>
            <w:tcBorders>
              <w:bottom w:val="single" w:sz="6" w:space="0" w:color="auto"/>
            </w:tcBorders>
            <w:vAlign w:val="center"/>
          </w:tcPr>
          <w:p>
            <w:pPr>
              <w:widowControl/>
              <w:spacing w:line="240" w:lineRule="auto"/>
              <w:ind w:firstLine="0" w:firstLineChars="0"/>
              <w:jc w:val="left"/>
              <w:rPr>
                <w:rFonts w:ascii="宋体" w:hAnsi="宋体" w:cs="宋体"/>
                <w:b/>
                <w:bCs/>
                <w:kern w:val="0"/>
              </w:rPr>
            </w:pPr>
            <w:r>
              <w:rPr>
                <w:rFonts w:ascii="宋体" w:hAnsi="宋体" w:cs="宋体" w:hint="eastAsia"/>
                <w:b/>
                <w:bCs/>
                <w:kern w:val="0"/>
              </w:rPr>
              <w:t>城市规划建设用地合计</w:t>
            </w:r>
          </w:p>
        </w:tc>
        <w:tc>
          <w:tcPr>
            <w:tcW w:w="1056" w:type="dxa"/>
            <w:tcBorders>
              <w:bottom w:val="single" w:sz="6" w:space="0" w:color="auto"/>
            </w:tcBorders>
            <w:vAlign w:val="center"/>
          </w:tcPr>
          <w:p>
            <w:pPr>
              <w:widowControl/>
              <w:spacing w:line="240" w:lineRule="auto"/>
              <w:ind w:firstLine="0" w:firstLineChars="0"/>
              <w:jc w:val="right"/>
              <w:rPr>
                <w:rFonts w:ascii="宋体" w:hAnsi="宋体" w:cs="宋体"/>
                <w:b/>
                <w:bCs/>
                <w:kern w:val="0"/>
                <w:sz w:val="21"/>
                <w:szCs w:val="21"/>
              </w:rPr>
            </w:pPr>
            <w:r>
              <w:rPr>
                <w:rFonts w:ascii="宋体" w:hAnsi="宋体" w:cs="宋体" w:hint="eastAsia"/>
                <w:b/>
                <w:bCs/>
                <w:kern w:val="0"/>
              </w:rPr>
              <w:t>457.37</w:t>
            </w:r>
            <w:r>
              <w:rPr>
                <w:rFonts w:ascii="宋体" w:hAnsi="宋体" w:cs="宋体" w:hint="eastAsia"/>
                <w:b/>
                <w:bCs/>
                <w:kern w:val="0"/>
                <w:sz w:val="21"/>
                <w:szCs w:val="21"/>
              </w:rPr>
              <w:t xml:space="preserve"> </w:t>
            </w:r>
          </w:p>
        </w:tc>
        <w:tc>
          <w:tcPr>
            <w:tcW w:w="1266" w:type="dxa"/>
            <w:tcBorders>
              <w:bottom w:val="single" w:sz="6" w:space="0" w:color="auto"/>
            </w:tcBorders>
            <w:vAlign w:val="center"/>
          </w:tcPr>
          <w:p>
            <w:pPr>
              <w:widowControl/>
              <w:spacing w:line="240" w:lineRule="auto"/>
              <w:ind w:firstLine="0" w:firstLineChars="0"/>
              <w:jc w:val="center"/>
              <w:rPr>
                <w:rFonts w:ascii="宋体" w:hAnsi="宋体" w:cs="宋体"/>
                <w:b/>
                <w:bCs/>
                <w:kern w:val="0"/>
              </w:rPr>
            </w:pPr>
            <w:r>
              <w:rPr>
                <w:rFonts w:ascii="宋体" w:hAnsi="宋体" w:cs="宋体" w:hint="eastAsia"/>
                <w:b/>
                <w:bCs/>
                <w:kern w:val="0"/>
              </w:rPr>
              <w:t>100.00%</w:t>
            </w:r>
          </w:p>
        </w:tc>
        <w:tc>
          <w:tcPr>
            <w:tcW w:w="942" w:type="dxa"/>
            <w:tcBorders>
              <w:bottom w:val="single" w:sz="6" w:space="0" w:color="auto"/>
            </w:tcBorders>
            <w:vAlign w:val="center"/>
          </w:tcPr>
          <w:p>
            <w:pPr>
              <w:widowControl/>
              <w:spacing w:line="240" w:lineRule="auto"/>
              <w:ind w:firstLine="0" w:firstLineChars="0"/>
              <w:jc w:val="right"/>
              <w:rPr>
                <w:rFonts w:ascii="宋体" w:hAnsi="宋体" w:cs="宋体"/>
                <w:b/>
                <w:bCs/>
                <w:kern w:val="0"/>
              </w:rPr>
            </w:pPr>
            <w:r>
              <w:rPr>
                <w:rFonts w:ascii="宋体" w:hAnsi="宋体" w:cs="宋体" w:hint="eastAsia"/>
                <w:b/>
                <w:bCs/>
                <w:kern w:val="0"/>
              </w:rPr>
              <w:t>120.04</w:t>
            </w:r>
          </w:p>
        </w:tc>
      </w:tr>
      <w:tr>
        <w:tblPrEx>
          <w:jc w:val="center"/>
          <w:tblInd w:w="93" w:type="dxa"/>
          <w:tblLayout w:type="fixed"/>
          <w:tblCellMar>
            <w:top w:w="0" w:type="dxa"/>
            <w:left w:w="108" w:type="dxa"/>
            <w:bottom w:w="0" w:type="dxa"/>
            <w:right w:w="108" w:type="dxa"/>
          </w:tblCellMar>
          <w:tblLook w:val="0000"/>
        </w:tblPrEx>
        <w:trPr>
          <w:jc w:val="center"/>
        </w:trPr>
        <w:tc>
          <w:tcPr>
            <w:tcW w:w="636" w:type="dxa"/>
            <w:tcBorders>
              <w:top w:val="single" w:sz="6" w:space="0" w:color="auto"/>
              <w:left w:val="nil"/>
              <w:bottom w:val="nil"/>
              <w:right w:val="nil"/>
            </w:tcBorders>
            <w:vAlign w:val="center"/>
          </w:tcPr>
          <w:p>
            <w:pPr>
              <w:widowControl/>
              <w:spacing w:line="240" w:lineRule="auto"/>
              <w:ind w:firstLine="0" w:firstLineChars="0"/>
              <w:jc w:val="center"/>
              <w:rPr>
                <w:rFonts w:ascii="宋体" w:hAnsi="宋体" w:cs="宋体"/>
                <w:kern w:val="0"/>
              </w:rPr>
            </w:pPr>
          </w:p>
        </w:tc>
        <w:tc>
          <w:tcPr>
            <w:tcW w:w="7640" w:type="dxa"/>
            <w:gridSpan w:val="7"/>
            <w:tcBorders>
              <w:top w:val="single" w:sz="6" w:space="0" w:color="auto"/>
              <w:left w:val="nil"/>
              <w:bottom w:val="nil"/>
              <w:right w:val="nil"/>
            </w:tcBorders>
            <w:vAlign w:val="center"/>
          </w:tcPr>
          <w:p>
            <w:pPr>
              <w:widowControl/>
              <w:spacing w:line="240" w:lineRule="auto"/>
              <w:ind w:firstLine="0" w:firstLineChars="0"/>
              <w:jc w:val="left"/>
              <w:rPr>
                <w:rFonts w:ascii="宋体" w:hAnsi="宋体" w:cs="宋体"/>
                <w:kern w:val="0"/>
                <w:sz w:val="20"/>
                <w:szCs w:val="20"/>
              </w:rPr>
            </w:pPr>
            <w:r>
              <w:rPr>
                <w:rFonts w:ascii="宋体" w:hAnsi="宋体" w:cs="宋体" w:hint="eastAsia"/>
                <w:kern w:val="0"/>
                <w:sz w:val="20"/>
                <w:szCs w:val="20"/>
              </w:rPr>
              <w:t>注：规划人口为3.81</w:t>
            </w:r>
            <w:r>
              <w:rPr>
                <w:kern w:val="0"/>
                <w:sz w:val="20"/>
                <w:szCs w:val="20"/>
              </w:rPr>
              <w:t xml:space="preserve"> </w:t>
            </w:r>
            <w:r>
              <w:rPr>
                <w:rFonts w:ascii="宋体" w:hAnsi="宋体" w:cs="宋体" w:hint="eastAsia"/>
                <w:kern w:val="0"/>
                <w:sz w:val="20"/>
                <w:szCs w:val="20"/>
              </w:rPr>
              <w:t>万人</w:t>
            </w:r>
          </w:p>
        </w:tc>
      </w:tr>
    </w:tbl>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ind w:firstLine="480"/>
        <w:rPr>
          <w:rFonts w:hint="eastAsia"/>
        </w:rPr>
      </w:pPr>
    </w:p>
    <w:p>
      <w:pPr>
        <w:spacing w:line="360" w:lineRule="auto"/>
        <w:ind w:firstLine="0" w:firstLineChars="0"/>
        <w:outlineLvl w:val="0"/>
        <w:rPr>
          <w:rFonts w:hint="eastAsia"/>
          <w:sz w:val="21"/>
          <w:szCs w:val="21"/>
        </w:rPr>
      </w:pPr>
      <w:r>
        <w:rPr>
          <w:rFonts w:hint="eastAsia"/>
          <w:sz w:val="28"/>
        </w:rPr>
        <w:t>附表二：土地使用兼容性表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55"/>
        <w:gridCol w:w="716"/>
        <w:gridCol w:w="656"/>
        <w:gridCol w:w="722"/>
        <w:gridCol w:w="722"/>
        <w:gridCol w:w="722"/>
        <w:gridCol w:w="722"/>
        <w:gridCol w:w="579"/>
        <w:gridCol w:w="722"/>
        <w:gridCol w:w="722"/>
        <w:gridCol w:w="571"/>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855" w:type="dxa"/>
            <w:vMerge w:val="restart"/>
            <w:tcBorders>
              <w:top w:val="single" w:sz="12" w:space="0" w:color="auto"/>
              <w:left w:val="single" w:sz="2" w:space="0" w:color="auto"/>
              <w:bottom w:val="single" w:sz="2" w:space="0" w:color="auto"/>
              <w:right w:val="single" w:sz="2" w:space="0" w:color="auto"/>
              <w:tl2br w:val="single" w:sz="4" w:space="0" w:color="auto"/>
            </w:tcBorders>
            <w:vAlign w:val="center"/>
          </w:tcPr>
          <w:p>
            <w:pPr>
              <w:pStyle w:val="a1"/>
              <w:spacing w:line="360" w:lineRule="exact"/>
              <w:ind w:left="0"/>
              <w:rPr>
                <w:sz w:val="21"/>
                <w:szCs w:val="21"/>
              </w:rPr>
            </w:pPr>
            <w:r>
              <w:rPr>
                <w:rFonts w:hint="eastAsia"/>
                <w:sz w:val="21"/>
                <w:szCs w:val="21"/>
              </w:rPr>
              <w:t xml:space="preserve">       用地性质</w:t>
            </w:r>
          </w:p>
          <w:p>
            <w:pPr>
              <w:pStyle w:val="a1"/>
              <w:spacing w:line="360" w:lineRule="exact"/>
              <w:ind w:left="0"/>
              <w:rPr>
                <w:sz w:val="21"/>
                <w:szCs w:val="21"/>
              </w:rPr>
            </w:pPr>
            <w:r>
              <w:rPr>
                <w:rFonts w:hint="eastAsia"/>
                <w:sz w:val="21"/>
                <w:szCs w:val="21"/>
              </w:rPr>
              <w:t>建筑分类</w:t>
            </w:r>
          </w:p>
        </w:tc>
        <w:tc>
          <w:tcPr>
            <w:tcW w:w="716" w:type="dxa"/>
            <w:tcBorders>
              <w:top w:val="single" w:sz="1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R</w:t>
            </w:r>
          </w:p>
        </w:tc>
        <w:tc>
          <w:tcPr>
            <w:tcW w:w="3544" w:type="dxa"/>
            <w:gridSpan w:val="5"/>
            <w:tcBorders>
              <w:top w:val="single" w:sz="1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C</w:t>
            </w:r>
          </w:p>
        </w:tc>
        <w:tc>
          <w:tcPr>
            <w:tcW w:w="579" w:type="dxa"/>
            <w:tcBorders>
              <w:top w:val="single" w:sz="1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U</w:t>
            </w:r>
          </w:p>
        </w:tc>
        <w:tc>
          <w:tcPr>
            <w:tcW w:w="1444" w:type="dxa"/>
            <w:gridSpan w:val="2"/>
            <w:tcBorders>
              <w:top w:val="single" w:sz="1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G</w:t>
            </w:r>
          </w:p>
        </w:tc>
        <w:tc>
          <w:tcPr>
            <w:tcW w:w="571" w:type="dxa"/>
            <w:tcBorders>
              <w:top w:val="single" w:sz="1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S</w:t>
            </w:r>
          </w:p>
        </w:tc>
      </w:tr>
      <w:tr>
        <w:tblPrEx>
          <w:jc w:val="center"/>
          <w:tblLayout w:type="fixed"/>
          <w:tblCellMar>
            <w:left w:w="108" w:type="dxa"/>
            <w:right w:w="108" w:type="dxa"/>
          </w:tblCellMar>
          <w:tblLook w:val="0000"/>
        </w:tblPrEx>
        <w:trPr>
          <w:cantSplit/>
          <w:jc w:val="center"/>
        </w:trPr>
        <w:tc>
          <w:tcPr>
            <w:tcW w:w="1" w:type="dxa"/>
            <w:vMerge/>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R2</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C1</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C2</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C3</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sz w:val="21"/>
                <w:szCs w:val="21"/>
              </w:rPr>
              <w:t>C</w:t>
            </w:r>
            <w:r>
              <w:rPr>
                <w:rFonts w:hint="eastAsia"/>
                <w:sz w:val="21"/>
                <w:szCs w:val="21"/>
              </w:rPr>
              <w:t>4</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sz w:val="21"/>
                <w:szCs w:val="21"/>
              </w:rPr>
              <w:t>C</w:t>
            </w:r>
            <w:r>
              <w:rPr>
                <w:rFonts w:hint="eastAsia"/>
                <w:sz w:val="21"/>
                <w:szCs w:val="21"/>
              </w:rPr>
              <w:t>5</w:t>
            </w: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G1</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sz w:val="21"/>
                <w:szCs w:val="21"/>
              </w:rPr>
              <w:t>G2</w:t>
            </w: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住宅</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公寓</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别墅</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商住楼</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中小学、托幼</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小型配套效劳设施</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w:t>
            </w: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旅游效劳设施</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大型金融商贸设施</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大型文化娱乐设施</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大型综合市场</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行政办公</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商务办公</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医疗卫生</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w:t>
            </w: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科研教学</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r>
      <w:tr>
        <w:tblPrEx>
          <w:jc w:val="center"/>
          <w:tblLayout w:type="fixed"/>
          <w:tblCellMar>
            <w:left w:w="108" w:type="dxa"/>
            <w:right w:w="108" w:type="dxa"/>
          </w:tblCellMar>
          <w:tblLook w:val="0000"/>
        </w:tblPrEx>
        <w:trPr>
          <w:jc w:val="center"/>
        </w:trPr>
        <w:tc>
          <w:tcPr>
            <w:tcW w:w="2855"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rFonts w:hint="eastAsia"/>
                <w:sz w:val="21"/>
                <w:szCs w:val="21"/>
              </w:rPr>
            </w:pPr>
            <w:r>
              <w:rPr>
                <w:rFonts w:hint="eastAsia"/>
                <w:sz w:val="21"/>
                <w:szCs w:val="21"/>
              </w:rPr>
              <w:t>体育设施</w:t>
            </w:r>
          </w:p>
        </w:tc>
        <w:tc>
          <w:tcPr>
            <w:tcW w:w="71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656"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9"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c>
          <w:tcPr>
            <w:tcW w:w="722"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p>
        </w:tc>
        <w:tc>
          <w:tcPr>
            <w:tcW w:w="571" w:type="dxa"/>
            <w:tcBorders>
              <w:top w:val="single" w:sz="2" w:space="0" w:color="auto"/>
              <w:left w:val="single" w:sz="2" w:space="0" w:color="auto"/>
              <w:bottom w:val="single" w:sz="2" w:space="0" w:color="auto"/>
              <w:right w:val="single" w:sz="2" w:space="0" w:color="auto"/>
            </w:tcBorders>
            <w:vAlign w:val="center"/>
          </w:tcPr>
          <w:p>
            <w:pPr>
              <w:pStyle w:val="a1"/>
              <w:spacing w:line="360" w:lineRule="exact"/>
              <w:ind w:left="0"/>
              <w:rPr>
                <w:sz w:val="21"/>
                <w:szCs w:val="21"/>
              </w:rPr>
            </w:pPr>
            <w:r>
              <w:rPr>
                <w:rFonts w:hint="eastAsia"/>
                <w:sz w:val="21"/>
                <w:szCs w:val="21"/>
              </w:rPr>
              <w:t>○</w:t>
            </w:r>
          </w:p>
        </w:tc>
      </w:tr>
    </w:tbl>
    <w:p>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https://d.book118.com/067014032063006054</w:t>
        </w:r>
      </w:hyperlink>
    </w:p>
    <w:p/>
    <w:sectPr>
      <w:type w:val="nextPage"/>
      <w:pgSz w:w="23814" w:h="16840" w:orient="landscape"/>
      <w:pgMar w:top="1162" w:right="1270" w:bottom="1162" w:left="1230" w:header="851" w:footer="992" w:gutter="0"/>
      <w:pgNumType w:start="17"/>
      <w:cols w:num="2" w:space="1200" w:equalWidth="1"/>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楷体_GB2312">
    <w:altName w:val="宋体"/>
    <w:panose1 w:val="02010609030101010101"/>
    <w:charset w:val="86"/>
    <w:family w:val="modern"/>
    <w:pitch w:val="default"/>
    <w:sig w:usb0="00000001" w:usb1="080E0000" w:usb2="00000010" w:usb3="00000000" w:csb0="00040000" w:csb1="00000000"/>
  </w:font>
  <w:font w:name="Romantic">
    <w:panose1 w:val="00000400000000000000"/>
    <w:charset w:val="02"/>
    <w:family w:val="auto"/>
    <w:pitch w:val="default"/>
    <w:sig w:usb0="00000000" w:usb1="00000000" w:usb2="00000000" w:usb3="00000000" w:csb0="80000000" w:csb1="00000000"/>
  </w:font>
  <w:font w:name="幼圆">
    <w:altName w:val="宋体"/>
    <w:panose1 w:val="02010509060101010101"/>
    <w:charset w:val="86"/>
    <w:family w:val="modern"/>
    <w:pitch w:val="default"/>
    <w:sig w:usb0="00000001" w:usb1="080E0000" w:usb2="00000010" w:usb3="00000000" w:csb0="00040000" w:csb1="00000000"/>
  </w:font>
  <w:font w:name="创艺简黑体">
    <w:altName w:val="黑体"/>
    <w:panose1 w:val="00000000000000000000"/>
    <w:charset w:val="86"/>
    <w:family w:val="auto"/>
    <w:pitch w:val="default"/>
    <w:sig w:usb0="00000001" w:usb1="080E0000" w:usb2="00000010" w:usb3="00000000" w:csb0="00040000" w:csb1="00000000"/>
  </w:font>
  <w:font w:name="Arial Unicode MS">
    <w:altName w:val="Times New Roman"/>
    <w:panose1 w:val="00000000000000000000"/>
    <w:charset w:val="00"/>
    <w:family w:val="roman"/>
    <w:pitch w:val="default"/>
    <w:sig w:usb0="00000003" w:usb1="00000000" w:usb2="00000000" w:usb3="00000000" w:csb0="00000001" w:csb1="00000000"/>
  </w:font>
  <w:font w:name="创艺简粗黑">
    <w:altName w:val="黑体"/>
    <w:panose1 w:val="00000000000000000000"/>
    <w:charset w:val="86"/>
    <w:family w:val="auto"/>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第 %1 条"/>
      <w:lvlJc w:val="left"/>
      <w:pPr>
        <w:tabs>
          <w:tab w:val="num" w:pos="1080"/>
        </w:tabs>
        <w:ind w:left="0" w:firstLine="0"/>
      </w:pPr>
      <w:rPr>
        <w:rFonts w:ascii="宋体" w:eastAsia="宋体" w:hint="eastAsia"/>
        <w:b/>
        <w:i w:val="0"/>
        <w:color w:val="auto"/>
        <w:spacing w:val="0"/>
        <w:sz w:val="28"/>
        <w:lang w:val="en-US"/>
      </w:rPr>
    </w:lvl>
    <w:lvl w:ilvl="1">
      <w:start w:val="1"/>
      <w:numFmt w:val="decimalZero"/>
      <w:isLgl/>
      <w:lvlText w:val="节 %1.%2"/>
      <w:lvlJc w:val="left"/>
      <w:pPr>
        <w:tabs>
          <w:tab w:val="num" w:pos="720"/>
        </w:tabs>
        <w:ind w:left="0" w:firstLine="0"/>
      </w:pPr>
      <w:rPr>
        <w:rFonts w:hint="eastAsia"/>
      </w:rPr>
    </w:lvl>
    <w:lvl w:ilvl="2">
      <w:start w:val="1"/>
      <w:numFmt w:val="lowerLetter"/>
      <w:lvlText w:val="(%3)"/>
      <w:lvlJc w:val="left"/>
      <w:pPr>
        <w:tabs>
          <w:tab w:val="num" w:pos="720"/>
        </w:tabs>
        <w:ind w:left="720" w:hanging="432"/>
      </w:pPr>
      <w:rPr>
        <w:rFonts w:hint="eastAsia"/>
      </w:rPr>
    </w:lvl>
    <w:lvl w:ilvl="3">
      <w:start w:val="1"/>
      <w:numFmt w:val="lowerRoman"/>
      <w:lvlText w:val="(%4)"/>
      <w:lvlJc w:val="right"/>
      <w:pPr>
        <w:tabs>
          <w:tab w:val="num" w:pos="864"/>
        </w:tabs>
        <w:ind w:left="864" w:hanging="144"/>
      </w:pPr>
      <w:rPr>
        <w:rFonts w:hint="eastAsia"/>
      </w:rPr>
    </w:lvl>
    <w:lvl w:ilvl="4">
      <w:start w:val="1"/>
      <w:numFmt w:val="decimal"/>
      <w:lvlText w:val="%5)"/>
      <w:lvlJc w:val="left"/>
      <w:pPr>
        <w:tabs>
          <w:tab w:val="num" w:pos="1008"/>
        </w:tabs>
        <w:ind w:left="1008" w:hanging="432"/>
      </w:pPr>
      <w:rPr>
        <w:rFonts w:hint="eastAsia"/>
      </w:rPr>
    </w:lvl>
    <w:lvl w:ilvl="5">
      <w:start w:val="1"/>
      <w:numFmt w:val="lowerLetter"/>
      <w:lvlText w:val="%6)"/>
      <w:lvlJc w:val="left"/>
      <w:pPr>
        <w:tabs>
          <w:tab w:val="num" w:pos="1152"/>
        </w:tabs>
        <w:ind w:left="1152" w:hanging="432"/>
      </w:pPr>
      <w:rPr>
        <w:rFonts w:hint="eastAsia"/>
      </w:rPr>
    </w:lvl>
    <w:lvl w:ilvl="6">
      <w:start w:val="1"/>
      <w:numFmt w:val="lowerRoman"/>
      <w:lvlText w:val="%7)"/>
      <w:lvlJc w:val="right"/>
      <w:pPr>
        <w:tabs>
          <w:tab w:val="num" w:pos="1296"/>
        </w:tabs>
        <w:ind w:left="1296" w:hanging="288"/>
      </w:pPr>
      <w:rPr>
        <w:rFonts w:hint="eastAsia"/>
      </w:rPr>
    </w:lvl>
    <w:lvl w:ilvl="7">
      <w:start w:val="1"/>
      <w:numFmt w:val="lowerLetter"/>
      <w:lvlText w:val="%8."/>
      <w:lvlJc w:val="left"/>
      <w:pPr>
        <w:tabs>
          <w:tab w:val="num" w:pos="1440"/>
        </w:tabs>
        <w:ind w:left="1440" w:hanging="432"/>
      </w:pPr>
      <w:rPr>
        <w:rFonts w:hint="eastAsia"/>
      </w:rPr>
    </w:lvl>
    <w:lvl w:ilvl="8">
      <w:start w:val="1"/>
      <w:numFmt w:val="lowerRoman"/>
      <w:lvlText w:val="%9."/>
      <w:lvlJc w:val="right"/>
      <w:pPr>
        <w:tabs>
          <w:tab w:val="num" w:pos="1584"/>
        </w:tabs>
        <w:ind w:left="1584" w:hanging="144"/>
      </w:pPr>
      <w:rPr>
        <w:rFonts w:hint="eastAsia"/>
      </w:rPr>
    </w:lvl>
  </w:abstractNum>
  <w:abstractNum w:abstractNumId="1">
    <w:nsid w:val="00000004"/>
    <w:multiLevelType w:val="multilevel"/>
    <w:tmpl w:val="00000004"/>
    <w:lvl w:ilvl="0">
      <w:start w:val="1"/>
      <w:numFmt w:val="none"/>
      <w:lvlText w:val="%1   "/>
      <w:lvlJc w:val="left"/>
      <w:pPr>
        <w:tabs>
          <w:tab w:val="num" w:pos="432"/>
        </w:tabs>
        <w:ind w:left="432" w:hanging="432"/>
      </w:pPr>
      <w:rPr>
        <w:rFonts w:ascii="Times New Roman" w:hAnsi="Times New Roman" w:cs="Times New Roman" w:hint="eastAsia"/>
        <w:b w:val="0"/>
        <w:bCs w:val="0"/>
        <w:i w:val="0"/>
        <w:iCs w:val="0"/>
        <w:caps w:val="0"/>
        <w:smallCaps w:val="0"/>
        <w:strike w:val="0"/>
        <w:dstrike w:val="0"/>
        <w:outline w:val="0"/>
        <w:shadow w:val="0"/>
        <w:emboss w:val="0"/>
        <w:imprint w:val="0"/>
        <w:vanish w:val="0"/>
        <w:spacing w:val="0"/>
        <w:position w:val="0"/>
        <w:u w:val="none"/>
        <w:vertAlign w:val="baseline"/>
      </w:rPr>
    </w:lvl>
    <w:lvl w:ilvl="1">
      <w:start w:val="1"/>
      <w:numFmt w:val="decimal"/>
      <w:lvlText w:val="%2  "/>
      <w:lvlJc w:val="left"/>
      <w:pPr>
        <w:tabs>
          <w:tab w:val="num" w:pos="576"/>
        </w:tabs>
        <w:ind w:left="576" w:hanging="576"/>
      </w:pPr>
      <w:rPr>
        <w:rFonts w:hint="eastAsia"/>
      </w:rPr>
    </w:lvl>
    <w:lvl w:ilvl="2">
      <w:start w:val="1"/>
      <w:numFmt w:val="decimal"/>
      <w:lvlText w:val="%2.%3"/>
      <w:lvlJc w:val="left"/>
      <w:pPr>
        <w:tabs>
          <w:tab w:val="num" w:pos="2700"/>
        </w:tabs>
        <w:ind w:left="2700" w:hanging="720"/>
      </w:pPr>
      <w:rPr>
        <w:rFonts w:ascii="黑体" w:eastAsia="黑体" w:hint="eastAsia"/>
      </w:rPr>
    </w:lvl>
    <w:lvl w:ilvl="3">
      <w:start w:val="1"/>
      <w:numFmt w:val="decimal"/>
      <w:lvlText w:val="%2.%3.%4"/>
      <w:lvlJc w:val="left"/>
      <w:pPr>
        <w:tabs>
          <w:tab w:val="num" w:pos="864"/>
        </w:tabs>
        <w:ind w:left="864" w:hanging="864"/>
      </w:pPr>
      <w:rPr>
        <w:rFonts w:ascii="黑体" w:eastAsia="黑体"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
    <w:nsid w:val="00000006"/>
    <w:multiLevelType w:val="multilevel"/>
    <w:tmpl w:val="00000006"/>
    <w:lvl w:ilvl="0">
      <w:start w:val="1"/>
      <w:numFmt w:val="decimal"/>
      <w:lvlText w:val="第%1章"/>
      <w:lvlJc w:val="left"/>
      <w:pPr>
        <w:tabs>
          <w:tab w:val="num" w:pos="432"/>
        </w:tabs>
        <w:ind w:left="432" w:hanging="432"/>
      </w:pPr>
      <w:rPr>
        <w:rFonts w:hint="eastAsia"/>
      </w:rPr>
    </w:lvl>
    <w:lvl w:ilvl="1">
      <w:start w:val="1"/>
      <w:numFmt w:val="decimal"/>
      <w:lvlText w:val="%2"/>
      <w:lvlJc w:val="left"/>
      <w:pPr>
        <w:tabs>
          <w:tab w:val="num" w:pos="576"/>
        </w:tabs>
        <w:ind w:left="576" w:hanging="576"/>
      </w:pPr>
      <w:rPr>
        <w:rFonts w:hint="eastAsia"/>
      </w:rPr>
    </w:lvl>
    <w:lvl w:ilvl="2">
      <w:start w:val="1"/>
      <w:numFmt w:val="decimal"/>
      <w:lvlText w:val="%2.%3"/>
      <w:lvlJc w:val="left"/>
      <w:pPr>
        <w:tabs>
          <w:tab w:val="num" w:pos="720"/>
        </w:tabs>
        <w:ind w:left="720" w:hanging="720"/>
      </w:pPr>
      <w:rPr>
        <w:rFonts w:hint="eastAsia"/>
      </w:rPr>
    </w:lvl>
    <w:lvl w:ilvl="3">
      <w:start w:val="1"/>
      <w:numFmt w:val="decimal"/>
      <w:lvlText w:val="%2.%3.%4"/>
      <w:lvlJc w:val="left"/>
      <w:pPr>
        <w:tabs>
          <w:tab w:val="num" w:pos="864"/>
        </w:tabs>
        <w:ind w:left="864" w:hanging="864"/>
      </w:pPr>
      <w:rPr>
        <w:rFonts w:ascii="宋体" w:eastAsia="宋体" w:hAnsi="宋体" w:hint="eastAsia"/>
        <w:sz w:val="24"/>
        <w:szCs w:val="24"/>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
    <w:nsid w:val="00000008"/>
    <w:multiLevelType w:val="multilevel"/>
    <w:tmpl w:val="00000008"/>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A"/>
    <w:multiLevelType w:val="multilevel"/>
    <w:tmpl w:val="0000000A"/>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nsid w:val="0000000B"/>
    <w:multiLevelType w:val="multilevel"/>
    <w:tmpl w:val="0000000B"/>
    <w:lvl w:ilvl="0">
      <w:start w:val="1"/>
      <w:numFmt w:val="decimalZero"/>
      <w:lvlText w:val="%1."/>
      <w:lvlJc w:val="left"/>
      <w:pPr>
        <w:tabs>
          <w:tab w:val="num" w:pos="435"/>
        </w:tabs>
        <w:ind w:left="435" w:hanging="435"/>
      </w:pPr>
      <w:rPr>
        <w:rFonts w:hint="eastAsia"/>
      </w:rPr>
    </w:lvl>
    <w:lvl w:ilvl="1">
      <w:start w:val="1"/>
      <w:numFmt w:val="decimal"/>
      <w:lvlText w:val="（%2）"/>
      <w:lvlJc w:val="left"/>
      <w:pPr>
        <w:tabs>
          <w:tab w:val="num" w:pos="1980"/>
        </w:tabs>
        <w:ind w:left="1980" w:hanging="720"/>
      </w:pPr>
      <w:rPr>
        <w:rFonts w:ascii="Times New Roman" w:hAnsi="Times New Roman" w:cs="Times New Roman" w:hint="default"/>
        <w:color w:val="auto"/>
        <w:sz w:val="28"/>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C"/>
    <w:multiLevelType w:val="multilevel"/>
    <w:tmpl w:val="0000000C"/>
    <w:lvl w:ilvl="0">
      <w:start w:val="1"/>
      <w:numFmt w:val="decimal"/>
      <w:lvlText w:val="第%1条"/>
      <w:lvlJc w:val="left"/>
      <w:pPr>
        <w:tabs>
          <w:tab w:val="num" w:pos="1021"/>
        </w:tabs>
        <w:ind w:left="1021" w:hanging="1021"/>
      </w:pPr>
      <w:rPr>
        <w:rFonts w:eastAsia="宋体" w:hint="eastAsia"/>
        <w:b/>
        <w:i w:val="0"/>
        <w:outline w:val="0"/>
        <w:shadow w:val="0"/>
        <w:emboss w:val="0"/>
        <w:imprint w:val="0"/>
        <w:color w:val="000000"/>
        <w:sz w:val="24"/>
        <w:szCs w:val="24"/>
        <w:u w:val="none"/>
        <w:lang w:val="en-US"/>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560"/>
        </w:tabs>
        <w:ind w:left="1560" w:hanging="720"/>
      </w:pPr>
      <w:rPr>
        <w:rFonts w:hint="eastAsia"/>
        <w:lang w:val="en-US"/>
      </w:rPr>
    </w:lvl>
    <w:lvl w:ilvl="3">
      <w:start w:val="1"/>
      <w:numFmt w:val="decimal"/>
      <w:lvlText w:val="(%4)"/>
      <w:lvlJc w:val="left"/>
      <w:pPr>
        <w:tabs>
          <w:tab w:val="num" w:pos="1620"/>
        </w:tabs>
        <w:ind w:left="1620" w:hanging="360"/>
      </w:pPr>
      <w:rPr>
        <w:rFonts w:hint="eastAsia"/>
      </w:rPr>
    </w:lvl>
    <w:lvl w:ilvl="4">
      <w:start w:val="1"/>
      <w:numFmt w:val="decimal"/>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D"/>
    <w:multiLevelType w:val="multilevel"/>
    <w:tmpl w:val="0000000D"/>
    <w:lvl w:ilvl="0">
      <w:start w:val="1"/>
      <w:numFmt w:val="decimal"/>
      <w:lvlText w:val="（%1）"/>
      <w:lvlJc w:val="left"/>
      <w:pPr>
        <w:tabs>
          <w:tab w:val="num" w:pos="1980"/>
        </w:tabs>
        <w:ind w:left="1980" w:hanging="720"/>
      </w:pPr>
      <w:rPr>
        <w:rFonts w:ascii="Times New Roman" w:hAnsi="Times New Roman" w:cs="Times New Roman" w:hint="default"/>
        <w:color w:val="auto"/>
        <w:sz w:val="2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E"/>
    <w:multiLevelType w:val="multilevel"/>
    <w:tmpl w:val="0000000E"/>
    <w:lvl w:ilvl="0">
      <w:start w:val="1"/>
      <w:numFmt w:val="bullet"/>
      <w:lvlText w:val=""/>
      <w:lvlJc w:val="left"/>
      <w:pPr>
        <w:tabs>
          <w:tab w:val="num" w:pos="1303"/>
        </w:tabs>
        <w:ind w:left="1303" w:hanging="420"/>
      </w:pPr>
      <w:rPr>
        <w:rFonts w:ascii="Wingdings" w:hAnsi="Wingdings" w:hint="default"/>
      </w:rPr>
    </w:lvl>
    <w:lvl w:ilvl="1">
      <w:start w:val="1"/>
      <w:numFmt w:val="bullet"/>
      <w:lvlText w:val=""/>
      <w:lvlJc w:val="left"/>
      <w:pPr>
        <w:tabs>
          <w:tab w:val="num" w:pos="1723"/>
        </w:tabs>
        <w:ind w:left="1723" w:hanging="420"/>
      </w:pPr>
      <w:rPr>
        <w:rFonts w:ascii="Wingdings" w:hAnsi="Wingdings" w:hint="default"/>
      </w:rPr>
    </w:lvl>
    <w:lvl w:ilvl="2">
      <w:start w:val="1"/>
      <w:numFmt w:val="bullet"/>
      <w:lvlText w:val=""/>
      <w:lvlJc w:val="left"/>
      <w:pPr>
        <w:tabs>
          <w:tab w:val="num" w:pos="2143"/>
        </w:tabs>
        <w:ind w:left="2143" w:hanging="420"/>
      </w:pPr>
      <w:rPr>
        <w:rFonts w:ascii="Wingdings" w:hAnsi="Wingdings" w:hint="default"/>
      </w:rPr>
    </w:lvl>
    <w:lvl w:ilvl="3">
      <w:start w:val="1"/>
      <w:numFmt w:val="bullet"/>
      <w:lvlText w:val=""/>
      <w:lvlJc w:val="left"/>
      <w:pPr>
        <w:tabs>
          <w:tab w:val="num" w:pos="2563"/>
        </w:tabs>
        <w:ind w:left="2563" w:hanging="420"/>
      </w:pPr>
      <w:rPr>
        <w:rFonts w:ascii="Wingdings" w:hAnsi="Wingdings" w:hint="default"/>
      </w:rPr>
    </w:lvl>
    <w:lvl w:ilvl="4">
      <w:start w:val="1"/>
      <w:numFmt w:val="bullet"/>
      <w:lvlText w:val=""/>
      <w:lvlJc w:val="left"/>
      <w:pPr>
        <w:tabs>
          <w:tab w:val="num" w:pos="2983"/>
        </w:tabs>
        <w:ind w:left="2983" w:hanging="420"/>
      </w:pPr>
      <w:rPr>
        <w:rFonts w:ascii="Wingdings" w:hAnsi="Wingdings" w:hint="default"/>
      </w:rPr>
    </w:lvl>
    <w:lvl w:ilvl="5">
      <w:start w:val="1"/>
      <w:numFmt w:val="bullet"/>
      <w:lvlText w:val=""/>
      <w:lvlJc w:val="left"/>
      <w:pPr>
        <w:tabs>
          <w:tab w:val="num" w:pos="3403"/>
        </w:tabs>
        <w:ind w:left="3403" w:hanging="420"/>
      </w:pPr>
      <w:rPr>
        <w:rFonts w:ascii="Wingdings" w:hAnsi="Wingdings" w:hint="default"/>
      </w:rPr>
    </w:lvl>
    <w:lvl w:ilvl="6">
      <w:start w:val="1"/>
      <w:numFmt w:val="bullet"/>
      <w:lvlText w:val=""/>
      <w:lvlJc w:val="left"/>
      <w:pPr>
        <w:tabs>
          <w:tab w:val="num" w:pos="3823"/>
        </w:tabs>
        <w:ind w:left="3823" w:hanging="420"/>
      </w:pPr>
      <w:rPr>
        <w:rFonts w:ascii="Wingdings" w:hAnsi="Wingdings" w:hint="default"/>
      </w:rPr>
    </w:lvl>
    <w:lvl w:ilvl="7">
      <w:start w:val="1"/>
      <w:numFmt w:val="bullet"/>
      <w:lvlText w:val=""/>
      <w:lvlJc w:val="left"/>
      <w:pPr>
        <w:tabs>
          <w:tab w:val="num" w:pos="4243"/>
        </w:tabs>
        <w:ind w:left="4243" w:hanging="420"/>
      </w:pPr>
      <w:rPr>
        <w:rFonts w:ascii="Wingdings" w:hAnsi="Wingdings" w:hint="default"/>
      </w:rPr>
    </w:lvl>
    <w:lvl w:ilvl="8">
      <w:start w:val="1"/>
      <w:numFmt w:val="bullet"/>
      <w:lvlText w:val=""/>
      <w:lvlJc w:val="left"/>
      <w:pPr>
        <w:tabs>
          <w:tab w:val="num" w:pos="4663"/>
        </w:tabs>
        <w:ind w:left="4663" w:hanging="420"/>
      </w:pPr>
      <w:rPr>
        <w:rFonts w:ascii="Wingdings" w:hAnsi="Wingdings" w:hint="default"/>
      </w:rPr>
    </w:lvl>
  </w:abstractNum>
  <w:abstractNum w:abstractNumId="9">
    <w:nsid w:val="362D4FA3"/>
    <w:multiLevelType w:val="multilevel"/>
    <w:tmpl w:val="00000002"/>
    <w:lvl w:ilvl="0">
      <w:start w:val="1"/>
      <w:numFmt w:val="decimal"/>
      <w:lvlText w:val="第 %1 条"/>
      <w:lvlJc w:val="left"/>
      <w:pPr>
        <w:tabs>
          <w:tab w:val="num" w:pos="1080"/>
        </w:tabs>
        <w:ind w:left="0" w:firstLine="0"/>
      </w:pPr>
      <w:rPr>
        <w:rFonts w:ascii="宋体" w:eastAsia="宋体" w:hint="eastAsia"/>
        <w:b/>
        <w:i w:val="0"/>
        <w:color w:val="auto"/>
        <w:spacing w:val="0"/>
        <w:sz w:val="28"/>
        <w:lang w:val="en-US"/>
      </w:rPr>
    </w:lvl>
    <w:lvl w:ilvl="1">
      <w:start w:val="1"/>
      <w:numFmt w:val="decimalZero"/>
      <w:isLgl/>
      <w:lvlText w:val="节 %1.%2"/>
      <w:lvlJc w:val="left"/>
      <w:pPr>
        <w:tabs>
          <w:tab w:val="num" w:pos="720"/>
        </w:tabs>
        <w:ind w:left="0" w:firstLine="0"/>
      </w:pPr>
      <w:rPr>
        <w:rFonts w:hint="eastAsia"/>
      </w:rPr>
    </w:lvl>
    <w:lvl w:ilvl="2">
      <w:start w:val="1"/>
      <w:numFmt w:val="lowerLetter"/>
      <w:lvlText w:val="(%3)"/>
      <w:lvlJc w:val="left"/>
      <w:pPr>
        <w:tabs>
          <w:tab w:val="num" w:pos="720"/>
        </w:tabs>
        <w:ind w:left="720" w:hanging="432"/>
      </w:pPr>
      <w:rPr>
        <w:rFonts w:hint="eastAsia"/>
      </w:rPr>
    </w:lvl>
    <w:lvl w:ilvl="3">
      <w:start w:val="1"/>
      <w:numFmt w:val="lowerRoman"/>
      <w:lvlText w:val="(%4)"/>
      <w:lvlJc w:val="right"/>
      <w:pPr>
        <w:tabs>
          <w:tab w:val="num" w:pos="864"/>
        </w:tabs>
        <w:ind w:left="864" w:hanging="144"/>
      </w:pPr>
      <w:rPr>
        <w:rFonts w:hint="eastAsia"/>
      </w:rPr>
    </w:lvl>
    <w:lvl w:ilvl="4">
      <w:start w:val="1"/>
      <w:numFmt w:val="decimal"/>
      <w:lvlText w:val="%5)"/>
      <w:lvlJc w:val="left"/>
      <w:pPr>
        <w:tabs>
          <w:tab w:val="num" w:pos="1008"/>
        </w:tabs>
        <w:ind w:left="1008" w:hanging="432"/>
      </w:pPr>
      <w:rPr>
        <w:rFonts w:hint="eastAsia"/>
      </w:rPr>
    </w:lvl>
    <w:lvl w:ilvl="5">
      <w:start w:val="1"/>
      <w:numFmt w:val="lowerLetter"/>
      <w:lvlText w:val="%6)"/>
      <w:lvlJc w:val="left"/>
      <w:pPr>
        <w:tabs>
          <w:tab w:val="num" w:pos="1152"/>
        </w:tabs>
        <w:ind w:left="1152" w:hanging="432"/>
      </w:pPr>
      <w:rPr>
        <w:rFonts w:hint="eastAsia"/>
      </w:rPr>
    </w:lvl>
    <w:lvl w:ilvl="6">
      <w:start w:val="1"/>
      <w:numFmt w:val="lowerRoman"/>
      <w:lvlText w:val="%7)"/>
      <w:lvlJc w:val="right"/>
      <w:pPr>
        <w:tabs>
          <w:tab w:val="num" w:pos="1296"/>
        </w:tabs>
        <w:ind w:left="1296" w:hanging="288"/>
      </w:pPr>
      <w:rPr>
        <w:rFonts w:hint="eastAsia"/>
      </w:rPr>
    </w:lvl>
    <w:lvl w:ilvl="7">
      <w:start w:val="1"/>
      <w:numFmt w:val="lowerLetter"/>
      <w:lvlText w:val="%8."/>
      <w:lvlJc w:val="left"/>
      <w:pPr>
        <w:tabs>
          <w:tab w:val="num" w:pos="1440"/>
        </w:tabs>
        <w:ind w:left="1440" w:hanging="432"/>
      </w:pPr>
      <w:rPr>
        <w:rFonts w:hint="eastAsia"/>
      </w:rPr>
    </w:lvl>
    <w:lvl w:ilvl="8">
      <w:start w:val="1"/>
      <w:numFmt w:val="lowerRoman"/>
      <w:lvlText w:val="%9."/>
      <w:lvlJc w:val="right"/>
      <w:pPr>
        <w:tabs>
          <w:tab w:val="num" w:pos="1584"/>
        </w:tabs>
        <w:ind w:left="1584" w:hanging="144"/>
      </w:pPr>
      <w:rPr>
        <w:rFonts w:hint="eastAsia"/>
      </w:rPr>
    </w:lvl>
  </w:abstractNum>
  <w:abstractNum w:abstractNumId="10">
    <w:nsid w:val="4EC81552"/>
    <w:multiLevelType w:val="multilevel"/>
    <w:tmpl w:val="00000002"/>
    <w:lvl w:ilvl="0">
      <w:start w:val="1"/>
      <w:numFmt w:val="decimal"/>
      <w:lvlText w:val="第 %1 条"/>
      <w:lvlJc w:val="left"/>
      <w:pPr>
        <w:tabs>
          <w:tab w:val="num" w:pos="1080"/>
        </w:tabs>
        <w:ind w:left="0" w:firstLine="0"/>
      </w:pPr>
      <w:rPr>
        <w:rFonts w:ascii="宋体" w:eastAsia="宋体" w:hint="eastAsia"/>
        <w:b/>
        <w:i w:val="0"/>
        <w:color w:val="auto"/>
        <w:spacing w:val="0"/>
        <w:sz w:val="28"/>
        <w:lang w:val="en-US"/>
      </w:rPr>
    </w:lvl>
    <w:lvl w:ilvl="1">
      <w:start w:val="1"/>
      <w:numFmt w:val="decimalZero"/>
      <w:isLgl/>
      <w:lvlText w:val="节 %1.%2"/>
      <w:lvlJc w:val="left"/>
      <w:pPr>
        <w:tabs>
          <w:tab w:val="num" w:pos="720"/>
        </w:tabs>
        <w:ind w:left="0" w:firstLine="0"/>
      </w:pPr>
      <w:rPr>
        <w:rFonts w:hint="eastAsia"/>
      </w:rPr>
    </w:lvl>
    <w:lvl w:ilvl="2">
      <w:start w:val="1"/>
      <w:numFmt w:val="lowerLetter"/>
      <w:lvlText w:val="(%3)"/>
      <w:lvlJc w:val="left"/>
      <w:pPr>
        <w:tabs>
          <w:tab w:val="num" w:pos="720"/>
        </w:tabs>
        <w:ind w:left="720" w:hanging="432"/>
      </w:pPr>
      <w:rPr>
        <w:rFonts w:hint="eastAsia"/>
      </w:rPr>
    </w:lvl>
    <w:lvl w:ilvl="3">
      <w:start w:val="1"/>
      <w:numFmt w:val="lowerRoman"/>
      <w:lvlText w:val="(%4)"/>
      <w:lvlJc w:val="right"/>
      <w:pPr>
        <w:tabs>
          <w:tab w:val="num" w:pos="864"/>
        </w:tabs>
        <w:ind w:left="864" w:hanging="144"/>
      </w:pPr>
      <w:rPr>
        <w:rFonts w:hint="eastAsia"/>
      </w:rPr>
    </w:lvl>
    <w:lvl w:ilvl="4">
      <w:start w:val="1"/>
      <w:numFmt w:val="decimal"/>
      <w:lvlText w:val="%5)"/>
      <w:lvlJc w:val="left"/>
      <w:pPr>
        <w:tabs>
          <w:tab w:val="num" w:pos="1008"/>
        </w:tabs>
        <w:ind w:left="1008" w:hanging="432"/>
      </w:pPr>
      <w:rPr>
        <w:rFonts w:hint="eastAsia"/>
      </w:rPr>
    </w:lvl>
    <w:lvl w:ilvl="5">
      <w:start w:val="1"/>
      <w:numFmt w:val="lowerLetter"/>
      <w:lvlText w:val="%6)"/>
      <w:lvlJc w:val="left"/>
      <w:pPr>
        <w:tabs>
          <w:tab w:val="num" w:pos="1152"/>
        </w:tabs>
        <w:ind w:left="1152" w:hanging="432"/>
      </w:pPr>
      <w:rPr>
        <w:rFonts w:hint="eastAsia"/>
      </w:rPr>
    </w:lvl>
    <w:lvl w:ilvl="6">
      <w:start w:val="1"/>
      <w:numFmt w:val="lowerRoman"/>
      <w:lvlText w:val="%7)"/>
      <w:lvlJc w:val="right"/>
      <w:pPr>
        <w:tabs>
          <w:tab w:val="num" w:pos="1296"/>
        </w:tabs>
        <w:ind w:left="1296" w:hanging="288"/>
      </w:pPr>
      <w:rPr>
        <w:rFonts w:hint="eastAsia"/>
      </w:rPr>
    </w:lvl>
    <w:lvl w:ilvl="7">
      <w:start w:val="1"/>
      <w:numFmt w:val="lowerLetter"/>
      <w:lvlText w:val="%8."/>
      <w:lvlJc w:val="left"/>
      <w:pPr>
        <w:tabs>
          <w:tab w:val="num" w:pos="1440"/>
        </w:tabs>
        <w:ind w:left="1440" w:hanging="432"/>
      </w:pPr>
      <w:rPr>
        <w:rFonts w:hint="eastAsia"/>
      </w:rPr>
    </w:lvl>
    <w:lvl w:ilvl="8">
      <w:start w:val="1"/>
      <w:numFmt w:val="lowerRoman"/>
      <w:lvlText w:val="%9."/>
      <w:lvlJc w:val="right"/>
      <w:pPr>
        <w:tabs>
          <w:tab w:val="num" w:pos="1584"/>
        </w:tabs>
        <w:ind w:left="1584" w:hanging="144"/>
      </w:pPr>
      <w:rPr>
        <w:rFonts w:hint="eastAsia"/>
      </w:rPr>
    </w:lvl>
  </w:abstractNum>
  <w:abstractNum w:abstractNumId="11">
    <w:nsid w:val="5FF89BC6"/>
    <w:multiLevelType w:val="multilevel"/>
    <w:tmpl w:val="0000000A"/>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
    <w:nsid w:val="759EC74F"/>
    <w:multiLevelType w:val="multilevel"/>
    <w:tmpl w:val="00000002"/>
    <w:lvl w:ilvl="0">
      <w:start w:val="1"/>
      <w:numFmt w:val="decimal"/>
      <w:lvlText w:val="第 %1 条"/>
      <w:lvlJc w:val="left"/>
      <w:pPr>
        <w:tabs>
          <w:tab w:val="num" w:pos="1080"/>
        </w:tabs>
        <w:ind w:left="0" w:firstLine="0"/>
      </w:pPr>
      <w:rPr>
        <w:rFonts w:ascii="宋体" w:eastAsia="宋体" w:hint="eastAsia"/>
        <w:b/>
        <w:i w:val="0"/>
        <w:color w:val="auto"/>
        <w:spacing w:val="0"/>
        <w:sz w:val="28"/>
        <w:lang w:val="en-US"/>
      </w:rPr>
    </w:lvl>
    <w:lvl w:ilvl="1">
      <w:start w:val="1"/>
      <w:numFmt w:val="decimalZero"/>
      <w:isLgl/>
      <w:lvlText w:val="节 %1.%2"/>
      <w:lvlJc w:val="left"/>
      <w:pPr>
        <w:tabs>
          <w:tab w:val="num" w:pos="720"/>
        </w:tabs>
        <w:ind w:left="0" w:firstLine="0"/>
      </w:pPr>
      <w:rPr>
        <w:rFonts w:hint="eastAsia"/>
      </w:rPr>
    </w:lvl>
    <w:lvl w:ilvl="2">
      <w:start w:val="1"/>
      <w:numFmt w:val="lowerLetter"/>
      <w:lvlText w:val="(%3)"/>
      <w:lvlJc w:val="left"/>
      <w:pPr>
        <w:tabs>
          <w:tab w:val="num" w:pos="720"/>
        </w:tabs>
        <w:ind w:left="720" w:hanging="432"/>
      </w:pPr>
      <w:rPr>
        <w:rFonts w:hint="eastAsia"/>
      </w:rPr>
    </w:lvl>
    <w:lvl w:ilvl="3">
      <w:start w:val="1"/>
      <w:numFmt w:val="lowerRoman"/>
      <w:lvlText w:val="(%4)"/>
      <w:lvlJc w:val="right"/>
      <w:pPr>
        <w:tabs>
          <w:tab w:val="num" w:pos="864"/>
        </w:tabs>
        <w:ind w:left="864" w:hanging="144"/>
      </w:pPr>
      <w:rPr>
        <w:rFonts w:hint="eastAsia"/>
      </w:rPr>
    </w:lvl>
    <w:lvl w:ilvl="4">
      <w:start w:val="1"/>
      <w:numFmt w:val="decimal"/>
      <w:lvlText w:val="%5)"/>
      <w:lvlJc w:val="left"/>
      <w:pPr>
        <w:tabs>
          <w:tab w:val="num" w:pos="1008"/>
        </w:tabs>
        <w:ind w:left="1008" w:hanging="432"/>
      </w:pPr>
      <w:rPr>
        <w:rFonts w:hint="eastAsia"/>
      </w:rPr>
    </w:lvl>
    <w:lvl w:ilvl="5">
      <w:start w:val="1"/>
      <w:numFmt w:val="lowerLetter"/>
      <w:lvlText w:val="%6)"/>
      <w:lvlJc w:val="left"/>
      <w:pPr>
        <w:tabs>
          <w:tab w:val="num" w:pos="1152"/>
        </w:tabs>
        <w:ind w:left="1152" w:hanging="432"/>
      </w:pPr>
      <w:rPr>
        <w:rFonts w:hint="eastAsia"/>
      </w:rPr>
    </w:lvl>
    <w:lvl w:ilvl="6">
      <w:start w:val="1"/>
      <w:numFmt w:val="lowerRoman"/>
      <w:lvlText w:val="%7)"/>
      <w:lvlJc w:val="right"/>
      <w:pPr>
        <w:tabs>
          <w:tab w:val="num" w:pos="1296"/>
        </w:tabs>
        <w:ind w:left="1296" w:hanging="288"/>
      </w:pPr>
      <w:rPr>
        <w:rFonts w:hint="eastAsia"/>
      </w:rPr>
    </w:lvl>
    <w:lvl w:ilvl="7">
      <w:start w:val="1"/>
      <w:numFmt w:val="lowerLetter"/>
      <w:lvlText w:val="%8."/>
      <w:lvlJc w:val="left"/>
      <w:pPr>
        <w:tabs>
          <w:tab w:val="num" w:pos="1440"/>
        </w:tabs>
        <w:ind w:left="1440" w:hanging="432"/>
      </w:pPr>
      <w:rPr>
        <w:rFonts w:hint="eastAsia"/>
      </w:rPr>
    </w:lvl>
    <w:lvl w:ilvl="8">
      <w:start w:val="1"/>
      <w:numFmt w:val="lowerRoman"/>
      <w:lvlText w:val="%9."/>
      <w:lvlJc w:val="right"/>
      <w:pPr>
        <w:tabs>
          <w:tab w:val="num" w:pos="1584"/>
        </w:tabs>
        <w:ind w:left="1584" w:hanging="144"/>
      </w:pPr>
      <w:rPr>
        <w:rFonts w:hint="eastAsia"/>
      </w:rPr>
    </w:lvl>
  </w:abstractNum>
  <w:num w:numId="1">
    <w:abstractNumId w:val="1"/>
  </w:num>
  <w:num w:numId="2">
    <w:abstractNumId w:val="2"/>
  </w:num>
  <w:num w:numId="3">
    <w:abstractNumId w:val="6"/>
  </w:num>
  <w:num w:numId="4">
    <w:abstractNumId w:val="3"/>
  </w:num>
  <w:num w:numId="5">
    <w:abstractNumId w:val="4"/>
  </w:num>
  <w:num w:numId="6">
    <w:abstractNumId w:val="8"/>
  </w:num>
  <w:num w:numId="7">
    <w:abstractNumId w:val="5"/>
  </w:num>
  <w:num w:numId="8">
    <w:abstractNumId w:val="0"/>
  </w:num>
  <w:num w:numId="9">
    <w:abstractNumId w:val="7"/>
  </w:num>
  <w:num w:numId="10">
    <w:abstractNumId w:val="11"/>
  </w:num>
  <w:num w:numId="11">
    <w:abstractNumId w:val="10"/>
  </w:num>
  <w:num w:numId="12">
    <w:abstractNumId w:val="9"/>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400" w:lineRule="exact"/>
      <w:ind w:firstLine="200" w:firstLineChars="200"/>
      <w:jc w:val="both"/>
    </w:pPr>
    <w:rPr>
      <w:kern w:val="2"/>
      <w:sz w:val="24"/>
      <w:szCs w:val="24"/>
      <w:lang w:val="en-US" w:eastAsia="zh-CN" w:bidi="ar-SA"/>
    </w:rPr>
  </w:style>
  <w:style w:type="paragraph" w:styleId="Heading1">
    <w:name w:val="heading 1"/>
    <w:basedOn w:val="Normal"/>
    <w:next w:val="Normal"/>
    <w:uiPriority w:val="9"/>
    <w:qFormat/>
    <w:pPr>
      <w:keepNext/>
      <w:keepLines/>
      <w:numPr>
        <w:ilvl w:val="0"/>
        <w:numId w:val="1"/>
      </w:numPr>
      <w:tabs>
        <w:tab w:val="left" w:pos="432"/>
      </w:tabs>
      <w:spacing w:before="960" w:beforeLines="0" w:after="360" w:afterLines="0" w:line="720" w:lineRule="auto"/>
      <w:ind w:right="1565" w:firstLineChars="0"/>
      <w:outlineLvl w:val="0"/>
    </w:pPr>
    <w:rPr>
      <w:b/>
      <w:bCs/>
      <w:sz w:val="48"/>
    </w:rPr>
  </w:style>
  <w:style w:type="paragraph" w:styleId="Heading2">
    <w:name w:val="heading 2"/>
    <w:basedOn w:val="Normal"/>
    <w:next w:val="Normal"/>
    <w:uiPriority w:val="9"/>
    <w:qFormat/>
    <w:pPr>
      <w:numPr>
        <w:ilvl w:val="1"/>
        <w:numId w:val="1"/>
      </w:numPr>
      <w:tabs>
        <w:tab w:val="clear" w:pos="576"/>
        <w:tab w:val="left" w:pos="720"/>
        <w:tab w:val="left" w:pos="900"/>
      </w:tabs>
      <w:spacing w:before="360" w:beforeLines="0" w:after="240" w:afterLines="0" w:line="720" w:lineRule="auto"/>
      <w:ind w:left="540" w:firstLineChars="0"/>
      <w:jc w:val="left"/>
      <w:outlineLvl w:val="1"/>
    </w:pPr>
    <w:rPr>
      <w:rFonts w:ascii="Arial" w:eastAsia="黑体" w:hAnsi="Arial"/>
      <w:b/>
      <w:bCs/>
      <w:sz w:val="36"/>
      <w:szCs w:val="32"/>
    </w:rPr>
  </w:style>
  <w:style w:type="paragraph" w:styleId="Heading3">
    <w:name w:val="heading 3"/>
    <w:basedOn w:val="Normal"/>
    <w:next w:val="Normal"/>
    <w:uiPriority w:val="9"/>
    <w:qFormat/>
    <w:pPr>
      <w:numPr>
        <w:ilvl w:val="2"/>
        <w:numId w:val="1"/>
      </w:numPr>
      <w:tabs>
        <w:tab w:val="left" w:pos="0"/>
        <w:tab w:val="clear" w:pos="2700"/>
      </w:tabs>
      <w:spacing w:before="240" w:beforeLines="0" w:after="240" w:afterLines="0" w:line="240" w:lineRule="atLeast"/>
      <w:ind w:hanging="2700" w:firstLineChars="0"/>
      <w:outlineLvl w:val="2"/>
    </w:pPr>
    <w:rPr>
      <w:rFonts w:eastAsia="黑体"/>
      <w:b/>
      <w:bCs/>
      <w:color w:val="000000"/>
      <w:sz w:val="28"/>
      <w:szCs w:val="32"/>
    </w:rPr>
  </w:style>
  <w:style w:type="paragraph" w:styleId="Heading4">
    <w:name w:val="heading 4"/>
    <w:basedOn w:val="Normal"/>
    <w:next w:val="Normal"/>
    <w:uiPriority w:val="9"/>
    <w:qFormat/>
    <w:pPr>
      <w:numPr>
        <w:ilvl w:val="3"/>
        <w:numId w:val="1"/>
      </w:numPr>
      <w:tabs>
        <w:tab w:val="left" w:pos="864"/>
      </w:tabs>
      <w:spacing w:before="120" w:beforeLines="0" w:after="120" w:afterLines="0" w:line="240" w:lineRule="auto"/>
      <w:ind w:firstLineChars="0"/>
      <w:outlineLvl w:val="3"/>
    </w:pPr>
    <w:rPr>
      <w:rFonts w:ascii="Arial" w:eastAsia="黑体" w:hAnsi="Arial"/>
      <w:bCs/>
      <w:szCs w:val="28"/>
    </w:rPr>
  </w:style>
  <w:style w:type="paragraph" w:styleId="Heading5">
    <w:name w:val="heading 5"/>
    <w:basedOn w:val="Normal"/>
    <w:next w:val="Normal"/>
    <w:uiPriority w:val="9"/>
    <w:qFormat/>
    <w:pPr>
      <w:keepNext/>
      <w:keepLines/>
      <w:numPr>
        <w:ilvl w:val="4"/>
        <w:numId w:val="1"/>
      </w:numPr>
      <w:tabs>
        <w:tab w:val="left" w:pos="1008"/>
      </w:tabs>
      <w:spacing w:before="280" w:beforeLines="0" w:after="290" w:afterLines="0" w:line="376" w:lineRule="auto"/>
      <w:ind w:firstLineChars="0"/>
      <w:outlineLvl w:val="4"/>
    </w:pPr>
    <w:rPr>
      <w:bCs/>
      <w:szCs w:val="28"/>
    </w:rPr>
  </w:style>
  <w:style w:type="paragraph" w:styleId="Heading6">
    <w:name w:val="heading 6"/>
    <w:basedOn w:val="Normal"/>
    <w:next w:val="Normal"/>
    <w:uiPriority w:val="9"/>
    <w:qFormat/>
    <w:pPr>
      <w:keepNext/>
      <w:keepLines/>
      <w:numPr>
        <w:ilvl w:val="5"/>
        <w:numId w:val="1"/>
      </w:numPr>
      <w:tabs>
        <w:tab w:val="left" w:pos="1152"/>
      </w:tabs>
      <w:spacing w:before="240" w:beforeLines="0" w:after="64" w:afterLines="0" w:line="320" w:lineRule="auto"/>
      <w:ind w:firstLineChars="0"/>
      <w:outlineLvl w:val="5"/>
    </w:pPr>
    <w:rPr>
      <w:rFonts w:ascii="Arial" w:eastAsia="黑体" w:hAnsi="Arial"/>
      <w:b/>
      <w:bCs/>
      <w:sz w:val="24"/>
    </w:rPr>
  </w:style>
  <w:style w:type="paragraph" w:styleId="Heading7">
    <w:name w:val="heading 7"/>
    <w:basedOn w:val="Normal"/>
    <w:next w:val="Normal"/>
    <w:uiPriority w:val="9"/>
    <w:qFormat/>
    <w:pPr>
      <w:keepNext/>
      <w:keepLines/>
      <w:numPr>
        <w:ilvl w:val="6"/>
        <w:numId w:val="1"/>
      </w:numPr>
      <w:tabs>
        <w:tab w:val="left" w:pos="1296"/>
      </w:tabs>
      <w:spacing w:before="240" w:beforeLines="0" w:after="64" w:afterLines="0" w:line="320" w:lineRule="auto"/>
      <w:ind w:firstLineChars="0"/>
      <w:outlineLvl w:val="6"/>
    </w:pPr>
    <w:rPr>
      <w:b/>
      <w:bCs/>
      <w:sz w:val="24"/>
    </w:rPr>
  </w:style>
  <w:style w:type="paragraph" w:styleId="Heading8">
    <w:name w:val="heading 8"/>
    <w:basedOn w:val="Normal"/>
    <w:next w:val="Normal"/>
    <w:uiPriority w:val="9"/>
    <w:qFormat/>
    <w:pPr>
      <w:keepNext/>
      <w:keepLines/>
      <w:numPr>
        <w:ilvl w:val="7"/>
        <w:numId w:val="1"/>
      </w:numPr>
      <w:tabs>
        <w:tab w:val="left" w:pos="1440"/>
      </w:tabs>
      <w:spacing w:before="240" w:beforeLines="0" w:after="64" w:afterLines="0" w:line="320" w:lineRule="auto"/>
      <w:ind w:firstLineChars="0"/>
      <w:outlineLvl w:val="7"/>
    </w:pPr>
    <w:rPr>
      <w:rFonts w:ascii="Arial" w:eastAsia="黑体" w:hAnsi="Arial"/>
      <w:sz w:val="24"/>
    </w:rPr>
  </w:style>
  <w:style w:type="paragraph" w:styleId="Heading9">
    <w:name w:val="heading 9"/>
    <w:basedOn w:val="Normal"/>
    <w:next w:val="Normal"/>
    <w:uiPriority w:val="9"/>
    <w:qFormat/>
    <w:pPr>
      <w:keepNext/>
      <w:keepLines/>
      <w:numPr>
        <w:ilvl w:val="8"/>
        <w:numId w:val="1"/>
      </w:numPr>
      <w:tabs>
        <w:tab w:val="left" w:pos="1584"/>
      </w:tabs>
      <w:spacing w:before="240" w:beforeLines="0" w:after="64" w:afterLines="0" w:line="320" w:lineRule="auto"/>
      <w:ind w:firstLineChars="0"/>
      <w:outlineLvl w:val="8"/>
    </w:pPr>
    <w:rPr>
      <w:rFonts w:ascii="Arial" w:eastAsia="黑体" w:hAnsi="Arial"/>
      <w:szCs w:val="21"/>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customStyle="1" w:styleId="showtitlebodycontent1">
    <w:name w:val="showtitlebodycontent1"/>
    <w:basedOn w:val="DefaultParagraphFont"/>
    <w:rPr>
      <w:sz w:val="21"/>
      <w:szCs w:val="21"/>
    </w:rPr>
  </w:style>
  <w:style w:type="paragraph" w:styleId="TOC4">
    <w:name w:val="toc 4"/>
    <w:basedOn w:val="Normal"/>
    <w:next w:val="Normal"/>
    <w:uiPriority w:val="39"/>
    <w:pPr>
      <w:ind w:left="720"/>
      <w:jc w:val="left"/>
    </w:pPr>
    <w:rPr>
      <w:sz w:val="18"/>
      <w:szCs w:val="18"/>
    </w:rPr>
  </w:style>
  <w:style w:type="paragraph" w:styleId="BodyTextIndent3">
    <w:name w:val="Body Text Indent 3"/>
    <w:basedOn w:val="Normal"/>
    <w:pPr>
      <w:tabs>
        <w:tab w:val="left" w:pos="0"/>
      </w:tabs>
      <w:spacing w:line="360" w:lineRule="auto"/>
      <w:ind w:firstLine="425" w:firstLineChars="0"/>
    </w:pPr>
    <w:rPr>
      <w:rFonts w:ascii="宋体"/>
      <w:szCs w:val="20"/>
    </w:rPr>
  </w:style>
  <w:style w:type="paragraph" w:styleId="Header">
    <w:name w:val="header"/>
    <w:basedOn w:val="Normal"/>
    <w:pPr>
      <w:pBdr>
        <w:bottom w:val="single" w:sz="6" w:space="1" w:color="auto"/>
      </w:pBdr>
      <w:tabs>
        <w:tab w:val="center" w:pos="4153"/>
        <w:tab w:val="right" w:pos="8306"/>
      </w:tabs>
      <w:snapToGrid w:val="0"/>
      <w:spacing w:line="240" w:lineRule="auto"/>
      <w:jc w:val="center"/>
    </w:pPr>
    <w:rPr>
      <w:sz w:val="18"/>
      <w:szCs w:val="18"/>
    </w:rPr>
  </w:style>
  <w:style w:type="paragraph" w:styleId="TOC2">
    <w:name w:val="toc 2"/>
    <w:basedOn w:val="Normal"/>
    <w:next w:val="Normal"/>
    <w:uiPriority w:val="39"/>
    <w:pPr>
      <w:tabs>
        <w:tab w:val="left" w:pos="1200"/>
        <w:tab w:val="right" w:leader="dot" w:pos="8398"/>
      </w:tabs>
      <w:ind w:left="240"/>
      <w:jc w:val="left"/>
    </w:pPr>
    <w:rPr>
      <w:smallCaps/>
    </w:rPr>
  </w:style>
  <w:style w:type="paragraph" w:styleId="TOC5">
    <w:name w:val="toc 5"/>
    <w:basedOn w:val="Normal"/>
    <w:next w:val="Normal"/>
    <w:uiPriority w:val="39"/>
    <w:pPr>
      <w:ind w:left="960"/>
      <w:jc w:val="left"/>
    </w:pPr>
    <w:rPr>
      <w:sz w:val="18"/>
      <w:szCs w:val="18"/>
    </w:rPr>
  </w:style>
  <w:style w:type="paragraph" w:styleId="NormalWeb">
    <w:name w:val="Normal (Web)"/>
    <w:basedOn w:val="Normal"/>
    <w:pPr>
      <w:widowControl/>
      <w:spacing w:before="100" w:beforeLines="0" w:beforeAutospacing="1" w:after="100" w:afterLines="0" w:afterAutospacing="1" w:line="240" w:lineRule="auto"/>
      <w:ind w:firstLine="0" w:firstLineChars="0"/>
      <w:jc w:val="left"/>
    </w:pPr>
    <w:rPr>
      <w:rFonts w:ascii="Arial Unicode MS" w:eastAsia="Arial Unicode MS" w:hAnsi="Arial Unicode MS" w:cs="Arial Unicode MS"/>
      <w:kern w:val="0"/>
    </w:rPr>
  </w:style>
  <w:style w:type="paragraph" w:styleId="TOC6">
    <w:name w:val="toc 6"/>
    <w:basedOn w:val="Normal"/>
    <w:next w:val="Normal"/>
    <w:uiPriority w:val="39"/>
    <w:pPr>
      <w:ind w:left="1200"/>
      <w:jc w:val="left"/>
    </w:pPr>
    <w:rPr>
      <w:sz w:val="18"/>
      <w:szCs w:val="18"/>
    </w:rPr>
  </w:style>
  <w:style w:type="paragraph" w:styleId="BodyTextIndent">
    <w:name w:val="Body Text Indent"/>
    <w:basedOn w:val="Normal"/>
    <w:pPr>
      <w:ind w:firstLine="480"/>
      <w:jc w:val="left"/>
    </w:pPr>
  </w:style>
  <w:style w:type="paragraph" w:styleId="List">
    <w:name w:val="List"/>
    <w:basedOn w:val="BodyText"/>
    <w:pPr>
      <w:spacing w:after="0" w:afterLines="0" w:line="240" w:lineRule="auto"/>
      <w:ind w:firstLine="0" w:firstLineChars="0"/>
      <w:jc w:val="left"/>
    </w:pPr>
    <w:rPr>
      <w:bCs/>
      <w:kern w:val="0"/>
      <w:sz w:val="21"/>
      <w:szCs w:val="20"/>
      <w:lang w:bidi="he-IL"/>
    </w:rPr>
  </w:style>
  <w:style w:type="paragraph" w:styleId="TOC1">
    <w:name w:val="toc 1"/>
    <w:basedOn w:val="Normal"/>
    <w:next w:val="Normal"/>
    <w:uiPriority w:val="39"/>
    <w:pPr>
      <w:tabs>
        <w:tab w:val="right" w:leader="dot" w:pos="8398"/>
      </w:tabs>
      <w:spacing w:before="120" w:beforeLines="0" w:after="120" w:afterLines="0"/>
      <w:ind w:firstLine="400"/>
      <w:jc w:val="left"/>
    </w:pPr>
    <w:rPr>
      <w:b/>
      <w:bCs/>
      <w:caps/>
      <w:color w:val="3366FF"/>
      <w:sz w:val="28"/>
      <w:szCs w:val="48"/>
    </w:rPr>
  </w:style>
  <w:style w:type="paragraph" w:styleId="BodyText">
    <w:name w:val="Body Text"/>
    <w:basedOn w:val="Normal"/>
    <w:pPr>
      <w:spacing w:after="120" w:afterLines="0"/>
    </w:pPr>
  </w:style>
  <w:style w:type="paragraph" w:customStyle="1" w:styleId="a">
    <w:name w:val="正文缩近"/>
    <w:basedOn w:val="BodyTextFirstIndent"/>
    <w:pPr>
      <w:spacing w:before="31" w:beforeLines="10" w:line="400" w:lineRule="atLeast"/>
      <w:ind w:firstLine="480" w:firstLineChars="200"/>
    </w:pPr>
  </w:style>
  <w:style w:type="paragraph" w:styleId="TOC7">
    <w:name w:val="toc 7"/>
    <w:basedOn w:val="Normal"/>
    <w:next w:val="Normal"/>
    <w:uiPriority w:val="39"/>
    <w:pPr>
      <w:ind w:left="1440"/>
      <w:jc w:val="left"/>
    </w:pPr>
    <w:rPr>
      <w:sz w:val="18"/>
      <w:szCs w:val="18"/>
    </w:rPr>
  </w:style>
  <w:style w:type="paragraph" w:styleId="TOC8">
    <w:name w:val="toc 8"/>
    <w:basedOn w:val="Normal"/>
    <w:next w:val="Normal"/>
    <w:uiPriority w:val="39"/>
    <w:pPr>
      <w:ind w:left="1680"/>
      <w:jc w:val="left"/>
    </w:pPr>
    <w:rPr>
      <w:sz w:val="18"/>
      <w:szCs w:val="18"/>
    </w:rPr>
  </w:style>
  <w:style w:type="paragraph" w:styleId="BodyText2">
    <w:name w:val="Body Text 2"/>
    <w:basedOn w:val="Normal"/>
    <w:pPr>
      <w:spacing w:after="120" w:afterLines="0" w:line="480" w:lineRule="auto"/>
    </w:pPr>
  </w:style>
  <w:style w:type="paragraph" w:styleId="PlainText">
    <w:name w:val="Plain Text"/>
    <w:basedOn w:val="Normal"/>
    <w:pPr>
      <w:spacing w:line="240" w:lineRule="auto"/>
      <w:ind w:firstLine="0" w:firstLineChars="0"/>
      <w:jc w:val="left"/>
    </w:pPr>
    <w:rPr>
      <w:rFonts w:ascii="宋体" w:hAnsi="Courier New"/>
      <w:sz w:val="21"/>
      <w:szCs w:val="21"/>
    </w:rPr>
  </w:style>
  <w:style w:type="paragraph" w:styleId="BodyTextFirstIndent">
    <w:name w:val="Body Text First Indent"/>
    <w:basedOn w:val="BodyText"/>
    <w:pPr>
      <w:ind w:firstLine="420" w:firstLineChars="100"/>
    </w:pPr>
  </w:style>
  <w:style w:type="paragraph" w:styleId="DocumentMap">
    <w:name w:val="Document Map"/>
    <w:basedOn w:val="Normal"/>
    <w:pPr>
      <w:shd w:val="clear" w:color="auto" w:fill="000080"/>
    </w:pPr>
  </w:style>
  <w:style w:type="paragraph" w:styleId="TOC9">
    <w:name w:val="toc 9"/>
    <w:basedOn w:val="Normal"/>
    <w:next w:val="Normal"/>
    <w:uiPriority w:val="39"/>
    <w:pPr>
      <w:ind w:left="1920"/>
      <w:jc w:val="left"/>
    </w:pPr>
    <w:rPr>
      <w:sz w:val="18"/>
      <w:szCs w:val="18"/>
    </w:rPr>
  </w:style>
  <w:style w:type="paragraph" w:styleId="BodyTextIndent2">
    <w:name w:val="Body Text Indent 2"/>
    <w:basedOn w:val="Normal"/>
    <w:pPr>
      <w:spacing w:after="120" w:afterLines="0" w:line="480" w:lineRule="auto"/>
      <w:ind w:left="420" w:leftChars="200"/>
    </w:pPr>
  </w:style>
  <w:style w:type="paragraph" w:styleId="TOC3">
    <w:name w:val="toc 3"/>
    <w:basedOn w:val="Normal"/>
    <w:next w:val="Normal"/>
    <w:uiPriority w:val="39"/>
    <w:pPr>
      <w:ind w:left="480"/>
      <w:jc w:val="left"/>
    </w:pPr>
    <w:rPr>
      <w:i/>
      <w:iCs/>
      <w:sz w:val="20"/>
      <w:szCs w:val="20"/>
    </w:rPr>
  </w:style>
  <w:style w:type="paragraph" w:styleId="Footer">
    <w:name w:val="footer"/>
    <w:basedOn w:val="Normal"/>
    <w:pPr>
      <w:tabs>
        <w:tab w:val="center" w:pos="4153"/>
        <w:tab w:val="right" w:pos="8306"/>
      </w:tabs>
      <w:snapToGrid w:val="0"/>
      <w:spacing w:line="240" w:lineRule="auto"/>
      <w:jc w:val="left"/>
    </w:pPr>
    <w:rPr>
      <w:sz w:val="18"/>
      <w:szCs w:val="18"/>
    </w:rPr>
  </w:style>
  <w:style w:type="paragraph" w:styleId="NormalIndent">
    <w:name w:val="Normal Indent"/>
    <w:basedOn w:val="Normal"/>
    <w:pPr>
      <w:spacing w:line="480" w:lineRule="auto"/>
      <w:ind w:firstLine="420" w:firstLineChars="0"/>
    </w:pPr>
    <w:rPr>
      <w:rFonts w:eastAsia="幼圆"/>
      <w:spacing w:val="40"/>
      <w:szCs w:val="20"/>
    </w:rPr>
  </w:style>
  <w:style w:type="paragraph" w:customStyle="1" w:styleId="2">
    <w:name w:val="样式 首行缩进:  2 字符"/>
    <w:basedOn w:val="Normal"/>
    <w:rPr>
      <w:rFonts w:ascii="宋体" w:hAnsi="宋体" w:cs="宋体"/>
      <w:szCs w:val="20"/>
    </w:rPr>
  </w:style>
  <w:style w:type="paragraph" w:customStyle="1" w:styleId="xl28">
    <w:name w:val="xl28"/>
    <w:basedOn w:val="Normal"/>
    <w:pPr>
      <w:widowControl/>
      <w:pBdr>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49">
    <w:name w:val="xl49"/>
    <w:basedOn w:val="Normal"/>
    <w:pPr>
      <w:widowControl/>
      <w:pBdr>
        <w:top w:val="single" w:sz="12"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font5">
    <w:name w:val="font5"/>
    <w:basedOn w:val="Normal"/>
    <w:pPr>
      <w:widowControl/>
      <w:spacing w:before="100" w:beforeLines="0" w:beforeAutospacing="1" w:after="100" w:afterLines="0" w:afterAutospacing="1" w:line="240" w:lineRule="auto"/>
      <w:ind w:firstLine="0" w:firstLineChars="0"/>
      <w:jc w:val="left"/>
    </w:pPr>
    <w:rPr>
      <w:rFonts w:ascii="宋体" w:hAnsi="宋体" w:hint="eastAsia"/>
      <w:kern w:val="0"/>
      <w:sz w:val="18"/>
      <w:szCs w:val="18"/>
    </w:rPr>
  </w:style>
  <w:style w:type="paragraph" w:customStyle="1" w:styleId="xl32">
    <w:name w:val="xl32"/>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Romantic" w:hAnsi="Romantic"/>
      <w:kern w:val="0"/>
      <w:sz w:val="18"/>
      <w:szCs w:val="18"/>
    </w:rPr>
  </w:style>
  <w:style w:type="paragraph" w:customStyle="1" w:styleId="xl53">
    <w:name w:val="xl53"/>
    <w:basedOn w:val="Normal"/>
    <w:pPr>
      <w:widowControl/>
      <w:pBdr>
        <w:top w:val="single" w:sz="12" w:space="0" w:color="auto"/>
        <w:left w:val="single" w:sz="4" w:space="0" w:color="auto"/>
      </w:pBdr>
      <w:spacing w:before="100" w:beforeLines="0" w:beforeAutospacing="1" w:after="100" w:afterLines="0" w:afterAutospacing="1" w:line="240" w:lineRule="auto"/>
      <w:ind w:firstLine="0" w:firstLineChars="0"/>
      <w:jc w:val="center"/>
    </w:pPr>
    <w:rPr>
      <w:rFonts w:ascii="创艺简黑体" w:eastAsia="创艺简黑体" w:hAnsi="Arial Unicode MS" w:hint="eastAsia"/>
      <w:b/>
      <w:bCs/>
      <w:kern w:val="0"/>
      <w:sz w:val="18"/>
      <w:szCs w:val="18"/>
    </w:rPr>
  </w:style>
  <w:style w:type="paragraph" w:customStyle="1" w:styleId="xl27">
    <w:name w:val="xl27"/>
    <w:basedOn w:val="Normal"/>
    <w:pPr>
      <w:widowControl/>
      <w:pBdr>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45">
    <w:name w:val="xl45"/>
    <w:basedOn w:val="Normal"/>
    <w:pPr>
      <w:widowControl/>
      <w:pBdr>
        <w:top w:val="single" w:sz="4" w:space="0" w:color="auto"/>
        <w:bottom w:val="single" w:sz="12" w:space="0" w:color="auto"/>
        <w:right w:val="single" w:sz="4" w:space="0" w:color="auto"/>
      </w:pBdr>
      <w:spacing w:before="100" w:beforeLines="0" w:beforeAutospacing="1" w:after="100" w:afterLines="0" w:afterAutospacing="1" w:line="240" w:lineRule="auto"/>
      <w:ind w:firstLine="0" w:firstLineChars="0"/>
      <w:jc w:val="center"/>
    </w:pPr>
    <w:rPr>
      <w:rFonts w:ascii="Romantic" w:hAnsi="Romantic"/>
      <w:kern w:val="0"/>
      <w:sz w:val="18"/>
      <w:szCs w:val="18"/>
    </w:rPr>
  </w:style>
  <w:style w:type="paragraph" w:customStyle="1" w:styleId="278">
    <w:name w:val="样式 标题 2 + 段前: 7.8 磅"/>
    <w:basedOn w:val="Heading2"/>
    <w:pPr>
      <w:keepNext/>
      <w:keepLines/>
      <w:numPr>
        <w:ilvl w:val="1"/>
        <w:numId w:val="2"/>
      </w:numPr>
      <w:tabs>
        <w:tab w:val="left" w:pos="525"/>
        <w:tab w:val="clear" w:pos="576"/>
        <w:tab w:val="clear" w:pos="720"/>
        <w:tab w:val="clear" w:pos="900"/>
      </w:tabs>
      <w:spacing w:before="156" w:beforeLines="50" w:after="260" w:afterLines="0" w:line="360" w:lineRule="auto"/>
      <w:jc w:val="both"/>
    </w:pPr>
    <w:rPr>
      <w:sz w:val="30"/>
      <w:szCs w:val="19"/>
    </w:rPr>
  </w:style>
  <w:style w:type="paragraph" w:customStyle="1" w:styleId="xl36">
    <w:name w:val="xl36"/>
    <w:basedOn w:val="Normal"/>
    <w:pPr>
      <w:widowControl/>
      <w:pBdr>
        <w:top w:val="single" w:sz="12"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
    <w:name w:val="正文-第几条"/>
    <w:basedOn w:val="Normal"/>
    <w:pPr>
      <w:numPr>
        <w:ilvl w:val="0"/>
        <w:numId w:val="3"/>
      </w:numPr>
      <w:tabs>
        <w:tab w:val="left" w:pos="1021"/>
      </w:tabs>
      <w:spacing w:line="360" w:lineRule="auto"/>
      <w:ind w:firstLineChars="0"/>
    </w:pPr>
  </w:style>
  <w:style w:type="paragraph" w:customStyle="1" w:styleId="xl31">
    <w:name w:val="xl31"/>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Romantic" w:hAnsi="Romantic"/>
      <w:kern w:val="0"/>
      <w:sz w:val="18"/>
      <w:szCs w:val="18"/>
    </w:rPr>
  </w:style>
  <w:style w:type="paragraph" w:customStyle="1" w:styleId="xl44">
    <w:name w:val="xl44"/>
    <w:basedOn w:val="Normal"/>
    <w:pPr>
      <w:widowControl/>
      <w:pBdr>
        <w:top w:val="single" w:sz="4" w:space="0" w:color="auto"/>
        <w:left w:val="single" w:sz="4" w:space="0" w:color="auto"/>
        <w:bottom w:val="single" w:sz="12" w:space="0" w:color="auto"/>
        <w:right w:val="single" w:sz="4" w:space="0" w:color="auto"/>
      </w:pBdr>
      <w:spacing w:before="100" w:beforeLines="0" w:beforeAutospacing="1" w:after="100" w:afterLines="0" w:afterAutospacing="1" w:line="240" w:lineRule="auto"/>
      <w:ind w:firstLine="0" w:firstLineChars="0"/>
      <w:jc w:val="center"/>
    </w:pPr>
    <w:rPr>
      <w:rFonts w:ascii="Romantic" w:hAnsi="Romantic"/>
      <w:kern w:val="0"/>
      <w:sz w:val="18"/>
      <w:szCs w:val="18"/>
    </w:rPr>
  </w:style>
  <w:style w:type="paragraph" w:customStyle="1" w:styleId="12278">
    <w:name w:val="样式 样式 标题 1 + 22 磅 + 段前: 7.8 磅"/>
    <w:basedOn w:val="122"/>
    <w:pPr>
      <w:tabs>
        <w:tab w:val="left" w:pos="432"/>
      </w:tabs>
      <w:spacing w:before="156" w:beforeLines="0"/>
    </w:pPr>
    <w:rPr>
      <w:szCs w:val="20"/>
    </w:rPr>
  </w:style>
  <w:style w:type="paragraph" w:customStyle="1" w:styleId="xl39">
    <w:name w:val="xl39"/>
    <w:basedOn w:val="Normal"/>
    <w:pPr>
      <w:widowControl/>
      <w:pBdr>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48">
    <w:name w:val="xl48"/>
    <w:basedOn w:val="Normal"/>
    <w:pPr>
      <w:widowControl/>
      <w:pBdr>
        <w:top w:val="single" w:sz="12" w:space="0" w:color="auto"/>
      </w:pBdr>
      <w:spacing w:before="100" w:beforeLines="0" w:beforeAutospacing="1" w:after="100" w:afterLines="0" w:afterAutospacing="1" w:line="240" w:lineRule="auto"/>
      <w:ind w:firstLine="0" w:firstLineChars="0"/>
      <w:jc w:val="center"/>
    </w:pPr>
    <w:rPr>
      <w:rFonts w:ascii="Arial Unicode MS" w:hAnsi="Arial Unicode MS"/>
      <w:kern w:val="0"/>
      <w:sz w:val="18"/>
      <w:szCs w:val="18"/>
    </w:rPr>
  </w:style>
  <w:style w:type="paragraph" w:customStyle="1" w:styleId="27813">
    <w:name w:val="样式 标题 2 + 居中 段前: 7.8 磅 段后: 13 磅 行距: 单倍行距"/>
    <w:basedOn w:val="Heading2"/>
    <w:pPr>
      <w:numPr>
        <w:ilvl w:val="1"/>
        <w:numId w:val="0"/>
      </w:numPr>
      <w:tabs>
        <w:tab w:val="left" w:pos="720"/>
        <w:tab w:val="left" w:pos="900"/>
      </w:tabs>
      <w:spacing w:before="156" w:beforeLines="0" w:after="260" w:afterLines="0" w:line="240" w:lineRule="auto"/>
      <w:jc w:val="center"/>
    </w:pPr>
    <w:rPr>
      <w:szCs w:val="20"/>
    </w:rPr>
  </w:style>
  <w:style w:type="paragraph" w:customStyle="1" w:styleId="xl43">
    <w:name w:val="xl43"/>
    <w:basedOn w:val="Normal"/>
    <w:pPr>
      <w:widowControl/>
      <w:pBdr>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Arial Unicode MS" w:hAnsi="Arial Unicode MS"/>
      <w:kern w:val="0"/>
      <w:sz w:val="18"/>
      <w:szCs w:val="18"/>
    </w:rPr>
  </w:style>
  <w:style w:type="paragraph" w:customStyle="1" w:styleId="xl40">
    <w:name w:val="xl40"/>
    <w:basedOn w:val="Normal"/>
    <w:pPr>
      <w:widowControl/>
      <w:pBdr>
        <w:top w:val="single" w:sz="12" w:space="0" w:color="auto"/>
        <w:left w:val="single" w:sz="4" w:space="0" w:color="auto"/>
      </w:pBdr>
      <w:spacing w:before="100" w:beforeLines="0" w:beforeAutospacing="1" w:after="100" w:afterLines="0" w:afterAutospacing="1" w:line="240" w:lineRule="auto"/>
      <w:ind w:firstLine="0" w:firstLineChars="0"/>
      <w:jc w:val="center"/>
    </w:pPr>
    <w:rPr>
      <w:rFonts w:ascii="创艺简黑体" w:eastAsia="创艺简黑体" w:hAnsi="Arial Unicode MS" w:hint="eastAsia"/>
      <w:b/>
      <w:bCs/>
      <w:kern w:val="0"/>
      <w:sz w:val="18"/>
      <w:szCs w:val="18"/>
    </w:rPr>
  </w:style>
  <w:style w:type="paragraph" w:customStyle="1" w:styleId="a0">
    <w:name w:val="表头"/>
    <w:basedOn w:val="Normal"/>
    <w:pPr>
      <w:widowControl/>
      <w:spacing w:line="360" w:lineRule="auto"/>
      <w:ind w:firstLineChars="0"/>
      <w:jc w:val="left"/>
    </w:pPr>
    <w:rPr>
      <w:b/>
      <w:kern w:val="0"/>
      <w:sz w:val="21"/>
    </w:rPr>
  </w:style>
  <w:style w:type="paragraph" w:customStyle="1" w:styleId="xl35">
    <w:name w:val="xl35"/>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Romantic" w:hAnsi="Romantic"/>
      <w:kern w:val="0"/>
      <w:sz w:val="18"/>
      <w:szCs w:val="18"/>
    </w:rPr>
  </w:style>
  <w:style w:type="paragraph" w:customStyle="1" w:styleId="xl52">
    <w:name w:val="xl52"/>
    <w:basedOn w:val="Normal"/>
    <w:pPr>
      <w:widowControl/>
      <w:pBdr>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26">
    <w:name w:val="xl26"/>
    <w:basedOn w:val="Normal"/>
    <w:pPr>
      <w:widowControl/>
      <w:pBdr>
        <w:top w:val="single" w:sz="12" w:space="0" w:color="auto"/>
        <w:left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47">
    <w:name w:val="xl47"/>
    <w:basedOn w:val="Normal"/>
    <w:pPr>
      <w:widowControl/>
      <w:pBdr>
        <w:top w:val="single" w:sz="4" w:space="0" w:color="auto"/>
        <w:bottom w:val="single" w:sz="12" w:space="0" w:color="auto"/>
        <w:right w:val="single" w:sz="4" w:space="0" w:color="auto"/>
      </w:pBdr>
      <w:spacing w:before="100" w:beforeLines="0" w:beforeAutospacing="1" w:after="100" w:afterLines="0" w:afterAutospacing="1" w:line="240" w:lineRule="auto"/>
      <w:ind w:firstLine="0" w:firstLineChars="0"/>
      <w:jc w:val="right"/>
    </w:pPr>
    <w:rPr>
      <w:rFonts w:ascii="Romantic" w:hAnsi="Romantic"/>
      <w:kern w:val="0"/>
      <w:sz w:val="18"/>
      <w:szCs w:val="18"/>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Romantic" w:hAnsi="Romantic"/>
      <w:kern w:val="0"/>
      <w:sz w:val="18"/>
      <w:szCs w:val="18"/>
    </w:rPr>
  </w:style>
  <w:style w:type="paragraph" w:customStyle="1" w:styleId="xl50">
    <w:name w:val="xl50"/>
    <w:basedOn w:val="Normal"/>
    <w:pPr>
      <w:widowControl/>
      <w:pBdr>
        <w:top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122">
    <w:name w:val="样式 标题 1 + 22 磅"/>
    <w:basedOn w:val="Heading1"/>
    <w:pPr>
      <w:numPr>
        <w:ilvl w:val="0"/>
        <w:numId w:val="1"/>
      </w:numPr>
      <w:tabs>
        <w:tab w:val="left" w:pos="432"/>
      </w:tabs>
      <w:spacing w:before="340" w:beforeLines="0" w:after="330" w:afterLines="0" w:line="578" w:lineRule="auto"/>
      <w:ind w:right="0"/>
      <w:jc w:val="both"/>
    </w:pPr>
    <w:rPr>
      <w:rFonts w:ascii="宋体" w:eastAsia="黑体" w:hAnsi="宋体"/>
      <w:sz w:val="36"/>
      <w:szCs w:val="36"/>
    </w:rPr>
  </w:style>
  <w:style w:type="paragraph" w:customStyle="1" w:styleId="xl37">
    <w:name w:val="xl37"/>
    <w:basedOn w:val="Normal"/>
    <w:pPr>
      <w:widowControl/>
      <w:pBdr>
        <w:top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54">
    <w:name w:val="xl54"/>
    <w:basedOn w:val="Normal"/>
    <w:pPr>
      <w:widowControl/>
      <w:pBdr>
        <w:top w:val="single" w:sz="12" w:space="0" w:color="auto"/>
        <w:right w:val="single" w:sz="4" w:space="0" w:color="auto"/>
      </w:pBdr>
      <w:spacing w:before="100" w:beforeLines="0" w:beforeAutospacing="1" w:after="100" w:afterLines="0" w:afterAutospacing="1" w:line="240" w:lineRule="auto"/>
      <w:ind w:firstLine="0" w:firstLineChars="0"/>
      <w:jc w:val="center"/>
    </w:pPr>
    <w:rPr>
      <w:rFonts w:ascii="Arial Unicode MS" w:hAnsi="Arial Unicode MS"/>
      <w:kern w:val="0"/>
      <w:sz w:val="18"/>
      <w:szCs w:val="18"/>
    </w:rPr>
  </w:style>
  <w:style w:type="paragraph" w:customStyle="1" w:styleId="xl24">
    <w:name w:val="xl24"/>
    <w:basedOn w:val="Normal"/>
    <w:pPr>
      <w:widowControl/>
      <w:pBdr>
        <w:top w:val="single" w:sz="4" w:space="0" w:color="auto"/>
        <w:left w:val="single" w:sz="4" w:space="0" w:color="auto"/>
        <w:bottom w:val="single" w:sz="4" w:space="0" w:color="auto"/>
      </w:pBdr>
      <w:spacing w:before="100" w:beforeLines="0" w:beforeAutospacing="1" w:after="100" w:afterLines="0" w:afterAutospacing="1" w:line="240" w:lineRule="auto"/>
      <w:ind w:firstLine="0" w:firstLineChars="0"/>
      <w:jc w:val="left"/>
    </w:pPr>
    <w:rPr>
      <w:rFonts w:ascii="创艺简黑体" w:eastAsia="创艺简黑体" w:hAnsi="Arial Unicode MS" w:hint="eastAsia"/>
      <w:kern w:val="0"/>
      <w:sz w:val="18"/>
      <w:szCs w:val="18"/>
    </w:rPr>
  </w:style>
  <w:style w:type="paragraph" w:customStyle="1" w:styleId="xl29">
    <w:name w:val="xl29"/>
    <w:basedOn w:val="Normal"/>
    <w:pPr>
      <w:widowControl/>
      <w:pBdr>
        <w:top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Romantic" w:hAnsi="Romantic"/>
      <w:kern w:val="0"/>
      <w:sz w:val="18"/>
      <w:szCs w:val="18"/>
    </w:rPr>
  </w:style>
  <w:style w:type="paragraph" w:customStyle="1" w:styleId="xl46">
    <w:name w:val="xl46"/>
    <w:basedOn w:val="Normal"/>
    <w:pPr>
      <w:widowControl/>
      <w:pBdr>
        <w:top w:val="single" w:sz="4" w:space="0" w:color="auto"/>
        <w:left w:val="single" w:sz="4" w:space="0" w:color="auto"/>
        <w:bottom w:val="single" w:sz="12" w:space="0" w:color="auto"/>
      </w:pBdr>
      <w:spacing w:before="100" w:beforeLines="0" w:beforeAutospacing="1" w:after="100" w:afterLines="0" w:afterAutospacing="1" w:line="240" w:lineRule="auto"/>
      <w:ind w:firstLine="0" w:firstLineChars="0"/>
      <w:jc w:val="left"/>
    </w:pPr>
    <w:rPr>
      <w:rFonts w:ascii="创艺简黑体" w:eastAsia="创艺简黑体" w:hAnsi="Arial Unicode MS" w:hint="eastAsia"/>
      <w:kern w:val="0"/>
      <w:sz w:val="18"/>
      <w:szCs w:val="18"/>
    </w:rPr>
  </w:style>
  <w:style w:type="paragraph" w:customStyle="1" w:styleId="305">
    <w:name w:val="样式 标题 3 + 段前: 0.5 行"/>
    <w:basedOn w:val="Heading3"/>
    <w:pPr>
      <w:keepNext/>
      <w:keepLines/>
      <w:numPr>
        <w:ilvl w:val="2"/>
        <w:numId w:val="0"/>
      </w:numPr>
      <w:tabs>
        <w:tab w:val="left" w:pos="0"/>
      </w:tabs>
      <w:spacing w:before="156" w:beforeLines="0" w:after="260" w:afterLines="0" w:line="416" w:lineRule="auto"/>
    </w:pPr>
    <w:rPr>
      <w:rFonts w:ascii="宋体" w:eastAsia="宋体" w:hAnsi="宋体" w:cs="宋体"/>
      <w:b w:val="0"/>
      <w:bCs w:val="0"/>
      <w:color w:val="auto"/>
      <w:kern w:val="0"/>
      <w:sz w:val="20"/>
      <w:szCs w:val="20"/>
    </w:rPr>
  </w:style>
  <w:style w:type="paragraph" w:customStyle="1" w:styleId="xl41">
    <w:name w:val="xl41"/>
    <w:basedOn w:val="Normal"/>
    <w:pPr>
      <w:widowControl/>
      <w:pBdr>
        <w:top w:val="single" w:sz="12" w:space="0" w:color="auto"/>
        <w:right w:val="single" w:sz="4" w:space="0" w:color="auto"/>
      </w:pBdr>
      <w:spacing w:before="100" w:beforeLines="0" w:beforeAutospacing="1" w:after="100" w:afterLines="0" w:afterAutospacing="1" w:line="240" w:lineRule="auto"/>
      <w:ind w:firstLine="0" w:firstLineChars="0"/>
      <w:jc w:val="center"/>
    </w:pPr>
    <w:rPr>
      <w:rFonts w:ascii="Arial Unicode MS" w:hAnsi="Arial Unicode MS"/>
      <w:kern w:val="0"/>
      <w:sz w:val="18"/>
      <w:szCs w:val="18"/>
    </w:rPr>
  </w:style>
  <w:style w:type="paragraph" w:customStyle="1" w:styleId="1">
    <w:name w:val="样式1"/>
    <w:basedOn w:val="Heading1"/>
    <w:pPr>
      <w:numPr>
        <w:ilvl w:val="0"/>
        <w:numId w:val="4"/>
      </w:numPr>
      <w:tabs>
        <w:tab w:val="left" w:pos="420"/>
        <w:tab w:val="clear" w:pos="432"/>
      </w:tabs>
      <w:spacing w:before="100" w:beforeLines="0" w:beforeAutospacing="1" w:after="100" w:afterLines="0" w:afterAutospacing="1" w:line="360" w:lineRule="auto"/>
      <w:ind w:right="0"/>
      <w:jc w:val="both"/>
    </w:pPr>
    <w:rPr>
      <w:sz w:val="28"/>
    </w:rPr>
  </w:style>
  <w:style w:type="paragraph" w:customStyle="1" w:styleId="a1">
    <w:name w:val="表格"/>
    <w:basedOn w:val="Normal"/>
    <w:pPr>
      <w:widowControl/>
      <w:spacing w:line="240" w:lineRule="auto"/>
      <w:ind w:left="-91" w:firstLine="0" w:firstLineChars="0"/>
      <w:jc w:val="center"/>
    </w:pPr>
    <w:rPr>
      <w:rFonts w:ascii="宋体"/>
      <w:kern w:val="0"/>
      <w:sz w:val="18"/>
      <w:szCs w:val="19"/>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Arial Unicode MS" w:hAnsi="Arial Unicode MS"/>
      <w:kern w:val="0"/>
      <w:sz w:val="18"/>
      <w:szCs w:val="18"/>
    </w:rPr>
  </w:style>
  <w:style w:type="paragraph" w:customStyle="1" w:styleId="xl55">
    <w:name w:val="xl55"/>
    <w:basedOn w:val="Normal"/>
    <w:pPr>
      <w:widowControl/>
      <w:pBdr>
        <w:left w:val="single" w:sz="4" w:space="0" w:color="auto"/>
        <w:bottom w:val="single" w:sz="4" w:space="0" w:color="auto"/>
      </w:pBdr>
      <w:spacing w:before="100" w:beforeLines="0" w:beforeAutospacing="1" w:after="100" w:afterLines="0" w:afterAutospacing="1" w:line="240" w:lineRule="auto"/>
      <w:ind w:firstLine="0" w:firstLineChars="0"/>
      <w:jc w:val="center"/>
    </w:pPr>
    <w:rPr>
      <w:rFonts w:ascii="创艺简黑体" w:eastAsia="创艺简黑体" w:hAnsi="Arial Unicode MS" w:hint="eastAsia"/>
      <w:b/>
      <w:bCs/>
      <w:kern w:val="0"/>
      <w:sz w:val="18"/>
      <w:szCs w:val="18"/>
    </w:rPr>
  </w:style>
  <w:style w:type="paragraph" w:customStyle="1" w:styleId="405">
    <w:name w:val="样式 标题 4 + 段前: 0.5 行"/>
    <w:basedOn w:val="Heading4"/>
    <w:pPr>
      <w:keepNext/>
      <w:keepLines/>
      <w:numPr>
        <w:ilvl w:val="3"/>
        <w:numId w:val="1"/>
      </w:numPr>
      <w:tabs>
        <w:tab w:val="left" w:pos="864"/>
      </w:tabs>
      <w:spacing w:before="156" w:beforeLines="0" w:after="290" w:afterLines="0" w:line="376" w:lineRule="auto"/>
    </w:pPr>
    <w:rPr>
      <w:rFonts w:ascii="宋体" w:eastAsia="宋体" w:hAnsi="宋体"/>
      <w:b/>
      <w:szCs w:val="24"/>
    </w:rPr>
  </w:style>
  <w:style w:type="paragraph" w:customStyle="1" w:styleId="xl38">
    <w:name w:val="xl38"/>
    <w:basedOn w:val="Normal"/>
    <w:pPr>
      <w:widowControl/>
      <w:pBdr>
        <w:top w:val="single" w:sz="12" w:space="0" w:color="auto"/>
        <w:left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a2">
    <w:name w:val="表格样式"/>
    <w:basedOn w:val="Normal"/>
    <w:pPr>
      <w:ind w:firstLine="0" w:firstLineChars="0"/>
    </w:pPr>
    <w:rPr>
      <w:sz w:val="21"/>
      <w:szCs w:val="21"/>
    </w:rPr>
  </w:style>
  <w:style w:type="paragraph" w:customStyle="1" w:styleId="xl56">
    <w:name w:val="xl56"/>
    <w:basedOn w:val="Normal"/>
    <w:pPr>
      <w:widowControl/>
      <w:pBdr>
        <w:bottom w:val="single" w:sz="4" w:space="0" w:color="auto"/>
        <w:right w:val="single" w:sz="4" w:space="0" w:color="auto"/>
      </w:pBdr>
      <w:spacing w:before="100" w:beforeLines="0" w:beforeAutospacing="1" w:after="100" w:afterLines="0" w:afterAutospacing="1" w:line="240" w:lineRule="auto"/>
      <w:ind w:firstLine="0" w:firstLineChars="0"/>
      <w:jc w:val="center"/>
    </w:pPr>
    <w:rPr>
      <w:rFonts w:ascii="Arial Unicode MS" w:hAnsi="Arial Unicode MS"/>
      <w:kern w:val="0"/>
      <w:sz w:val="18"/>
      <w:szCs w:val="18"/>
    </w:rPr>
  </w:style>
  <w:style w:type="paragraph" w:customStyle="1" w:styleId="xl30">
    <w:name w:val="xl30"/>
    <w:basedOn w:val="Normal"/>
    <w:pPr>
      <w:widowControl/>
      <w:pBdr>
        <w:top w:val="single" w:sz="4" w:space="0" w:color="auto"/>
        <w:bottom w:val="single" w:sz="4" w:space="0" w:color="auto"/>
        <w:right w:val="single" w:sz="4" w:space="0" w:color="auto"/>
      </w:pBdr>
      <w:spacing w:before="100" w:beforeLines="0" w:beforeAutospacing="1" w:after="100" w:afterLines="0" w:afterAutospacing="1" w:line="240" w:lineRule="auto"/>
      <w:ind w:firstLine="0" w:firstLineChars="0"/>
      <w:jc w:val="right"/>
    </w:pPr>
    <w:rPr>
      <w:rFonts w:ascii="Romantic" w:hAnsi="Romantic"/>
      <w:kern w:val="0"/>
      <w:sz w:val="18"/>
      <w:szCs w:val="18"/>
    </w:rPr>
  </w:style>
  <w:style w:type="paragraph" w:customStyle="1" w:styleId="xl51">
    <w:name w:val="xl51"/>
    <w:basedOn w:val="Normal"/>
    <w:pPr>
      <w:widowControl/>
      <w:pBdr>
        <w:top w:val="single" w:sz="12" w:space="0" w:color="auto"/>
        <w:left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25">
    <w:name w:val="xl25"/>
    <w:basedOn w:val="Normal"/>
    <w:pPr>
      <w:widowControl/>
      <w:pBdr>
        <w:top w:val="single" w:sz="12" w:space="0" w:color="auto"/>
        <w:left w:val="single" w:sz="4" w:space="0" w:color="auto"/>
        <w:right w:val="single" w:sz="4" w:space="0" w:color="auto"/>
      </w:pBdr>
      <w:spacing w:before="100" w:beforeLines="0" w:beforeAutospacing="1" w:after="100" w:afterLines="0" w:afterAutospacing="1" w:line="240" w:lineRule="auto"/>
      <w:ind w:firstLine="0" w:firstLineChars="0"/>
      <w:jc w:val="center"/>
    </w:pPr>
    <w:rPr>
      <w:rFonts w:ascii="创艺简粗黑" w:eastAsia="创艺简粗黑" w:hAnsi="Arial Unicode MS" w:hint="eastAsia"/>
      <w:b/>
      <w:bCs/>
      <w:kern w:val="0"/>
      <w:sz w:val="18"/>
      <w:szCs w:val="18"/>
    </w:rPr>
  </w:style>
  <w:style w:type="paragraph" w:customStyle="1" w:styleId="xl42">
    <w:name w:val="xl42"/>
    <w:basedOn w:val="Normal"/>
    <w:pPr>
      <w:widowControl/>
      <w:pBdr>
        <w:left w:val="single" w:sz="4" w:space="0" w:color="auto"/>
        <w:bottom w:val="single" w:sz="4" w:space="0" w:color="auto"/>
      </w:pBdr>
      <w:spacing w:before="100" w:beforeLines="0" w:beforeAutospacing="1" w:after="100" w:afterLines="0" w:afterAutospacing="1" w:line="240" w:lineRule="auto"/>
      <w:ind w:firstLine="0" w:firstLineChars="0"/>
      <w:jc w:val="center"/>
    </w:pPr>
    <w:rPr>
      <w:rFonts w:ascii="创艺简黑体" w:eastAsia="创艺简黑体" w:hAnsi="Arial Unicode MS" w:hint="eastAsia"/>
      <w:b/>
      <w:bCs/>
      <w:kern w:val="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67014032063006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6169</Words>
  <Characters>35169</Characters>
  <Application>Microsoft Office Word</Application>
  <DocSecurity>0</DocSecurity>
  <Lines>293</Lines>
  <Paragraphs>82</Paragraphs>
  <ScaleCrop>false</ScaleCrop>
  <Company>caupd</Company>
  <LinksUpToDate>false</LinksUpToDate>
  <CharactersWithSpaces>41256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第1章</dc:title>
  <dc:creator>xcp</dc:creator>
  <cp:lastModifiedBy>hm</cp:lastModifiedBy>
  <cp:revision>6</cp:revision>
  <cp:lastPrinted>2005-12-18T09:12:00Z</cp:lastPrinted>
  <dcterms:created xsi:type="dcterms:W3CDTF">2008-05-15T07:32:00Z</dcterms:created>
  <dcterms:modified xsi:type="dcterms:W3CDTF">2013-06-08T13:28:41Z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2052-8.1.0.3483</vt:lpwstr>
  </property>
</Properties>
</file>