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2018-2023年上海工会管理职业学院高职单招（数学／语文／英语）历年常考试题库含答案解析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在思想内容和艺术成就方面都堪称中国古代长篇小说高峰的作品是（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A.《三国演义》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B.《红楼梦》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C.《水浒传》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D.《儒林外史》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《天净沙·秋思》前三句用各写三种景物的词语构成（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B.鼎足对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C.流水对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D.博喻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李白《行路难》中运用行为细节描写揭示内心悲愤的诗句是（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A.金樽清酒斗十千，玉盘珍羞直万钱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B.停杯投箸不能食，拔剑四顾心茫然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C.行路难，行路难，多歧路，今安在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D.闲来垂钓碧溪上，忽复乘舟梦日边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艾青的成名作是（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B.《我爱这士地》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C.《向太阳》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D.《大堰河——我的保姆》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《漱玉词》的作者是（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《李将军列传》中，李广和李蔡的对比描写，主要是为了表现李广的（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A.骁勇善战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B.爱护士卒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C.乐观旷达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D.白首未封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“赋”作为一种文体，成熟于（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A.战国时代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B.汉代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C.唐代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D.宋代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闻一多曾提出新格律诗的“三美”主张，即新诗要有（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A.音乐的美、绘画的美、建筑的美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B.色彩浓、回味永、意境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C.理想美、思想美、形式美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D.节奏、韵味、意境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《论学问》、《门槛》、《苦恼》的作者依次是（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A.培根、契诃夫、屠格涅夫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B.契诃夫、屠格涅夫、培根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C.屠格涅夫、契诃夫、培根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D.培根、屠格涅夫、契诃夫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由一系列具体事实概括出一般原理的论证方法是（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C.比较法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《种树郭橐驼传》主要的创作意图是（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A.赞扬郭橐驼的种树技术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B.揭露统治者的政令扰民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C.传播郭橐驼的植树经验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D.借“养树”之道，喻“养民”之道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12.</w:t>
      </w:r>
      <w:r>
        <w:rPr>
          <w:rFonts w:ascii="黑体" w:eastAsia="黑体" w:hAnsi="黑体" w:cs="Times New Roman"/>
          <w:sz w:val="24"/>
          <w:lang w:val="en-US" w:eastAsia="ja-JP" w:bidi="ar-SA"/>
        </w:rPr>
        <w:t>下列关于《种树郭橐驼传》的表述，正确的一项是（）。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A.郭橐驼对这个绰号很反感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B.郭橐驼懂得顺应树木生长的规律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C.郭橐驼移栽树木时会换上新土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D.郭橐驼早晚都会去照料树木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11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下列诗句中属于远景静态描写的是（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A.操吴戈兮披犀甲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B.车错毂兮短兵接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C.旌蔽日兮敌若云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D.矢交坠兮士争先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“祸起萧墙”一语出自（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https://d.book118.com/067045155156006044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067045155156006044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