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31"/>
        <w:ind w:left="0" w:right="0" w:firstLine="0"/>
        <w:jc w:val="center"/>
        <w:rPr>
          <w:sz w:val="32"/>
        </w:rPr>
      </w:pPr>
      <w:r>
        <w:rPr>
          <w:spacing w:val="-3"/>
          <w:sz w:val="32"/>
        </w:rPr>
        <w:t>变电项目</w:t>
      </w:r>
    </w:p>
    <w:p>
      <w:pPr>
        <w:spacing w:before="214"/>
        <w:ind w:left="0" w:right="0" w:firstLine="0"/>
        <w:jc w:val="center"/>
        <w:rPr>
          <w:sz w:val="32"/>
        </w:rPr>
      </w:pPr>
      <w:r>
        <w:rPr>
          <w:spacing w:val="-1"/>
          <w:sz w:val="32"/>
        </w:rPr>
        <w:t>绿色施工监理实施细则编审批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43"/>
        </w:rPr>
      </w:pPr>
    </w:p>
    <w:p>
      <w:pPr>
        <w:tabs>
          <w:tab w:val="left" w:pos="3296"/>
          <w:tab w:val="left" w:pos="4211"/>
          <w:tab w:val="left" w:pos="4911"/>
          <w:tab w:val="left" w:pos="5739"/>
          <w:tab w:val="left" w:pos="6567"/>
        </w:tabs>
        <w:spacing w:before="0"/>
        <w:ind w:left="11" w:right="0" w:firstLine="0"/>
        <w:jc w:val="center"/>
        <w:rPr>
          <w:sz w:val="28"/>
        </w:rPr>
      </w:pPr>
      <w:r>
        <w:rPr>
          <w:sz w:val="28"/>
        </w:rPr>
        <w:t>批准</w:t>
      </w:r>
      <w:r>
        <w:rPr>
          <w:spacing w:val="-10"/>
          <w:sz w:val="28"/>
        </w:rPr>
        <w:t>：</w:t>
      </w:r>
      <w:r>
        <w:rPr>
          <w:rFonts w:ascii="Times New Roman" w:eastAsia="Times New Roman"/>
          <w:sz w:val="28"/>
          <w:u w:val="single"/>
        </w:rPr>
        <w:tab/>
      </w:r>
      <w:r>
        <w:rPr>
          <w:rFonts w:ascii="Times New Roman" w:eastAsia="Times New Roman"/>
          <w:sz w:val="28"/>
        </w:rPr>
        <w:tab/>
      </w:r>
      <w:r>
        <w:rPr>
          <w:rFonts w:ascii="Times New Roman" w:eastAsia="Times New Roman"/>
          <w:sz w:val="28"/>
          <w:u w:val="single"/>
        </w:rPr>
        <w:tab/>
      </w:r>
      <w:r>
        <w:rPr>
          <w:spacing w:val="-10"/>
          <w:sz w:val="28"/>
        </w:rPr>
        <w:t>年</w:t>
      </w:r>
      <w:r>
        <w:rPr>
          <w:rFonts w:ascii="Times New Roman" w:eastAsia="Times New Roman"/>
          <w:sz w:val="28"/>
          <w:u w:val="single"/>
        </w:rPr>
        <w:tab/>
      </w:r>
      <w:r>
        <w:rPr>
          <w:spacing w:val="-10"/>
          <w:sz w:val="28"/>
        </w:rPr>
        <w:t>月</w:t>
      </w:r>
      <w:r>
        <w:rPr>
          <w:rFonts w:ascii="Times New Roman" w:eastAsia="Times New Roman"/>
          <w:sz w:val="28"/>
          <w:u w:val="single"/>
        </w:rPr>
        <w:tab/>
      </w:r>
      <w:r>
        <w:rPr>
          <w:spacing w:val="-10"/>
          <w:sz w:val="28"/>
        </w:rPr>
        <w:t>日</w:t>
      </w:r>
    </w:p>
    <w:p>
      <w:pPr>
        <w:pStyle w:val="Heading4"/>
        <w:spacing w:before="134"/>
        <w:ind w:left="2340"/>
      </w:pPr>
      <w:r>
        <w:t>（总监理工程师</w:t>
      </w:r>
      <w:r>
        <w:rPr>
          <w:spacing w:val="-10"/>
        </w:rPr>
        <w:t>）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34"/>
        </w:rPr>
      </w:pPr>
    </w:p>
    <w:p>
      <w:pPr>
        <w:tabs>
          <w:tab w:val="left" w:pos="3296"/>
          <w:tab w:val="left" w:pos="4211"/>
          <w:tab w:val="left" w:pos="4911"/>
          <w:tab w:val="left" w:pos="5739"/>
          <w:tab w:val="left" w:pos="6567"/>
        </w:tabs>
        <w:spacing w:before="0"/>
        <w:ind w:left="11" w:right="0" w:firstLine="0"/>
        <w:jc w:val="center"/>
        <w:rPr>
          <w:sz w:val="28"/>
        </w:rPr>
      </w:pPr>
      <w:r>
        <w:rPr>
          <w:sz w:val="28"/>
        </w:rPr>
        <w:t>审核</w:t>
      </w:r>
      <w:r>
        <w:rPr>
          <w:spacing w:val="-10"/>
          <w:sz w:val="28"/>
        </w:rPr>
        <w:t>：</w:t>
      </w:r>
      <w:r>
        <w:rPr>
          <w:rFonts w:ascii="Times New Roman" w:eastAsia="Times New Roman"/>
          <w:sz w:val="28"/>
          <w:u w:val="single"/>
        </w:rPr>
        <w:tab/>
      </w:r>
      <w:r>
        <w:rPr>
          <w:rFonts w:ascii="Times New Roman" w:eastAsia="Times New Roman"/>
          <w:sz w:val="28"/>
        </w:rPr>
        <w:tab/>
      </w:r>
      <w:r>
        <w:rPr>
          <w:rFonts w:ascii="Times New Roman" w:eastAsia="Times New Roman"/>
          <w:sz w:val="28"/>
          <w:u w:val="single"/>
        </w:rPr>
        <w:tab/>
      </w:r>
      <w:r>
        <w:rPr>
          <w:spacing w:val="-10"/>
          <w:sz w:val="28"/>
        </w:rPr>
        <w:t>年</w:t>
      </w:r>
      <w:r>
        <w:rPr>
          <w:rFonts w:ascii="Times New Roman" w:eastAsia="Times New Roman"/>
          <w:sz w:val="28"/>
          <w:u w:val="single"/>
        </w:rPr>
        <w:tab/>
      </w:r>
      <w:r>
        <w:rPr>
          <w:spacing w:val="-10"/>
          <w:sz w:val="28"/>
        </w:rPr>
        <w:t>月</w:t>
      </w:r>
      <w:r>
        <w:rPr>
          <w:rFonts w:ascii="Times New Roman" w:eastAsia="Times New Roman"/>
          <w:sz w:val="28"/>
          <w:u w:val="single"/>
        </w:rPr>
        <w:tab/>
      </w:r>
      <w:r>
        <w:rPr>
          <w:spacing w:val="-10"/>
          <w:sz w:val="28"/>
        </w:rPr>
        <w:t>日</w:t>
      </w:r>
    </w:p>
    <w:p>
      <w:pPr>
        <w:pStyle w:val="Heading4"/>
      </w:pPr>
      <w:r>
        <w:t>（总监理工程师代表</w:t>
      </w:r>
      <w:r>
        <w:rPr>
          <w:spacing w:val="-10"/>
        </w:rPr>
        <w:t>）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34"/>
        </w:rPr>
      </w:pPr>
    </w:p>
    <w:p>
      <w:pPr>
        <w:tabs>
          <w:tab w:val="left" w:pos="3436"/>
          <w:tab w:val="left" w:pos="4351"/>
          <w:tab w:val="left" w:pos="5191"/>
          <w:tab w:val="left" w:pos="6019"/>
          <w:tab w:val="left" w:pos="6847"/>
        </w:tabs>
        <w:spacing w:before="1"/>
        <w:ind w:left="11" w:right="0" w:firstLine="0"/>
        <w:jc w:val="center"/>
        <w:rPr>
          <w:sz w:val="28"/>
        </w:rPr>
      </w:pPr>
      <w:r>
        <w:rPr>
          <w:sz w:val="28"/>
        </w:rPr>
        <w:t>编写</w:t>
      </w:r>
      <w:r>
        <w:rPr>
          <w:spacing w:val="-10"/>
          <w:sz w:val="28"/>
        </w:rPr>
        <w:t>：</w:t>
      </w:r>
      <w:r>
        <w:rPr>
          <w:rFonts w:ascii="Times New Roman" w:eastAsia="Times New Roman"/>
          <w:sz w:val="28"/>
          <w:u w:val="single"/>
        </w:rPr>
        <w:tab/>
      </w:r>
      <w:r>
        <w:rPr>
          <w:rFonts w:ascii="Times New Roman" w:eastAsia="Times New Roman"/>
          <w:sz w:val="28"/>
        </w:rPr>
        <w:tab/>
      </w:r>
      <w:r>
        <w:rPr>
          <w:rFonts w:ascii="Times New Roman" w:eastAsia="Times New Roman"/>
          <w:sz w:val="28"/>
          <w:u w:val="single"/>
        </w:rPr>
        <w:tab/>
      </w:r>
      <w:r>
        <w:rPr>
          <w:spacing w:val="-10"/>
          <w:sz w:val="28"/>
        </w:rPr>
        <w:t>年</w:t>
      </w:r>
      <w:r>
        <w:rPr>
          <w:rFonts w:ascii="Times New Roman" w:eastAsia="Times New Roman"/>
          <w:sz w:val="28"/>
          <w:u w:val="single"/>
        </w:rPr>
        <w:tab/>
      </w:r>
      <w:r>
        <w:rPr>
          <w:spacing w:val="-10"/>
          <w:sz w:val="28"/>
        </w:rPr>
        <w:t>月</w:t>
      </w:r>
      <w:r>
        <w:rPr>
          <w:rFonts w:ascii="Times New Roman" w:eastAsia="Times New Roman"/>
          <w:sz w:val="28"/>
          <w:u w:val="single"/>
        </w:rPr>
        <w:tab/>
      </w:r>
      <w:r>
        <w:rPr>
          <w:spacing w:val="-10"/>
          <w:sz w:val="28"/>
        </w:rPr>
        <w:t>日</w:t>
      </w:r>
    </w:p>
    <w:p>
      <w:pPr>
        <w:pStyle w:val="Heading4"/>
      </w:pPr>
      <w:r>
        <w:t>（专业监理工程师</w:t>
      </w:r>
      <w:r>
        <w:rPr>
          <w:spacing w:val="-10"/>
        </w:rPr>
        <w:t>）</w:t>
      </w:r>
    </w:p>
    <w:p>
      <w:pPr>
        <w:spacing w:after="0"/>
        <w:sectPr>
          <w:type w:val="continuous"/>
          <w:pgSz w:w="11910" w:h="16840"/>
          <w:pgMar w:top="1500" w:right="1140" w:bottom="280" w:left="1140" w:header="708" w:footer="708"/>
          <w:cols w:space="708"/>
        </w:sectPr>
      </w:pPr>
    </w:p>
    <w:p>
      <w:pPr>
        <w:pStyle w:val="BodyText"/>
        <w:spacing w:line="20" w:lineRule="exact"/>
        <w:ind w:left="551"/>
        <w:rPr>
          <w:sz w:val="2"/>
        </w:rPr>
      </w:pPr>
      <w:r>
        <w:rPr>
          <w:sz w:val="2"/>
        </w:rPr>
        <w:pict>
          <v:group id="_x0000_i1025" style="width:426.2pt;height:0.5pt;mso-position-horizontal-relative:char;mso-position-vertical-relative:line" coordorigin="0,0" coordsize="8524,10">
            <v:line id="_x0000_s1026" style="position:absolute" from="0,5" to="8524,5" stroked="t" strokecolor="black" strokeweight="0.5pt">
              <v:stroke dashstyle="solid"/>
            </v:line>
            <w10:wrap type="none"/>
          </v:group>
        </w:pict>
      </w:r>
    </w:p>
    <w:p>
      <w:pPr>
        <w:pStyle w:val="BodyText"/>
        <w:spacing w:before="3"/>
        <w:rPr>
          <w:sz w:val="26"/>
        </w:rPr>
      </w:pPr>
    </w:p>
    <w:p>
      <w:pPr>
        <w:tabs>
          <w:tab w:val="left" w:pos="1081"/>
        </w:tabs>
        <w:spacing w:before="0" w:line="593" w:lineRule="exact"/>
        <w:ind w:left="0" w:right="1" w:firstLine="0"/>
        <w:jc w:val="center"/>
        <w:rPr>
          <w:rFonts w:ascii="Microsoft JhengHei" w:eastAsia="Microsoft JhengHei"/>
          <w:b/>
          <w:sz w:val="36"/>
        </w:rPr>
      </w:pPr>
      <w:r>
        <w:rPr>
          <w:rFonts w:ascii="Microsoft JhengHei" w:eastAsia="Microsoft JhengHei"/>
          <w:b/>
          <w:spacing w:val="-10"/>
          <w:sz w:val="36"/>
        </w:rPr>
        <w:t>目</w:t>
      </w:r>
      <w:r>
        <w:rPr>
          <w:rFonts w:ascii="Microsoft JhengHei" w:eastAsia="Microsoft JhengHei"/>
          <w:b/>
          <w:sz w:val="36"/>
        </w:rPr>
        <w:tab/>
      </w:r>
      <w:r>
        <w:rPr>
          <w:rFonts w:ascii="Microsoft JhengHei" w:eastAsia="Microsoft JhengHei"/>
          <w:b/>
          <w:spacing w:val="-10"/>
          <w:sz w:val="36"/>
        </w:rPr>
        <w:t>录</w:t>
      </w:r>
    </w:p>
    <w:sdt>
      <w:sdtPr>
        <w:id w:val="731076627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8954"/>
            </w:tabs>
            <w:spacing w:before="663"/>
            <w:ind w:left="660" w:firstLine="0"/>
          </w:pPr>
          <w:r>
            <w:fldChar w:fldCharType="begin"/>
          </w:r>
          <w:r>
            <w:instrText xml:space="preserve">TOC \o "1-3" \h \z \u </w:instrText>
          </w:r>
          <w:r>
            <w:fldChar w:fldCharType="separate"/>
          </w:r>
          <w:r>
            <w:rPr>
              <w:spacing w:val="-10"/>
            </w:rPr>
            <w:t>1</w:t>
          </w:r>
          <w:r>
            <w:rPr>
              <w:spacing w:val="-10"/>
            </w:rPr>
            <w:t>、</w:t>
          </w:r>
          <w:r>
            <w:rPr>
              <w:spacing w:val="-10"/>
            </w:rPr>
            <w:t>引</w:t>
          </w:r>
          <w:r>
            <w:rPr>
              <w:spacing w:val="-10"/>
            </w:rPr>
            <w:t>言</w:t>
          </w:r>
          <w:r>
            <w:rPr>
              <w:rFonts w:ascii="Times New Roman" w:eastAsia="Times New Roman"/>
              <w:b w:val="0"/>
            </w:rPr>
            <w:tab/>
          </w:r>
          <w:hyperlink w:anchor="_bookmark0" w:history="1">
            <w:r>
              <w:rPr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29"/>
            </w:numPr>
            <w:tabs>
              <w:tab w:val="left" w:pos="943"/>
              <w:tab w:val="right" w:leader="dot" w:pos="8954"/>
            </w:tabs>
            <w:spacing w:before="109" w:after="0" w:line="240" w:lineRule="auto"/>
            <w:ind w:left="942" w:right="0" w:hanging="283"/>
            <w:jc w:val="left"/>
          </w:pPr>
          <w:r>
            <w:t>绿色施工在本工程中应用的意</w:t>
          </w:r>
          <w:r>
            <w:rPr>
              <w:spacing w:val="-10"/>
            </w:rPr>
            <w:t>义</w:t>
          </w:r>
          <w:r>
            <w:rPr>
              <w:rFonts w:ascii="Times New Roman" w:eastAsia="Times New Roman"/>
              <w:b w:val="0"/>
            </w:rPr>
            <w:tab/>
          </w:r>
          <w:hyperlink w:anchor="_bookmark1" w:history="1">
            <w:r>
              <w:rPr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29"/>
            </w:numPr>
            <w:tabs>
              <w:tab w:val="left" w:pos="943"/>
              <w:tab w:val="right" w:leader="dot" w:pos="8954"/>
            </w:tabs>
            <w:spacing w:before="109" w:after="0" w:line="240" w:lineRule="auto"/>
            <w:ind w:left="942" w:right="0" w:hanging="283"/>
            <w:jc w:val="left"/>
          </w:pPr>
          <w:r>
            <w:t>绿色施工的定</w:t>
          </w:r>
          <w:r>
            <w:rPr>
              <w:spacing w:val="-10"/>
            </w:rPr>
            <w:t>义</w:t>
          </w:r>
          <w:r>
            <w:rPr>
              <w:rFonts w:ascii="Times New Roman" w:eastAsia="Times New Roman"/>
              <w:b w:val="0"/>
            </w:rPr>
            <w:tab/>
          </w:r>
          <w:hyperlink w:anchor="_bookmark2" w:history="1">
            <w:r>
              <w:rPr>
                <w:spacing w:val="-10"/>
              </w:rPr>
              <w:t>1</w:t>
            </w:r>
          </w:hyperlink>
        </w:p>
        <w:p>
          <w:pPr>
            <w:pStyle w:val="TOC1"/>
            <w:numPr>
              <w:ilvl w:val="0"/>
              <w:numId w:val="29"/>
            </w:numPr>
            <w:tabs>
              <w:tab w:val="left" w:pos="943"/>
              <w:tab w:val="right" w:leader="dot" w:pos="8954"/>
            </w:tabs>
            <w:spacing w:before="109" w:after="0" w:line="240" w:lineRule="auto"/>
            <w:ind w:left="942" w:right="0" w:hanging="283"/>
            <w:jc w:val="left"/>
          </w:pPr>
          <w:hyperlink w:anchor="_TOC_250011" w:history="1">
            <w:r>
              <w:t>绿色施工的工作依据</w:t>
            </w:r>
            <w:r>
              <w:rPr>
                <w:spacing w:val="-10"/>
              </w:rPr>
              <w:t>：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spacing w:val="-10"/>
              </w:rPr>
              <w:t>2</w:t>
            </w:r>
          </w:hyperlink>
        </w:p>
        <w:p>
          <w:pPr>
            <w:pStyle w:val="TOC1"/>
            <w:numPr>
              <w:ilvl w:val="0"/>
              <w:numId w:val="29"/>
            </w:numPr>
            <w:tabs>
              <w:tab w:val="left" w:pos="943"/>
              <w:tab w:val="right" w:leader="dot" w:pos="8954"/>
            </w:tabs>
            <w:spacing w:before="109" w:after="0" w:line="240" w:lineRule="auto"/>
            <w:ind w:left="942" w:right="0" w:hanging="283"/>
            <w:jc w:val="left"/>
          </w:pPr>
          <w:hyperlink w:anchor="_TOC_250010" w:history="1">
            <w:r>
              <w:t>实施绿色施工的监理控制措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spacing w:val="-10"/>
              </w:rPr>
              <w:t>2</w:t>
            </w:r>
          </w:hyperlink>
        </w:p>
        <w:p>
          <w:pPr>
            <w:pStyle w:val="TOC2"/>
            <w:numPr>
              <w:ilvl w:val="1"/>
              <w:numId w:val="29"/>
            </w:numPr>
            <w:tabs>
              <w:tab w:val="left" w:pos="1570"/>
              <w:tab w:val="right" w:leader="dot" w:pos="8955"/>
            </w:tabs>
            <w:spacing w:before="202" w:after="0" w:line="240" w:lineRule="auto"/>
            <w:ind w:left="1570" w:right="0" w:hanging="490"/>
            <w:jc w:val="left"/>
          </w:pPr>
          <w:hyperlink w:anchor="_TOC_250009" w:history="1">
            <w:r>
              <w:t>绿色施工监理组织机</w:t>
            </w:r>
            <w:r>
              <w:rPr>
                <w:spacing w:val="-10"/>
              </w:rPr>
              <w:t>构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2</w:t>
            </w:r>
          </w:hyperlink>
        </w:p>
        <w:p>
          <w:pPr>
            <w:pStyle w:val="TOC2"/>
            <w:numPr>
              <w:ilvl w:val="1"/>
              <w:numId w:val="29"/>
            </w:numPr>
            <w:tabs>
              <w:tab w:val="left" w:pos="1570"/>
              <w:tab w:val="right" w:leader="dot" w:pos="8955"/>
            </w:tabs>
            <w:spacing w:before="265" w:after="0" w:line="240" w:lineRule="auto"/>
            <w:ind w:left="1570" w:right="0" w:hanging="490"/>
            <w:jc w:val="left"/>
          </w:pPr>
          <w:hyperlink w:anchor="_TOC_250008" w:history="1">
            <w:r>
              <w:t>监理组织机构人员名单</w:t>
            </w:r>
            <w:r>
              <w:rPr>
                <w:spacing w:val="-10"/>
              </w:rPr>
              <w:t>：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3</w:t>
            </w:r>
          </w:hyperlink>
        </w:p>
        <w:p>
          <w:pPr>
            <w:pStyle w:val="TOC2"/>
            <w:numPr>
              <w:ilvl w:val="1"/>
              <w:numId w:val="29"/>
            </w:numPr>
            <w:tabs>
              <w:tab w:val="left" w:pos="1570"/>
              <w:tab w:val="right" w:leader="dot" w:pos="8955"/>
            </w:tabs>
            <w:spacing w:before="265" w:after="0" w:line="240" w:lineRule="auto"/>
            <w:ind w:left="1570" w:right="0" w:hanging="490"/>
            <w:jc w:val="left"/>
          </w:pPr>
          <w:hyperlink w:anchor="_TOC_250007" w:history="1">
            <w:r>
              <w:t>监理人员绿色施工管理职</w:t>
            </w:r>
            <w:r>
              <w:rPr>
                <w:spacing w:val="-10"/>
              </w:rPr>
              <w:t>责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3</w:t>
            </w:r>
          </w:hyperlink>
        </w:p>
        <w:p>
          <w:pPr>
            <w:pStyle w:val="TOC1"/>
            <w:numPr>
              <w:ilvl w:val="0"/>
              <w:numId w:val="28"/>
            </w:numPr>
            <w:tabs>
              <w:tab w:val="left" w:pos="942"/>
              <w:tab w:val="right" w:leader="dot" w:pos="8954"/>
            </w:tabs>
            <w:spacing w:before="173" w:after="0" w:line="240" w:lineRule="auto"/>
            <w:ind w:left="941" w:right="0" w:hanging="282"/>
            <w:jc w:val="left"/>
          </w:pPr>
          <w:hyperlink w:anchor="_TOC_250006" w:history="1">
            <w:r>
              <w:t>绿色施工管理工作控制要</w:t>
            </w:r>
            <w:r>
              <w:rPr>
                <w:spacing w:val="-10"/>
              </w:rPr>
              <w:t>点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spacing w:val="-10"/>
              </w:rPr>
              <w:t>5</w:t>
            </w:r>
          </w:hyperlink>
        </w:p>
        <w:p>
          <w:pPr>
            <w:pStyle w:val="TOC2"/>
            <w:numPr>
              <w:ilvl w:val="1"/>
              <w:numId w:val="28"/>
            </w:numPr>
            <w:tabs>
              <w:tab w:val="left" w:pos="1640"/>
              <w:tab w:val="right" w:leader="dot" w:pos="8955"/>
            </w:tabs>
            <w:spacing w:before="202" w:after="0" w:line="240" w:lineRule="auto"/>
            <w:ind w:left="1640" w:right="0" w:hanging="560"/>
            <w:jc w:val="left"/>
          </w:pPr>
          <w:hyperlink w:anchor="_TOC_250005" w:history="1">
            <w:r>
              <w:t>绿色施工策划工作要</w:t>
            </w:r>
            <w:r>
              <w:rPr>
                <w:spacing w:val="-10"/>
              </w:rPr>
              <w:t>点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5</w:t>
            </w:r>
          </w:hyperlink>
        </w:p>
        <w:p>
          <w:pPr>
            <w:pStyle w:val="TOC2"/>
            <w:numPr>
              <w:ilvl w:val="1"/>
              <w:numId w:val="28"/>
            </w:numPr>
            <w:tabs>
              <w:tab w:val="left" w:pos="1570"/>
              <w:tab w:val="right" w:leader="dot" w:pos="8955"/>
            </w:tabs>
            <w:spacing w:before="265" w:after="0" w:line="240" w:lineRule="auto"/>
            <w:ind w:left="1570" w:right="0" w:hanging="490"/>
            <w:jc w:val="left"/>
          </w:pPr>
          <w:hyperlink w:anchor="_TOC_250004" w:history="1">
            <w:r>
              <w:t>绿色施工检查工作要</w:t>
            </w:r>
            <w:r>
              <w:rPr>
                <w:spacing w:val="-10"/>
              </w:rPr>
              <w:t>点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6</w:t>
            </w:r>
          </w:hyperlink>
        </w:p>
        <w:p>
          <w:pPr>
            <w:pStyle w:val="TOC2"/>
            <w:numPr>
              <w:ilvl w:val="1"/>
              <w:numId w:val="27"/>
            </w:numPr>
            <w:tabs>
              <w:tab w:val="left" w:pos="1570"/>
              <w:tab w:val="right" w:leader="dot" w:pos="8955"/>
            </w:tabs>
            <w:spacing w:before="265" w:after="0" w:line="240" w:lineRule="auto"/>
            <w:ind w:left="1570" w:right="0" w:hanging="490"/>
            <w:jc w:val="left"/>
          </w:pPr>
          <w:hyperlink w:anchor="_TOC_250003" w:history="1">
            <w:r>
              <w:t>安全文明施工工作要</w:t>
            </w:r>
            <w:r>
              <w:rPr>
                <w:spacing w:val="-10"/>
              </w:rPr>
              <w:t>点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6</w:t>
            </w:r>
          </w:hyperlink>
        </w:p>
        <w:p>
          <w:pPr>
            <w:pStyle w:val="TOC1"/>
            <w:numPr>
              <w:ilvl w:val="0"/>
              <w:numId w:val="26"/>
            </w:numPr>
            <w:tabs>
              <w:tab w:val="left" w:pos="943"/>
              <w:tab w:val="right" w:leader="dot" w:pos="8955"/>
            </w:tabs>
            <w:spacing w:before="173" w:after="0" w:line="240" w:lineRule="auto"/>
            <w:ind w:left="942" w:right="0" w:hanging="283"/>
            <w:jc w:val="left"/>
            <w:rPr>
              <w:rFonts w:ascii="宋体" w:eastAsia="宋体"/>
              <w:b w:val="0"/>
            </w:rPr>
          </w:pPr>
          <w:hyperlink w:anchor="_TOC_250002" w:history="1">
            <w:r>
              <w:t>分阶段开展建筑工程绿色施工评</w:t>
            </w:r>
            <w:r>
              <w:rPr>
                <w:spacing w:val="-10"/>
              </w:rPr>
              <w:t>价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rFonts w:ascii="宋体" w:eastAsia="宋体"/>
                <w:b w:val="0"/>
                <w:spacing w:val="-10"/>
              </w:rPr>
              <w:t>6</w:t>
            </w:r>
          </w:hyperlink>
        </w:p>
        <w:p>
          <w:pPr>
            <w:pStyle w:val="TOC3"/>
            <w:numPr>
              <w:ilvl w:val="1"/>
              <w:numId w:val="26"/>
            </w:numPr>
            <w:tabs>
              <w:tab w:val="left" w:pos="1570"/>
              <w:tab w:val="right" w:leader="dot" w:pos="8955"/>
            </w:tabs>
            <w:spacing w:before="201" w:after="0" w:line="240" w:lineRule="auto"/>
            <w:ind w:left="1570" w:right="0" w:hanging="490"/>
            <w:jc w:val="left"/>
          </w:pPr>
          <w:hyperlink w:anchor="_TOC_250001" w:history="1">
            <w:r>
              <w:t>绿色施工基本规定及实施策</w:t>
            </w:r>
            <w:r>
              <w:rPr>
                <w:spacing w:val="-10"/>
              </w:rPr>
              <w:t>划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6</w:t>
            </w:r>
          </w:hyperlink>
        </w:p>
        <w:p>
          <w:pPr>
            <w:pStyle w:val="TOC3"/>
            <w:numPr>
              <w:ilvl w:val="1"/>
              <w:numId w:val="26"/>
            </w:numPr>
            <w:tabs>
              <w:tab w:val="left" w:pos="1570"/>
              <w:tab w:val="right" w:leader="dot" w:pos="8955"/>
            </w:tabs>
            <w:spacing w:before="266" w:after="0" w:line="240" w:lineRule="auto"/>
            <w:ind w:left="1570" w:right="0" w:hanging="490"/>
            <w:jc w:val="left"/>
          </w:pPr>
          <w:hyperlink w:anchor="_TOC_250000" w:history="1">
            <w:r>
              <w:t>评价阶段划分、评价方法及责任单</w:t>
            </w:r>
            <w:r>
              <w:rPr>
                <w:spacing w:val="-10"/>
              </w:rPr>
              <w:t>位</w:t>
            </w:r>
            <w:r>
              <w:rPr>
                <w:rFonts w:ascii="Times New Roman" w:eastAsia="Times New Roman"/>
              </w:rPr>
              <w:tab/>
            </w:r>
            <w:r>
              <w:rPr>
                <w:spacing w:val="-10"/>
              </w:rPr>
              <w:t>7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pgSz w:w="11910" w:h="16840"/>
          <w:pgMar w:top="1100" w:right="1140" w:bottom="280" w:left="1140" w:header="708" w:footer="708"/>
          <w:pgNumType w:start="2"/>
          <w:cols w:space="708"/>
        </w:sectPr>
      </w:pPr>
    </w:p>
    <w:p>
      <w:pPr>
        <w:pStyle w:val="BodyText"/>
        <w:spacing w:before="8"/>
        <w:rPr>
          <w:sz w:val="25"/>
        </w:rPr>
      </w:pPr>
    </w:p>
    <w:p>
      <w:pPr>
        <w:pStyle w:val="Heading1"/>
        <w:ind w:left="448" w:firstLine="0"/>
      </w:pPr>
      <w:bookmarkStart w:id="0" w:name="_bookmark0"/>
      <w:bookmarkEnd w:id="0"/>
      <w:r>
        <w:rPr>
          <w:spacing w:val="-10"/>
        </w:rPr>
        <w:t>1</w:t>
      </w:r>
      <w:r>
        <w:rPr>
          <w:spacing w:val="-10"/>
        </w:rPr>
        <w:t>、引言</w:t>
      </w:r>
    </w:p>
    <w:p>
      <w:pPr>
        <w:spacing w:before="184" w:line="417" w:lineRule="auto"/>
        <w:ind w:left="448" w:right="445" w:firstLine="560"/>
        <w:jc w:val="both"/>
        <w:rPr>
          <w:sz w:val="28"/>
        </w:rPr>
      </w:pPr>
      <w:r>
        <w:rPr>
          <w:spacing w:val="-18"/>
          <w:sz w:val="28"/>
        </w:rPr>
        <w:t xml:space="preserve">自 </w:t>
      </w:r>
      <w:r>
        <w:rPr>
          <w:spacing w:val="-6"/>
          <w:sz w:val="28"/>
        </w:rPr>
        <w:t>2003</w:t>
      </w:r>
      <w:r>
        <w:rPr>
          <w:spacing w:val="-11"/>
          <w:sz w:val="28"/>
        </w:rPr>
        <w:t xml:space="preserve"> 年绿色施工提出至今已经超过十年，但总体而言，以环境保</w:t>
      </w:r>
      <w:r>
        <w:rPr>
          <w:spacing w:val="-2"/>
          <w:sz w:val="28"/>
        </w:rPr>
        <w:t>护为核心的绿色施工在推进的广度和深度仍远远不够。绿色施工是可持</w:t>
      </w:r>
      <w:r>
        <w:rPr>
          <w:spacing w:val="-2"/>
          <w:sz w:val="28"/>
        </w:rPr>
        <w:t>续发展的理念在工程建造过程中的体现，实施绿色施工将会对改善城乡</w:t>
      </w:r>
      <w:r>
        <w:rPr>
          <w:spacing w:val="-8"/>
          <w:sz w:val="28"/>
        </w:rPr>
        <w:t>生态、保护环境和高效利用资源产生重大影响。2015</w:t>
      </w:r>
      <w:r>
        <w:rPr>
          <w:spacing w:val="-21"/>
          <w:sz w:val="28"/>
        </w:rPr>
        <w:t xml:space="preserve"> 年 </w:t>
      </w:r>
      <w:r>
        <w:rPr>
          <w:spacing w:val="-8"/>
          <w:sz w:val="28"/>
        </w:rPr>
        <w:t>1</w:t>
      </w:r>
      <w:r>
        <w:rPr>
          <w:spacing w:val="-21"/>
          <w:sz w:val="28"/>
        </w:rPr>
        <w:t xml:space="preserve"> 月 </w:t>
      </w:r>
      <w:r>
        <w:rPr>
          <w:spacing w:val="-8"/>
          <w:sz w:val="28"/>
        </w:rPr>
        <w:t>1</w:t>
      </w:r>
      <w:r>
        <w:rPr>
          <w:spacing w:val="-13"/>
          <w:sz w:val="28"/>
        </w:rPr>
        <w:t xml:space="preserve"> 日颁布实</w:t>
      </w:r>
      <w:r>
        <w:rPr>
          <w:spacing w:val="-7"/>
          <w:sz w:val="28"/>
        </w:rPr>
        <w:t>施的《环境影响评价技术导则 输变电工程》、《建设项目竣工环境保护</w:t>
      </w:r>
      <w:r>
        <w:rPr>
          <w:spacing w:val="-10"/>
          <w:sz w:val="28"/>
        </w:rPr>
        <w:t>验收技术规范 输变电工程》，对输变电工程的绿色施工水平提出更高的</w:t>
      </w:r>
      <w:r>
        <w:rPr>
          <w:spacing w:val="-4"/>
          <w:sz w:val="28"/>
        </w:rPr>
        <w:t>要求。</w:t>
      </w:r>
    </w:p>
    <w:p>
      <w:pPr>
        <w:spacing w:before="0" w:line="417" w:lineRule="auto"/>
        <w:ind w:left="448" w:right="445" w:firstLine="560"/>
        <w:jc w:val="both"/>
        <w:rPr>
          <w:sz w:val="28"/>
        </w:rPr>
      </w:pPr>
      <w:r>
        <w:rPr>
          <w:sz w:val="28"/>
        </w:rPr>
        <w:t>近年国家电网对绿色施工也在逐步的重视，2015</w:t>
      </w:r>
      <w:r>
        <w:rPr>
          <w:spacing w:val="-24"/>
          <w:sz w:val="28"/>
        </w:rPr>
        <w:t xml:space="preserve"> 年 </w:t>
      </w:r>
      <w:r>
        <w:rPr>
          <w:sz w:val="28"/>
        </w:rPr>
        <w:t>27</w:t>
      </w:r>
      <w:r>
        <w:rPr>
          <w:spacing w:val="-7"/>
          <w:sz w:val="28"/>
        </w:rPr>
        <w:t xml:space="preserve"> 项通用管理</w:t>
      </w:r>
      <w:r>
        <w:rPr>
          <w:spacing w:val="-2"/>
          <w:sz w:val="28"/>
        </w:rPr>
        <w:t>制度及招标文件均对绿色施工提出了要求。</w:t>
      </w:r>
    </w:p>
    <w:p>
      <w:pPr>
        <w:pStyle w:val="Heading1"/>
        <w:numPr>
          <w:ilvl w:val="0"/>
          <w:numId w:val="25"/>
        </w:numPr>
        <w:tabs>
          <w:tab w:val="left" w:pos="751"/>
        </w:tabs>
        <w:spacing w:before="0" w:after="0" w:line="440" w:lineRule="exact"/>
        <w:ind w:left="750" w:right="0" w:hanging="303"/>
        <w:jc w:val="left"/>
      </w:pPr>
      <w:bookmarkStart w:id="1" w:name="_bookmark1"/>
      <w:bookmarkEnd w:id="1"/>
      <w:r>
        <w:rPr>
          <w:spacing w:val="-1"/>
        </w:rPr>
        <w:t>绿色施工在本工程中应用的意义</w:t>
      </w:r>
    </w:p>
    <w:p>
      <w:pPr>
        <w:pStyle w:val="ListParagraph"/>
        <w:numPr>
          <w:ilvl w:val="0"/>
          <w:numId w:val="23"/>
        </w:numPr>
        <w:tabs>
          <w:tab w:val="left" w:pos="1429"/>
        </w:tabs>
        <w:spacing w:before="183" w:after="0" w:line="240" w:lineRule="auto"/>
        <w:ind w:left="1429" w:right="0" w:hanging="421"/>
        <w:jc w:val="left"/>
        <w:rPr>
          <w:sz w:val="28"/>
        </w:rPr>
      </w:pPr>
      <w:r>
        <w:rPr>
          <w:spacing w:val="-1"/>
          <w:sz w:val="28"/>
        </w:rPr>
        <w:t>工程所在地生态环境脆弱，推广绿色施工有利于环境保护；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3"/>
        </w:numPr>
        <w:tabs>
          <w:tab w:val="left" w:pos="1429"/>
        </w:tabs>
        <w:spacing w:before="1" w:after="0" w:line="417" w:lineRule="auto"/>
        <w:ind w:left="448" w:right="445" w:firstLine="560"/>
        <w:jc w:val="both"/>
        <w:rPr>
          <w:sz w:val="28"/>
        </w:rPr>
      </w:pPr>
      <w:r>
        <w:rPr>
          <w:spacing w:val="-2"/>
          <w:sz w:val="28"/>
        </w:rPr>
        <w:t>绿色施工在我国的输变电工程建设中尚没有真正的推广，在本</w:t>
      </w:r>
      <w:r>
        <w:rPr>
          <w:sz w:val="28"/>
        </w:rPr>
        <w:t>工程中应用《建筑工程绿色施工评价标准》（GBT 50640-2010）对绿色</w:t>
      </w:r>
      <w:r>
        <w:rPr>
          <w:spacing w:val="-2"/>
          <w:sz w:val="28"/>
        </w:rPr>
        <w:t>施工水平进行评价，可以作为本工程的一项管理亮点，有利于创优、夺</w:t>
      </w:r>
      <w:r>
        <w:rPr>
          <w:spacing w:val="-4"/>
          <w:sz w:val="28"/>
        </w:rPr>
        <w:t>旗工作；</w:t>
      </w:r>
    </w:p>
    <w:p>
      <w:pPr>
        <w:pStyle w:val="ListParagraph"/>
        <w:numPr>
          <w:ilvl w:val="0"/>
          <w:numId w:val="23"/>
        </w:numPr>
        <w:tabs>
          <w:tab w:val="left" w:pos="1429"/>
        </w:tabs>
        <w:spacing w:before="0" w:after="0" w:line="417" w:lineRule="auto"/>
        <w:ind w:left="448" w:right="445" w:firstLine="560"/>
        <w:jc w:val="left"/>
        <w:rPr>
          <w:sz w:val="28"/>
        </w:rPr>
      </w:pPr>
      <w:r>
        <w:rPr>
          <w:spacing w:val="-2"/>
          <w:sz w:val="28"/>
        </w:rPr>
        <w:t>可以探索绿色施工在输变电工程中的应用，有利于输变电工程</w:t>
      </w:r>
      <w:r>
        <w:rPr>
          <w:spacing w:val="-2"/>
          <w:sz w:val="28"/>
        </w:rPr>
        <w:t>管理技术的提高；</w:t>
      </w:r>
    </w:p>
    <w:p>
      <w:pPr>
        <w:pStyle w:val="ListParagraph"/>
        <w:numPr>
          <w:ilvl w:val="0"/>
          <w:numId w:val="23"/>
        </w:numPr>
        <w:tabs>
          <w:tab w:val="left" w:pos="1429"/>
        </w:tabs>
        <w:spacing w:before="0" w:after="0" w:line="358" w:lineRule="exact"/>
        <w:ind w:left="1429" w:right="0" w:hanging="421"/>
        <w:jc w:val="left"/>
        <w:rPr>
          <w:sz w:val="28"/>
        </w:rPr>
      </w:pPr>
      <w:r>
        <w:rPr>
          <w:spacing w:val="-1"/>
          <w:sz w:val="28"/>
        </w:rPr>
        <w:t>依据有关规定推广绿色施工的工程可以优先评优。</w:t>
      </w:r>
    </w:p>
    <w:p>
      <w:pPr>
        <w:pStyle w:val="Heading1"/>
        <w:numPr>
          <w:ilvl w:val="0"/>
          <w:numId w:val="25"/>
        </w:numPr>
        <w:tabs>
          <w:tab w:val="left" w:pos="751"/>
        </w:tabs>
        <w:spacing w:before="152" w:after="0" w:line="240" w:lineRule="auto"/>
        <w:ind w:left="750" w:right="0" w:hanging="303"/>
        <w:jc w:val="left"/>
      </w:pPr>
      <w:bookmarkStart w:id="2" w:name="_bookmark2"/>
      <w:bookmarkEnd w:id="2"/>
      <w:r>
        <w:rPr>
          <w:spacing w:val="-2"/>
        </w:rPr>
        <w:t>绿色施工的定义</w:t>
      </w:r>
    </w:p>
    <w:p>
      <w:pPr>
        <w:spacing w:before="184" w:line="417" w:lineRule="auto"/>
        <w:ind w:left="448" w:right="305" w:firstLine="560"/>
        <w:jc w:val="left"/>
        <w:rPr>
          <w:sz w:val="28"/>
        </w:rPr>
      </w:pPr>
      <w:r>
        <w:rPr>
          <w:spacing w:val="-4"/>
          <w:sz w:val="28"/>
        </w:rPr>
        <w:t>在保证质量、安全等基本要求的前提下，通过科学管理和技术进步，</w:t>
      </w:r>
      <w:r>
        <w:rPr>
          <w:spacing w:val="-2"/>
          <w:sz w:val="28"/>
        </w:rPr>
        <w:t>最大限度的节约资源，减少环境负面影响，实现“四节一环保”的建筑</w:t>
      </w:r>
    </w:p>
    <w:p>
      <w:pPr>
        <w:spacing w:after="0" w:line="417" w:lineRule="auto"/>
        <w:jc w:val="left"/>
        <w:rPr>
          <w:sz w:val="28"/>
        </w:rPr>
        <w:sectPr>
          <w:headerReference w:type="default" r:id="rId4"/>
          <w:footerReference w:type="default" r:id="rId5"/>
          <w:pgSz w:w="11910" w:h="16840"/>
          <w:pgMar w:top="1120" w:right="1140" w:bottom="1380" w:left="1140" w:header="934" w:footer="1198"/>
          <w:pgNumType w:start="1"/>
          <w:cols w:space="708"/>
        </w:sectPr>
      </w:pPr>
    </w:p>
    <w:p>
      <w:pPr>
        <w:pStyle w:val="BodyText"/>
        <w:spacing w:before="8"/>
        <w:rPr>
          <w:sz w:val="29"/>
        </w:rPr>
      </w:pPr>
    </w:p>
    <w:p>
      <w:pPr>
        <w:spacing w:before="61"/>
        <w:ind w:left="448" w:right="0" w:firstLine="0"/>
        <w:jc w:val="left"/>
        <w:rPr>
          <w:sz w:val="28"/>
        </w:rPr>
      </w:pPr>
      <w:r>
        <w:rPr>
          <w:spacing w:val="-2"/>
          <w:sz w:val="28"/>
        </w:rPr>
        <w:t>工程施工活动。</w:t>
      </w:r>
    </w:p>
    <w:p>
      <w:pPr>
        <w:pStyle w:val="Heading1"/>
        <w:numPr>
          <w:ilvl w:val="0"/>
          <w:numId w:val="25"/>
        </w:numPr>
        <w:tabs>
          <w:tab w:val="left" w:pos="751"/>
        </w:tabs>
        <w:spacing w:before="153" w:after="0" w:line="240" w:lineRule="auto"/>
        <w:ind w:left="750" w:right="0" w:hanging="303"/>
        <w:jc w:val="left"/>
      </w:pPr>
      <w:bookmarkStart w:id="3" w:name="_TOC_250011"/>
      <w:bookmarkEnd w:id="3"/>
      <w:r>
        <w:rPr>
          <w:spacing w:val="-1"/>
        </w:rPr>
        <w:t>绿色施工的工作依据：</w:t>
      </w:r>
    </w:p>
    <w:p>
      <w:pPr>
        <w:pStyle w:val="ListParagraph"/>
        <w:numPr>
          <w:ilvl w:val="0"/>
          <w:numId w:val="24"/>
        </w:numPr>
        <w:tabs>
          <w:tab w:val="left" w:pos="1709"/>
        </w:tabs>
        <w:spacing w:before="184" w:after="0" w:line="240" w:lineRule="auto"/>
        <w:ind w:left="1709" w:right="0" w:hanging="701"/>
        <w:jc w:val="left"/>
        <w:rPr>
          <w:sz w:val="28"/>
        </w:rPr>
      </w:pPr>
      <w:r>
        <w:rPr>
          <w:spacing w:val="-1"/>
          <w:sz w:val="28"/>
        </w:rPr>
        <w:t>《建设工程监理规划》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1709"/>
        </w:tabs>
        <w:spacing w:before="0" w:after="0" w:line="240" w:lineRule="auto"/>
        <w:ind w:left="1709" w:right="0" w:hanging="701"/>
        <w:jc w:val="left"/>
        <w:rPr>
          <w:sz w:val="28"/>
        </w:rPr>
      </w:pPr>
      <w:r>
        <w:rPr>
          <w:spacing w:val="-1"/>
          <w:sz w:val="28"/>
        </w:rPr>
        <w:t>《安全监理工作方案》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1709"/>
        </w:tabs>
        <w:spacing w:before="0" w:after="0" w:line="240" w:lineRule="auto"/>
        <w:ind w:left="1709" w:right="0" w:hanging="701"/>
        <w:jc w:val="left"/>
        <w:rPr>
          <w:sz w:val="28"/>
        </w:rPr>
      </w:pPr>
      <w:r>
        <w:rPr>
          <w:sz w:val="28"/>
        </w:rPr>
        <w:t>《建筑工程绿色施工评价标准》（GB/T 50640-</w:t>
      </w:r>
      <w:r>
        <w:rPr>
          <w:spacing w:val="-2"/>
          <w:sz w:val="28"/>
        </w:rPr>
        <w:t>2010）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1709"/>
        </w:tabs>
        <w:spacing w:before="0" w:after="0" w:line="240" w:lineRule="auto"/>
        <w:ind w:left="1709" w:right="0" w:hanging="701"/>
        <w:jc w:val="left"/>
        <w:rPr>
          <w:sz w:val="28"/>
        </w:rPr>
      </w:pPr>
      <w:r>
        <w:rPr>
          <w:sz w:val="28"/>
        </w:rPr>
        <w:t>《建筑工程绿色施工规范》(GB/T 50905-</w:t>
      </w:r>
      <w:r>
        <w:rPr>
          <w:spacing w:val="-2"/>
          <w:sz w:val="28"/>
        </w:rPr>
        <w:t>2014)</w:t>
      </w:r>
    </w:p>
    <w:p>
      <w:pPr>
        <w:pStyle w:val="Heading1"/>
        <w:numPr>
          <w:ilvl w:val="0"/>
          <w:numId w:val="25"/>
        </w:numPr>
        <w:tabs>
          <w:tab w:val="left" w:pos="751"/>
        </w:tabs>
        <w:spacing w:before="154" w:after="0" w:line="529" w:lineRule="exact"/>
        <w:ind w:left="750" w:right="0" w:hanging="303"/>
        <w:jc w:val="left"/>
      </w:pPr>
      <w:bookmarkStart w:id="4" w:name="_TOC_250010"/>
      <w:bookmarkEnd w:id="4"/>
      <w:r>
        <w:rPr>
          <w:spacing w:val="-1"/>
        </w:rPr>
        <w:t>实施绿色施工的监理控制措施</w:t>
      </w:r>
    </w:p>
    <w:p>
      <w:pPr>
        <w:pStyle w:val="Heading2"/>
        <w:numPr>
          <w:ilvl w:val="1"/>
          <w:numId w:val="25"/>
        </w:numPr>
        <w:tabs>
          <w:tab w:val="left" w:pos="952"/>
        </w:tabs>
        <w:spacing w:before="0" w:after="0" w:line="529" w:lineRule="exact"/>
        <w:ind w:left="951" w:right="0" w:hanging="504"/>
        <w:jc w:val="left"/>
        <w:rPr>
          <w:sz w:val="30"/>
        </w:rPr>
      </w:pPr>
      <w:bookmarkStart w:id="5" w:name="_TOC_250009"/>
      <w:bookmarkEnd w:id="5"/>
      <w:r>
        <w:rPr>
          <w:spacing w:val="-1"/>
        </w:rPr>
        <w:t>绿色施工监理组织机构</w:t>
      </w:r>
    </w:p>
    <w:p>
      <w:pPr>
        <w:pStyle w:val="BodyText"/>
        <w:spacing w:before="14"/>
        <w:rPr>
          <w:rFonts w:ascii="Microsoft JhengHei"/>
          <w:b/>
          <w:sz w:val="8"/>
        </w:rPr>
      </w:pPr>
      <w:r>
        <w:pict>
          <v:group id="_x0000_s1027" style="width:459.8pt;height:395.6pt;margin-top:9.29pt;margin-left:61.88pt;mso-position-horizontal-relative:page;mso-wrap-distance-left:0;mso-wrap-distance-right:0;position:absolute;z-index:-251658240" coordorigin="1238,186" coordsize="9196,7912">
            <v:shape id="_x0000_s1028" style="width:120;height:121;left:6094;position:absolute;top:4357" coordorigin="6095,4358" coordsize="120,121" path="m6155,4478l6095,4358,6215,4358,6155,4478xe" filled="t" fillcolor="black" stroked="f">
              <v:fill type="solid"/>
              <v:path arrowok="t"/>
            </v:shape>
            <v:line id="_x0000_s1029" style="position:absolute" from="6154,3971" to="6155,4455" stroked="t" strokecolor="black" strokeweight="0.75pt">
              <v:stroke dashstyle="solid"/>
            </v:line>
            <v:shape id="_x0000_s1030" style="width:120;height:121;left:6139;position:absolute;top:5465" coordorigin="6140,5466" coordsize="120,121" path="m6200,5586l6140,5466,6260,5466,6200,5586xe" filled="t" fillcolor="black" stroked="f">
              <v:fill type="solid"/>
              <v:path arrowok="t"/>
            </v:shape>
            <v:line id="_x0000_s1031" style="position:absolute" from="6199,4550" to="6200,5563" stroked="t" strokecolor="black" strokeweight="0.75pt">
              <v:stroke dashstyle="solid"/>
            </v:line>
            <v:rect id="_x0000_s1032" style="width:600;height:2498;left:3709;position:absolute;top:5592" filled="f" stroked="t" strokecolor="black" strokeweight="0.75pt">
              <v:stroke dashstyle="solid"/>
            </v:rect>
            <v:shape id="_x0000_s1033" style="width:120;height:121;left:3954;position:absolute;top:5475" coordorigin="3955,5476" coordsize="120,121" path="m4015,5596l3955,5476,4075,5476,4015,5596xe" filled="t" fillcolor="black" stroked="f">
              <v:fill type="solid"/>
              <v:path arrowok="t"/>
            </v:shape>
            <v:line id="_x0000_s1034" style="position:absolute" from="4014,4560" to="4015,5573" stroked="t" strokecolor="black" strokeweight="0.75pt">
              <v:stroke dashstyle="solid"/>
            </v:line>
            <v:line id="_x0000_s1035" style="position:absolute" from="1562,4547" to="10105,4538" stroked="t" strokecolor="black" strokeweight="0.75pt">
              <v:stroke dashstyle="solid"/>
            </v:line>
            <v:shape id="_x0000_s1036" style="width:120;height:121;left:1503;position:absolute;top:5474" coordorigin="1504,5475" coordsize="120,121" path="m1564,5595l1504,5475,1624,5475,1564,5595xe" filled="t" fillcolor="black" stroked="f">
              <v:fill type="solid"/>
              <v:path arrowok="t"/>
            </v:shape>
            <v:line id="_x0000_s1037" style="position:absolute" from="1563,4559" to="1564,5572" stroked="t" strokecolor="black" strokeweight="0.75pt">
              <v:stroke dashstyle="solid"/>
            </v:line>
            <v:rect id="_x0000_s1038" style="width:575;height:2397;left:7964;position:absolute;top:5628" filled="f" stroked="t" strokecolor="black" strokeweight="0.75pt">
              <v:stroke dashstyle="solid"/>
            </v:rect>
            <v:shape id="_x0000_s1039" style="width:120;height:121;left:8178;position:absolute;top:5482" coordorigin="8179,5483" coordsize="120,121" path="m8239,5603l8179,5483,8299,5483,8239,5603xe" filled="t" fillcolor="black" stroked="f">
              <v:fill type="solid"/>
              <v:path arrowok="t"/>
            </v:shape>
            <v:line id="_x0000_s1040" style="position:absolute" from="8238,4567" to="8239,5580" stroked="t" strokecolor="black" strokeweight="0.75pt">
              <v:stroke dashstyle="solid"/>
            </v:line>
            <v:shape id="_x0000_s1041" style="width:120;height:121;left:10057;position:absolute;top:5453" coordorigin="10058,5454" coordsize="120,121" path="m10118,5574l10058,5454,10178,5454,10118,5574xe" filled="t" fillcolor="black" stroked="f">
              <v:fill type="solid"/>
              <v:path arrowok="t"/>
            </v:shape>
            <v:line id="_x0000_s1042" style="position:absolute" from="10117,4538" to="10118,5551" stroked="t" strokecolor="black" strokeweight="0.75pt">
              <v:stroke dashstyle="solid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width:300;height:1967;left:3847;position:absolute;top:5736" filled="f" stroked="f">
              <v:textbox inset="0,0,0,0">
                <w:txbxContent>
                  <w:p>
                    <w:pPr>
                      <w:spacing w:before="35" w:line="132" w:lineRule="auto"/>
                      <w:ind w:left="0" w:right="18" w:firstLine="0"/>
                      <w:jc w:val="both"/>
                      <w:rPr>
                        <w:rFonts w:ascii="Microsoft JhengHei" w:eastAsia="Microsoft JhengHei"/>
                        <w:b/>
                        <w:sz w:val="28"/>
                      </w:rPr>
                    </w:pP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电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气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监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理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工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程</w:t>
                    </w:r>
                  </w:p>
                  <w:p>
                    <w:pPr>
                      <w:spacing w:before="0" w:line="232" w:lineRule="exact"/>
                      <w:ind w:left="0" w:right="0" w:firstLine="0"/>
                      <w:jc w:val="left"/>
                      <w:rPr>
                        <w:rFonts w:ascii="Microsoft JhengHei" w:eastAsia="Microsoft JhengHei"/>
                        <w:b/>
                        <w:sz w:val="28"/>
                      </w:rPr>
                    </w:pPr>
                    <w:r>
                      <w:rPr>
                        <w:rFonts w:ascii="Microsoft JhengHei" w:eastAsia="Microsoft JhengHei"/>
                        <w:b/>
                        <w:sz w:val="28"/>
                      </w:rPr>
                      <w:t>师</w:t>
                    </w:r>
                  </w:p>
                </w:txbxContent>
              </v:textbox>
            </v:shape>
            <v:shape id="_x0000_s1044" type="#_x0000_t202" style="width:300;height:1967;left:8077;position:absolute;top:5772" filled="f" stroked="f">
              <v:textbox inset="0,0,0,0">
                <w:txbxContent>
                  <w:p>
                    <w:pPr>
                      <w:spacing w:before="35" w:line="132" w:lineRule="auto"/>
                      <w:ind w:left="0" w:right="18" w:firstLine="0"/>
                      <w:jc w:val="both"/>
                      <w:rPr>
                        <w:rFonts w:ascii="Microsoft JhengHei" w:eastAsia="Microsoft JhengHei"/>
                        <w:b/>
                        <w:sz w:val="28"/>
                      </w:rPr>
                    </w:pP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资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料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信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息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管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理</w:t>
                    </w:r>
                  </w:p>
                  <w:p>
                    <w:pPr>
                      <w:spacing w:before="0" w:line="232" w:lineRule="exact"/>
                      <w:ind w:left="0" w:right="0" w:firstLine="0"/>
                      <w:jc w:val="left"/>
                      <w:rPr>
                        <w:rFonts w:ascii="Microsoft JhengHei" w:eastAsia="Microsoft JhengHei"/>
                        <w:b/>
                        <w:sz w:val="28"/>
                      </w:rPr>
                    </w:pPr>
                    <w:r>
                      <w:rPr>
                        <w:rFonts w:ascii="Microsoft JhengHei" w:eastAsia="Microsoft JhengHei"/>
                        <w:b/>
                        <w:sz w:val="28"/>
                      </w:rPr>
                      <w:t>员</w:t>
                    </w:r>
                  </w:p>
                </w:txbxContent>
              </v:textbox>
            </v:shape>
            <v:shape id="_x0000_s1045" type="#_x0000_t202" style="width:584;height:2443;left:5916;position:absolute;top:5582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73" w:line="132" w:lineRule="auto"/>
                      <w:ind w:left="114" w:right="172" w:firstLine="0"/>
                      <w:jc w:val="both"/>
                      <w:rPr>
                        <w:rFonts w:ascii="Microsoft JhengHei" w:eastAsia="Microsoft JhengHei"/>
                        <w:b/>
                        <w:sz w:val="28"/>
                      </w:rPr>
                    </w:pP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基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建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管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控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管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理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员</w:t>
                    </w:r>
                  </w:p>
                </w:txbxContent>
              </v:textbox>
            </v:shape>
            <v:shape id="_x0000_s1046" type="#_x0000_t202" style="width:614;height:2432;left:1245;position:absolute;top:5595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73" w:line="132" w:lineRule="auto"/>
                      <w:ind w:left="144" w:right="172" w:firstLine="0"/>
                      <w:jc w:val="both"/>
                      <w:rPr>
                        <w:rFonts w:ascii="Microsoft JhengHei" w:eastAsia="Microsoft JhengHei"/>
                        <w:b/>
                        <w:sz w:val="28"/>
                      </w:rPr>
                    </w:pP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土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建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监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理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工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程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师</w:t>
                    </w:r>
                  </w:p>
                </w:txbxContent>
              </v:textbox>
            </v:shape>
            <v:shape id="_x0000_s1047" type="#_x0000_t202" style="width:609;height:2307;left:9817;position:absolute;top:5590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70" w:line="132" w:lineRule="auto"/>
                      <w:ind w:left="139" w:right="172" w:firstLine="0"/>
                      <w:jc w:val="both"/>
                      <w:rPr>
                        <w:rFonts w:ascii="Microsoft JhengHei" w:eastAsia="Microsoft JhengHei"/>
                        <w:b/>
                        <w:sz w:val="28"/>
                      </w:rPr>
                    </w:pP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技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经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监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理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工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程</w:t>
                    </w:r>
                    <w:r>
                      <w:rPr>
                        <w:rFonts w:ascii="Microsoft JhengHei" w:eastAsia="Microsoft JhengHei"/>
                        <w:b/>
                        <w:spacing w:val="-10"/>
                        <w:sz w:val="28"/>
                      </w:rPr>
                      <w:t>师</w:t>
                    </w:r>
                  </w:p>
                </w:txbxContent>
              </v:textbox>
            </v:shape>
            <v:shape id="_x0000_s1048" style="width:120;height:122;left:7469;position:absolute;top:2182" coordorigin="7469,2182" coordsize="120,122" path="m7532,2304l7469,2185,7589,2182,7532,2304xe" filled="t" fillcolor="black" stroked="f">
              <v:fill type="solid"/>
              <v:path arrowok="t"/>
            </v:shape>
            <v:line id="_x0000_s1049" style="position:absolute" from="7518,1737" to="7531,2281" stroked="t" strokecolor="black" strokeweight="0.75pt">
              <v:stroke dashstyle="solid"/>
            </v:line>
            <v:shape id="_x0000_s1050" type="#_x0000_t202" style="width:1509;height:536;left:6911;position:absolute;top:1199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0" w:line="438" w:lineRule="exact"/>
                      <w:ind w:left="144" w:right="0" w:firstLine="0"/>
                      <w:jc w:val="left"/>
                      <w:rPr>
                        <w:rFonts w:ascii="Microsoft JhengHei" w:eastAsia="Microsoft JhengHei"/>
                        <w:b/>
                        <w:sz w:val="24"/>
                      </w:rPr>
                    </w:pPr>
                    <w:r>
                      <w:rPr>
                        <w:rFonts w:ascii="Microsoft JhengHei" w:eastAsia="Microsoft JhengHei"/>
                        <w:b/>
                        <w:spacing w:val="-3"/>
                        <w:sz w:val="24"/>
                      </w:rPr>
                      <w:t>总监代表</w:t>
                    </w:r>
                  </w:p>
                </w:txbxContent>
              </v:textbox>
            </v:shape>
            <v:shape id="_x0000_s1051" type="#_x0000_t202" style="width:3600;height:1659;left:4314;position:absolute;top:2292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47" w:line="261" w:lineRule="auto"/>
                      <w:ind w:left="1089" w:right="143" w:hanging="946"/>
                      <w:jc w:val="left"/>
                      <w:rPr>
                        <w:rFonts w:ascii="Microsoft JhengHei" w:eastAsia="Microsoft JhengHei"/>
                        <w:b/>
                        <w:sz w:val="28"/>
                      </w:rPr>
                    </w:pPr>
                    <w:r>
                      <w:rPr>
                        <w:rFonts w:ascii="Microsoft JhengHei" w:eastAsia="Microsoft JhengHei"/>
                        <w:b/>
                        <w:spacing w:val="-11"/>
                        <w:sz w:val="28"/>
                      </w:rPr>
                      <w:t>安全监理工程师、环保水保</w:t>
                    </w:r>
                    <w:r>
                      <w:rPr>
                        <w:rFonts w:ascii="Microsoft JhengHei" w:eastAsia="Microsoft JhengHei"/>
                        <w:b/>
                        <w:spacing w:val="-4"/>
                        <w:sz w:val="28"/>
                      </w:rPr>
                      <w:t>监理工程师</w:t>
                    </w:r>
                  </w:p>
                </w:txbxContent>
              </v:textbox>
            </v:shape>
            <v:shape id="_x0000_s1052" style="width:120;height:121;left:5729;position:absolute;top:2174" coordorigin="5729,2174" coordsize="120,121" path="m5790,2295l5729,2175,5849,2174,5790,2295xe" filled="t" fillcolor="black" stroked="f">
              <v:fill type="solid"/>
              <v:path arrowok="t"/>
            </v:shape>
            <v:line id="_x0000_s1053" style="position:absolute" from="5779,941" to="5790,2272" stroked="t" strokecolor="black" strokeweight="0.75pt">
              <v:stroke dashstyle="solid"/>
            </v:line>
            <v:shape id="_x0000_s1054" style="width:121;height:120;left:6812;position:absolute;top:1376" coordorigin="6813,1376" coordsize="121,120" path="m6813,1496l6813,1376,6933,1437,6813,1496xe" filled="t" fillcolor="black" stroked="f">
              <v:fill type="solid"/>
              <v:path arrowok="t"/>
            </v:shape>
            <v:line id="_x0000_s1055" style="position:absolute" from="5793,1436" to="6910,1437" stroked="t" strokecolor="black" strokeweight="0.75pt">
              <v:stroke dashstyle="solid"/>
            </v:line>
            <v:shape id="_x0000_s1056" type="#_x0000_t202" style="width:3600;height:780;left:4195;position:absolute;top:193" filled="f" stroked="t" strokecolor="black" strokeweight="0.75pt">
              <v:stroke dashstyle="solid"/>
              <v:textbox inset="0,0,0,0">
                <w:txbxContent>
                  <w:p>
                    <w:pPr>
                      <w:spacing w:before="147"/>
                      <w:ind w:left="949" w:right="0" w:firstLine="0"/>
                      <w:jc w:val="left"/>
                      <w:rPr>
                        <w:rFonts w:ascii="Microsoft JhengHei" w:eastAsia="Microsoft JhengHei"/>
                        <w:b/>
                        <w:sz w:val="28"/>
                      </w:rPr>
                    </w:pPr>
                    <w:r>
                      <w:rPr>
                        <w:rFonts w:ascii="Microsoft JhengHei" w:eastAsia="Microsoft JhengHei"/>
                        <w:b/>
                        <w:spacing w:val="-2"/>
                        <w:sz w:val="28"/>
                      </w:rPr>
                      <w:t>总监理工程师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rFonts w:ascii="Microsoft JhengHei"/>
          <w:sz w:val="8"/>
        </w:rPr>
        <w:sectPr>
          <w:headerReference w:type="default" r:id="rId6"/>
          <w:footerReference w:type="default" r:id="rId7"/>
          <w:pgSz w:w="11910" w:h="16840"/>
          <w:pgMar w:top="1120" w:right="1140" w:bottom="1380" w:left="1140" w:header="934" w:footer="1198"/>
          <w:pgNumType w:start="2"/>
          <w:cols w:space="708"/>
        </w:sectPr>
      </w:pPr>
    </w:p>
    <w:p>
      <w:pPr>
        <w:pStyle w:val="BodyText"/>
        <w:spacing w:before="11"/>
        <w:rPr>
          <w:rFonts w:ascii="Microsoft JhengHei"/>
          <w:b/>
          <w:sz w:val="20"/>
        </w:rPr>
      </w:pPr>
    </w:p>
    <w:p>
      <w:pPr>
        <w:pStyle w:val="Heading2"/>
        <w:numPr>
          <w:ilvl w:val="1"/>
          <w:numId w:val="25"/>
        </w:numPr>
        <w:tabs>
          <w:tab w:val="left" w:pos="942"/>
        </w:tabs>
        <w:spacing w:before="0" w:after="0" w:line="473" w:lineRule="exact"/>
        <w:ind w:left="941" w:right="0" w:hanging="494"/>
        <w:jc w:val="left"/>
      </w:pPr>
      <w:bookmarkStart w:id="6" w:name="_TOC_250008"/>
      <w:bookmarkEnd w:id="6"/>
      <w:r>
        <w:rPr>
          <w:spacing w:val="-1"/>
        </w:rPr>
        <w:t>监理组织机构人员名单：</w:t>
      </w:r>
    </w:p>
    <w:p>
      <w:pPr>
        <w:spacing w:before="0" w:line="504" w:lineRule="exact"/>
        <w:ind w:left="3688" w:right="0" w:firstLine="0"/>
        <w:jc w:val="left"/>
        <w:rPr>
          <w:rFonts w:ascii="Microsoft JhengHei" w:eastAsia="Microsoft JhengHei"/>
          <w:b/>
          <w:sz w:val="28"/>
        </w:rPr>
      </w:pPr>
      <w:r>
        <w:rPr>
          <w:rFonts w:ascii="Microsoft JhengHei" w:eastAsia="Microsoft JhengHei"/>
          <w:b/>
          <w:spacing w:val="-2"/>
          <w:sz w:val="28"/>
        </w:rPr>
        <w:t>监理部人员配备表</w:t>
      </w:r>
    </w:p>
    <w:p>
      <w:pPr>
        <w:pStyle w:val="BodyText"/>
        <w:spacing w:before="7"/>
        <w:rPr>
          <w:rFonts w:ascii="Microsoft JhengHei"/>
          <w:b/>
          <w:sz w:val="6"/>
        </w:rPr>
      </w:pPr>
    </w:p>
    <w:tbl>
      <w:tblPr>
        <w:tblStyle w:val="TableNormal0"/>
        <w:tblW w:w="0" w:type="auto"/>
        <w:jc w:val="left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1"/>
        <w:gridCol w:w="1827"/>
        <w:gridCol w:w="859"/>
        <w:gridCol w:w="1145"/>
        <w:gridCol w:w="3580"/>
        <w:gridCol w:w="480"/>
        <w:gridCol w:w="624"/>
      </w:tblGrid>
      <w:tr>
        <w:tblPrEx>
          <w:tblW w:w="0" w:type="auto"/>
          <w:jc w:val="left"/>
          <w:tblInd w:w="34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431" w:type="dxa"/>
          </w:tcPr>
          <w:p>
            <w:pPr>
              <w:pStyle w:val="TableParagraph"/>
              <w:spacing w:before="23"/>
              <w:ind w:left="110"/>
              <w:rPr>
                <w:sz w:val="21"/>
              </w:rPr>
            </w:pPr>
            <w:r>
              <w:rPr>
                <w:sz w:val="21"/>
              </w:rPr>
              <w:t>序</w:t>
            </w:r>
          </w:p>
          <w:p>
            <w:pPr>
              <w:pStyle w:val="TableParagraph"/>
              <w:spacing w:before="43"/>
              <w:ind w:left="110"/>
              <w:rPr>
                <w:sz w:val="21"/>
              </w:rPr>
            </w:pPr>
            <w:r>
              <w:rPr>
                <w:sz w:val="21"/>
              </w:rPr>
              <w:t>号</w:t>
            </w:r>
          </w:p>
        </w:tc>
        <w:tc>
          <w:tcPr>
            <w:tcW w:w="1827" w:type="dxa"/>
          </w:tcPr>
          <w:p>
            <w:pPr>
              <w:pStyle w:val="TableParagraph"/>
              <w:spacing w:before="179"/>
              <w:ind w:left="688" w:right="67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职务</w:t>
            </w:r>
          </w:p>
        </w:tc>
        <w:tc>
          <w:tcPr>
            <w:tcW w:w="859" w:type="dxa"/>
          </w:tcPr>
          <w:p>
            <w:pPr>
              <w:pStyle w:val="TableParagraph"/>
              <w:spacing w:before="179"/>
              <w:ind w:left="219"/>
              <w:rPr>
                <w:sz w:val="21"/>
              </w:rPr>
            </w:pPr>
            <w:r>
              <w:rPr>
                <w:spacing w:val="-5"/>
                <w:sz w:val="21"/>
              </w:rPr>
              <w:t>姓名</w:t>
            </w:r>
          </w:p>
        </w:tc>
        <w:tc>
          <w:tcPr>
            <w:tcW w:w="1145" w:type="dxa"/>
          </w:tcPr>
          <w:p>
            <w:pPr>
              <w:pStyle w:val="TableParagraph"/>
              <w:spacing w:before="179"/>
              <w:ind w:left="362"/>
              <w:rPr>
                <w:sz w:val="21"/>
              </w:rPr>
            </w:pPr>
            <w:r>
              <w:rPr>
                <w:spacing w:val="-5"/>
                <w:sz w:val="21"/>
              </w:rPr>
              <w:t>专业</w:t>
            </w:r>
          </w:p>
        </w:tc>
        <w:tc>
          <w:tcPr>
            <w:tcW w:w="3580" w:type="dxa"/>
          </w:tcPr>
          <w:p>
            <w:pPr>
              <w:pStyle w:val="TableParagraph"/>
              <w:spacing w:before="179"/>
              <w:ind w:left="1356" w:right="1346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执业资格</w:t>
            </w:r>
          </w:p>
        </w:tc>
        <w:tc>
          <w:tcPr>
            <w:tcW w:w="480" w:type="dxa"/>
          </w:tcPr>
          <w:p>
            <w:pPr>
              <w:pStyle w:val="TableParagraph"/>
              <w:spacing w:before="23"/>
              <w:ind w:left="135"/>
              <w:rPr>
                <w:sz w:val="21"/>
              </w:rPr>
            </w:pPr>
            <w:r>
              <w:rPr>
                <w:sz w:val="21"/>
              </w:rPr>
              <w:t>年</w:t>
            </w:r>
          </w:p>
          <w:p>
            <w:pPr>
              <w:pStyle w:val="TableParagraph"/>
              <w:spacing w:before="43"/>
              <w:ind w:left="135"/>
              <w:rPr>
                <w:sz w:val="21"/>
              </w:rPr>
            </w:pPr>
            <w:r>
              <w:rPr>
                <w:sz w:val="21"/>
              </w:rPr>
              <w:t>龄</w:t>
            </w:r>
          </w:p>
        </w:tc>
        <w:tc>
          <w:tcPr>
            <w:tcW w:w="624" w:type="dxa"/>
          </w:tcPr>
          <w:p>
            <w:pPr>
              <w:pStyle w:val="TableParagraph"/>
              <w:spacing w:before="23"/>
              <w:ind w:left="207"/>
              <w:rPr>
                <w:sz w:val="21"/>
              </w:rPr>
            </w:pPr>
            <w:r>
              <w:rPr>
                <w:sz w:val="21"/>
              </w:rPr>
              <w:t>备</w:t>
            </w:r>
          </w:p>
          <w:p>
            <w:pPr>
              <w:pStyle w:val="TableParagraph"/>
              <w:spacing w:before="43"/>
              <w:ind w:left="207"/>
              <w:rPr>
                <w:sz w:val="21"/>
              </w:rPr>
            </w:pPr>
            <w:r>
              <w:rPr>
                <w:sz w:val="21"/>
              </w:rPr>
              <w:t>注</w:t>
            </w:r>
          </w:p>
        </w:tc>
      </w:tr>
    </w:tbl>
    <w:p>
      <w:pPr>
        <w:pStyle w:val="Heading2"/>
        <w:numPr>
          <w:ilvl w:val="1"/>
          <w:numId w:val="25"/>
        </w:numPr>
        <w:tabs>
          <w:tab w:val="left" w:pos="942"/>
        </w:tabs>
        <w:spacing w:before="12" w:after="0" w:line="240" w:lineRule="auto"/>
        <w:ind w:left="941" w:right="0" w:hanging="494"/>
        <w:jc w:val="left"/>
      </w:pPr>
      <w:bookmarkStart w:id="7" w:name="_TOC_250007"/>
      <w:bookmarkEnd w:id="7"/>
      <w:r>
        <w:rPr>
          <w:spacing w:val="-1"/>
        </w:rPr>
        <w:t>监理人员绿色施工管理职责</w:t>
      </w:r>
    </w:p>
    <w:p>
      <w:pPr>
        <w:pStyle w:val="ListParagraph"/>
        <w:numPr>
          <w:ilvl w:val="2"/>
          <w:numId w:val="25"/>
        </w:numPr>
        <w:tabs>
          <w:tab w:val="left" w:pos="1218"/>
        </w:tabs>
        <w:spacing w:before="122" w:after="0" w:line="240" w:lineRule="auto"/>
        <w:ind w:left="1218" w:right="0" w:hanging="770"/>
        <w:jc w:val="left"/>
        <w:rPr>
          <w:sz w:val="28"/>
        </w:rPr>
      </w:pPr>
      <w:r>
        <w:rPr>
          <w:spacing w:val="-1"/>
          <w:sz w:val="28"/>
        </w:rPr>
        <w:t>监理项目部绿色施工管理责任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186" w:after="0" w:line="364" w:lineRule="auto"/>
        <w:ind w:left="448" w:right="445" w:firstLine="560"/>
        <w:jc w:val="left"/>
        <w:rPr>
          <w:sz w:val="28"/>
        </w:rPr>
      </w:pPr>
      <w:r>
        <w:rPr>
          <w:spacing w:val="-2"/>
          <w:sz w:val="28"/>
        </w:rPr>
        <w:t>负责工程项目施工的绿色监理工作，履行监理合同中承诺的</w:t>
      </w:r>
      <w:r>
        <w:rPr>
          <w:spacing w:val="-2"/>
          <w:sz w:val="28"/>
        </w:rPr>
        <w:t>绿色施工监理职责。完善绿色施工监理工作机制</w:t>
      </w:r>
    </w:p>
    <w:p>
      <w:pPr>
        <w:pStyle w:val="ListParagraph"/>
        <w:numPr>
          <w:ilvl w:val="3"/>
          <w:numId w:val="25"/>
        </w:numPr>
        <w:tabs>
          <w:tab w:val="left" w:pos="1572"/>
        </w:tabs>
        <w:spacing w:before="0" w:after="0" w:line="364" w:lineRule="auto"/>
        <w:ind w:left="448" w:right="445" w:firstLine="420"/>
        <w:jc w:val="both"/>
        <w:rPr>
          <w:sz w:val="28"/>
        </w:rPr>
      </w:pPr>
      <w:r>
        <w:rPr>
          <w:spacing w:val="-2"/>
          <w:sz w:val="28"/>
        </w:rPr>
        <w:t>编制绿色施工监理实施细则，明确绿色施工监理目标、措施、</w:t>
      </w:r>
      <w:r>
        <w:rPr>
          <w:spacing w:val="-8"/>
          <w:sz w:val="28"/>
        </w:rPr>
        <w:t>计划； 明确文件审查、安全检查签证、旁站和巡视等工作中的绿色施工</w:t>
      </w:r>
      <w:r>
        <w:rPr>
          <w:spacing w:val="-2"/>
          <w:sz w:val="28"/>
        </w:rPr>
        <w:t>监理工作职责、内容、程序。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0" w:after="0" w:line="364" w:lineRule="auto"/>
        <w:ind w:left="448" w:right="445" w:firstLine="560"/>
        <w:jc w:val="left"/>
        <w:rPr>
          <w:sz w:val="28"/>
        </w:rPr>
      </w:pPr>
      <w:r>
        <w:rPr>
          <w:spacing w:val="-2"/>
          <w:sz w:val="28"/>
        </w:rPr>
        <w:t>组织项目监理人员参加绿色施工教育培训，督促施工项目部</w:t>
      </w:r>
      <w:r>
        <w:rPr>
          <w:spacing w:val="-2"/>
          <w:sz w:val="28"/>
        </w:rPr>
        <w:t>开展绿色施工教育培训工作。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0" w:after="0" w:line="364" w:lineRule="auto"/>
        <w:ind w:left="448" w:right="445" w:firstLine="560"/>
        <w:jc w:val="left"/>
        <w:rPr>
          <w:sz w:val="28"/>
        </w:rPr>
      </w:pPr>
      <w:r>
        <w:rPr>
          <w:spacing w:val="-2"/>
          <w:sz w:val="28"/>
        </w:rPr>
        <w:t>审查项目管理实施规划（施工组织设计）中安全技术措施或</w:t>
      </w:r>
      <w:r>
        <w:rPr>
          <w:spacing w:val="-2"/>
          <w:sz w:val="28"/>
        </w:rPr>
        <w:t>专项施工方案是否符合绿色施工要求。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0" w:after="0" w:line="364" w:lineRule="auto"/>
        <w:ind w:left="448" w:right="357" w:firstLine="560"/>
        <w:jc w:val="left"/>
        <w:rPr>
          <w:sz w:val="28"/>
        </w:rPr>
      </w:pPr>
      <w:r>
        <w:rPr>
          <w:spacing w:val="-2"/>
          <w:sz w:val="28"/>
        </w:rPr>
        <w:t>负责施工机械、工器具、安全防护用品（用具）的进场审查。</w:t>
      </w:r>
      <w:r>
        <w:rPr>
          <w:spacing w:val="-2"/>
          <w:sz w:val="28"/>
        </w:rPr>
        <w:t>检查现场施工人员和装备投入是否符合绿色施工要求。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0" w:after="0" w:line="364" w:lineRule="auto"/>
        <w:ind w:left="448" w:right="305" w:firstLine="560"/>
        <w:jc w:val="left"/>
        <w:rPr>
          <w:sz w:val="28"/>
        </w:rPr>
      </w:pPr>
      <w:r>
        <w:rPr>
          <w:spacing w:val="-2"/>
          <w:sz w:val="28"/>
        </w:rPr>
        <w:t>对实施监理过程中发现的违反绿色施工的现象，要求施工项目</w:t>
      </w:r>
      <w:r>
        <w:rPr>
          <w:spacing w:val="-4"/>
          <w:sz w:val="28"/>
        </w:rPr>
        <w:t>部整改，必要时要求施工项目部暂时停止施工，并及时报告业主项目部，</w:t>
      </w:r>
      <w:r>
        <w:rPr>
          <w:spacing w:val="-2"/>
          <w:sz w:val="28"/>
        </w:rPr>
        <w:t>对整改情况进行跟踪。</w:t>
      </w:r>
    </w:p>
    <w:p>
      <w:pPr>
        <w:pStyle w:val="ListParagraph"/>
        <w:numPr>
          <w:ilvl w:val="0"/>
          <w:numId w:val="22"/>
        </w:numPr>
        <w:tabs>
          <w:tab w:val="left" w:pos="1852"/>
        </w:tabs>
        <w:spacing w:before="0" w:after="0" w:line="364" w:lineRule="auto"/>
        <w:ind w:left="448" w:right="446" w:firstLine="560"/>
        <w:jc w:val="both"/>
        <w:rPr>
          <w:sz w:val="28"/>
        </w:rPr>
      </w:pPr>
      <w:r>
        <w:rPr>
          <w:spacing w:val="-2"/>
          <w:sz w:val="28"/>
        </w:rPr>
        <w:t>在安全检查、工作例会中，掌握现场绿色施工动态，收集绿色施工管理信息，通报施工现场绿色施工现状以及存在的问题，提出整</w:t>
      </w:r>
      <w:r>
        <w:rPr>
          <w:spacing w:val="-2"/>
          <w:sz w:val="28"/>
        </w:rPr>
        <w:t>改要求和具体措施，督促责任方落实。</w:t>
      </w:r>
    </w:p>
    <w:p>
      <w:pPr>
        <w:pStyle w:val="ListParagraph"/>
        <w:numPr>
          <w:ilvl w:val="0"/>
          <w:numId w:val="22"/>
        </w:numPr>
        <w:tabs>
          <w:tab w:val="left" w:pos="1852"/>
        </w:tabs>
        <w:spacing w:before="0" w:after="0" w:line="364" w:lineRule="auto"/>
        <w:ind w:left="448" w:right="446" w:firstLine="560"/>
        <w:jc w:val="left"/>
        <w:rPr>
          <w:sz w:val="28"/>
        </w:rPr>
      </w:pPr>
      <w:r>
        <w:rPr>
          <w:spacing w:val="-2"/>
          <w:sz w:val="28"/>
        </w:rPr>
        <w:t>负责绿色施工监理工作资料的收集和整理，建立绿色施工管</w:t>
      </w:r>
      <w:r>
        <w:rPr>
          <w:spacing w:val="-2"/>
          <w:sz w:val="28"/>
        </w:rPr>
        <w:t>理台帐，并督促施工项目部及时整理绿色施工管理资料。</w:t>
      </w:r>
    </w:p>
    <w:p>
      <w:pPr>
        <w:pStyle w:val="ListParagraph"/>
        <w:numPr>
          <w:ilvl w:val="0"/>
          <w:numId w:val="22"/>
        </w:numPr>
        <w:tabs>
          <w:tab w:val="left" w:pos="1849"/>
        </w:tabs>
        <w:spacing w:before="0" w:after="0" w:line="358" w:lineRule="exact"/>
        <w:ind w:left="1849" w:right="0" w:hanging="841"/>
        <w:jc w:val="left"/>
        <w:rPr>
          <w:sz w:val="28"/>
        </w:rPr>
      </w:pPr>
      <w:r>
        <w:rPr>
          <w:spacing w:val="-1"/>
          <w:sz w:val="28"/>
        </w:rPr>
        <w:t>配合绿色施工监理处理相关工作。</w:t>
      </w:r>
    </w:p>
    <w:p>
      <w:pPr>
        <w:spacing w:after="0" w:line="358" w:lineRule="exact"/>
        <w:jc w:val="left"/>
        <w:rPr>
          <w:sz w:val="28"/>
        </w:rPr>
        <w:sectPr>
          <w:headerReference w:type="default" r:id="rId8"/>
          <w:footerReference w:type="default" r:id="rId9"/>
          <w:pgSz w:w="11910" w:h="16840"/>
          <w:pgMar w:top="1120" w:right="1140" w:bottom="1380" w:left="1140" w:header="934" w:footer="1198"/>
          <w:pgNumType w:start="3"/>
          <w:cols w:space="708"/>
        </w:sectPr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2"/>
          <w:numId w:val="25"/>
        </w:numPr>
        <w:tabs>
          <w:tab w:val="left" w:pos="1218"/>
        </w:tabs>
        <w:spacing w:before="61" w:after="0" w:line="240" w:lineRule="auto"/>
        <w:ind w:left="1218" w:right="0" w:hanging="770"/>
        <w:jc w:val="left"/>
        <w:rPr>
          <w:sz w:val="28"/>
        </w:rPr>
      </w:pPr>
      <w:r>
        <w:rPr>
          <w:spacing w:val="-1"/>
          <w:sz w:val="28"/>
        </w:rPr>
        <w:t>总监理工程师绿色施工监理职责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186" w:after="0" w:line="364" w:lineRule="auto"/>
        <w:ind w:left="448" w:right="445" w:firstLine="560"/>
        <w:jc w:val="left"/>
        <w:rPr>
          <w:sz w:val="28"/>
        </w:rPr>
      </w:pPr>
      <w:r>
        <w:rPr>
          <w:spacing w:val="-2"/>
          <w:sz w:val="28"/>
        </w:rPr>
        <w:t>全面负责监理项目部绿色施工管理工作，是监理项目部绿色</w:t>
      </w:r>
      <w:r>
        <w:rPr>
          <w:spacing w:val="-2"/>
          <w:sz w:val="28"/>
        </w:rPr>
        <w:t>施工第一责任人。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0" w:after="0" w:line="358" w:lineRule="exact"/>
        <w:ind w:left="1709" w:right="0" w:hanging="701"/>
        <w:jc w:val="left"/>
        <w:rPr>
          <w:sz w:val="28"/>
        </w:rPr>
      </w:pPr>
      <w:r>
        <w:rPr>
          <w:spacing w:val="-1"/>
          <w:sz w:val="28"/>
        </w:rPr>
        <w:t>组织编制监理项目部绿色施工策划文件。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186" w:after="0" w:line="240" w:lineRule="auto"/>
        <w:ind w:left="1709" w:right="0" w:hanging="701"/>
        <w:jc w:val="left"/>
        <w:rPr>
          <w:sz w:val="28"/>
        </w:rPr>
      </w:pPr>
      <w:r>
        <w:rPr>
          <w:spacing w:val="-1"/>
          <w:sz w:val="28"/>
        </w:rPr>
        <w:t>组织审查施工报审的策划文件，并签署审查意见；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186" w:after="0" w:line="364" w:lineRule="auto"/>
        <w:ind w:left="448" w:right="445" w:firstLine="560"/>
        <w:jc w:val="left"/>
        <w:rPr>
          <w:sz w:val="28"/>
        </w:rPr>
      </w:pPr>
      <w:r>
        <w:rPr>
          <w:spacing w:val="-2"/>
          <w:sz w:val="28"/>
        </w:rPr>
        <w:t>组织审查分包单位资质，并签署审查意见，监督施工分包安</w:t>
      </w:r>
      <w:r>
        <w:rPr>
          <w:spacing w:val="-2"/>
          <w:sz w:val="28"/>
        </w:rPr>
        <w:t>全管理工作。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0" w:after="0" w:line="358" w:lineRule="exact"/>
        <w:ind w:left="1709" w:right="0" w:hanging="701"/>
        <w:jc w:val="left"/>
        <w:rPr>
          <w:sz w:val="28"/>
        </w:rPr>
      </w:pPr>
      <w:r>
        <w:rPr>
          <w:spacing w:val="-1"/>
          <w:sz w:val="28"/>
        </w:rPr>
        <w:t>组织审查施工项目部人员资质，并签署审查意见。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186" w:after="0" w:line="240" w:lineRule="auto"/>
        <w:ind w:left="1709" w:right="0" w:hanging="701"/>
        <w:jc w:val="left"/>
        <w:rPr>
          <w:sz w:val="28"/>
        </w:rPr>
      </w:pPr>
      <w:r>
        <w:rPr>
          <w:spacing w:val="-1"/>
          <w:sz w:val="28"/>
        </w:rPr>
        <w:t>组织审查专项施工方案和专项技术措施，组织做好旁站监理。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186" w:after="0" w:line="240" w:lineRule="auto"/>
        <w:ind w:left="1709" w:right="0" w:hanging="701"/>
        <w:jc w:val="left"/>
        <w:rPr>
          <w:sz w:val="28"/>
        </w:rPr>
      </w:pPr>
      <w:r>
        <w:rPr>
          <w:spacing w:val="-1"/>
          <w:sz w:val="28"/>
        </w:rPr>
        <w:t>组织施工机械、工器具、安全防护用品进场审查。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186" w:after="0" w:line="364" w:lineRule="auto"/>
        <w:ind w:left="448" w:right="357" w:firstLine="560"/>
        <w:jc w:val="left"/>
        <w:rPr>
          <w:sz w:val="28"/>
        </w:rPr>
      </w:pPr>
      <w:r>
        <w:rPr>
          <w:spacing w:val="-2"/>
          <w:sz w:val="28"/>
        </w:rPr>
        <w:t>组织或参加安全例会，协调解决工程中存在的绿色施工问题，</w:t>
      </w:r>
      <w:r>
        <w:rPr>
          <w:spacing w:val="-2"/>
          <w:sz w:val="28"/>
        </w:rPr>
        <w:t>提出工作改进建议和措施。</w:t>
      </w:r>
    </w:p>
    <w:p>
      <w:pPr>
        <w:pStyle w:val="ListParagraph"/>
        <w:numPr>
          <w:ilvl w:val="2"/>
          <w:numId w:val="25"/>
        </w:numPr>
        <w:tabs>
          <w:tab w:val="left" w:pos="1218"/>
        </w:tabs>
        <w:spacing w:before="0" w:after="0" w:line="358" w:lineRule="exact"/>
        <w:ind w:left="1218" w:right="0" w:hanging="770"/>
        <w:jc w:val="left"/>
        <w:rPr>
          <w:sz w:val="28"/>
        </w:rPr>
      </w:pPr>
      <w:r>
        <w:rPr>
          <w:spacing w:val="-2"/>
          <w:sz w:val="28"/>
        </w:rPr>
        <w:t>绿色施工监理师职责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186" w:after="0" w:line="364" w:lineRule="auto"/>
        <w:ind w:left="448" w:right="445" w:firstLine="560"/>
        <w:jc w:val="left"/>
        <w:rPr>
          <w:sz w:val="28"/>
        </w:rPr>
      </w:pPr>
      <w:r>
        <w:rPr>
          <w:spacing w:val="-2"/>
          <w:sz w:val="28"/>
        </w:rPr>
        <w:t>在总监理工程师的领导下负责工程建设项目绿色施工监理的</w:t>
      </w:r>
      <w:r>
        <w:rPr>
          <w:spacing w:val="-2"/>
          <w:sz w:val="28"/>
        </w:rPr>
        <w:t>日常工作。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0" w:after="0" w:line="364" w:lineRule="auto"/>
        <w:ind w:left="448" w:right="445" w:firstLine="560"/>
        <w:jc w:val="left"/>
        <w:rPr>
          <w:sz w:val="28"/>
        </w:rPr>
      </w:pPr>
      <w:r>
        <w:rPr>
          <w:spacing w:val="-2"/>
          <w:sz w:val="28"/>
        </w:rPr>
        <w:t>协助总监理工程师做好绿色施工监理策划工作，编写监理规</w:t>
      </w:r>
      <w:r>
        <w:rPr>
          <w:spacing w:val="-2"/>
          <w:sz w:val="28"/>
        </w:rPr>
        <w:t>划中的绿色施工监理内容和绿色施工监理工作方案。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0" w:after="0" w:line="364" w:lineRule="auto"/>
        <w:ind w:left="448" w:right="445" w:firstLine="560"/>
        <w:jc w:val="both"/>
        <w:rPr>
          <w:sz w:val="28"/>
        </w:rPr>
      </w:pPr>
      <w:r>
        <w:rPr>
          <w:spacing w:val="-4"/>
          <w:sz w:val="28"/>
        </w:rPr>
        <w:t>审查施工单位、分包单位的安全资质，审查项目经理、专职安</w:t>
      </w:r>
      <w:r>
        <w:rPr>
          <w:spacing w:val="-2"/>
          <w:sz w:val="28"/>
        </w:rPr>
        <w:t>全管理人员、特种作业人员的上岗资格，并在过程中检查其持证上岗情</w:t>
      </w:r>
      <w:r>
        <w:rPr>
          <w:spacing w:val="-2"/>
          <w:sz w:val="28"/>
        </w:rPr>
        <w:t>况，监督施工分包绿色施工管理工作，检查施工分包作业现场绿色施工</w:t>
      </w:r>
      <w:r>
        <w:rPr>
          <w:spacing w:val="-2"/>
          <w:sz w:val="28"/>
        </w:rPr>
        <w:t>措施落实，制止不违反绿色施工行为。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0" w:after="0" w:line="364" w:lineRule="auto"/>
        <w:ind w:left="448" w:right="445" w:firstLine="560"/>
        <w:jc w:val="left"/>
        <w:rPr>
          <w:sz w:val="28"/>
        </w:rPr>
      </w:pPr>
      <w:r>
        <w:rPr>
          <w:spacing w:val="-2"/>
          <w:sz w:val="28"/>
        </w:rPr>
        <w:t>参加项目管理实施规划（施工组织设计）和专项安全技术方</w:t>
      </w:r>
      <w:r>
        <w:rPr>
          <w:spacing w:val="-2"/>
          <w:sz w:val="28"/>
        </w:rPr>
        <w:t>案的审查。</w:t>
      </w: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0" w:after="0" w:line="364" w:lineRule="auto"/>
        <w:ind w:left="448" w:right="445" w:firstLine="560"/>
        <w:jc w:val="left"/>
        <w:rPr>
          <w:sz w:val="28"/>
        </w:rPr>
      </w:pPr>
      <w:r>
        <w:rPr>
          <w:spacing w:val="-2"/>
          <w:sz w:val="28"/>
        </w:rPr>
        <w:t>参与专项施工方案的安全技术交底，监督检查作业项目绿色</w:t>
      </w:r>
      <w:r>
        <w:rPr>
          <w:spacing w:val="-2"/>
          <w:sz w:val="28"/>
        </w:rPr>
        <w:t>施工技术措施的落实。</w:t>
      </w:r>
    </w:p>
    <w:p>
      <w:pPr>
        <w:spacing w:after="0" w:line="364" w:lineRule="auto"/>
        <w:jc w:val="left"/>
        <w:rPr>
          <w:sz w:val="28"/>
        </w:rPr>
        <w:sectPr>
          <w:headerReference w:type="default" r:id="rId10"/>
          <w:footerReference w:type="default" r:id="rId11"/>
          <w:pgSz w:w="11910" w:h="16840"/>
          <w:pgMar w:top="1120" w:right="1140" w:bottom="1380" w:left="1140" w:header="934" w:footer="1198"/>
          <w:pgNumType w:start="4"/>
          <w:cols w:space="708"/>
        </w:sectPr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3"/>
          <w:numId w:val="25"/>
        </w:numPr>
        <w:tabs>
          <w:tab w:val="left" w:pos="1709"/>
        </w:tabs>
        <w:spacing w:before="61" w:after="0" w:line="364" w:lineRule="auto"/>
        <w:ind w:left="448" w:right="445" w:firstLine="560"/>
        <w:jc w:val="left"/>
        <w:rPr>
          <w:sz w:val="28"/>
        </w:rPr>
      </w:pPr>
      <w:r>
        <w:rPr>
          <w:spacing w:val="-2"/>
          <w:sz w:val="28"/>
        </w:rPr>
        <w:t>参与安全例会和安全检查，督促并跟踪存在问题整改闭环，</w:t>
      </w:r>
      <w:r>
        <w:rPr>
          <w:spacing w:val="-2"/>
          <w:sz w:val="28"/>
        </w:rPr>
        <w:t>发现重大违反绿色施工的行为及时制止并向总监理工程师报告。</w:t>
      </w:r>
    </w:p>
    <w:p>
      <w:pPr>
        <w:spacing w:before="0" w:line="358" w:lineRule="exact"/>
        <w:ind w:left="1008" w:right="0" w:firstLine="0"/>
        <w:jc w:val="left"/>
        <w:rPr>
          <w:sz w:val="28"/>
        </w:rPr>
      </w:pPr>
      <w:r>
        <w:rPr>
          <w:sz w:val="28"/>
        </w:rPr>
        <w:t>（8）</w:t>
      </w:r>
      <w:r>
        <w:rPr>
          <w:spacing w:val="-1"/>
          <w:sz w:val="28"/>
        </w:rPr>
        <w:t>审查安全文明施工费使用。</w:t>
      </w:r>
    </w:p>
    <w:p>
      <w:pPr>
        <w:pStyle w:val="Heading1"/>
        <w:numPr>
          <w:ilvl w:val="0"/>
          <w:numId w:val="21"/>
        </w:numPr>
        <w:tabs>
          <w:tab w:val="left" w:pos="750"/>
        </w:tabs>
        <w:spacing w:before="205" w:after="0" w:line="532" w:lineRule="exact"/>
        <w:ind w:left="749" w:right="0" w:hanging="302"/>
        <w:jc w:val="left"/>
      </w:pPr>
      <w:bookmarkStart w:id="8" w:name="_TOC_250006"/>
      <w:bookmarkEnd w:id="8"/>
      <w:r>
        <w:rPr>
          <w:spacing w:val="-1"/>
        </w:rPr>
        <w:t>绿色施工管理工作控制要点</w:t>
      </w:r>
    </w:p>
    <w:p>
      <w:pPr>
        <w:pStyle w:val="Heading2"/>
        <w:numPr>
          <w:ilvl w:val="1"/>
          <w:numId w:val="21"/>
        </w:numPr>
        <w:tabs>
          <w:tab w:val="left" w:pos="1012"/>
        </w:tabs>
        <w:spacing w:before="0" w:after="0" w:line="495" w:lineRule="exact"/>
        <w:ind w:left="1011" w:right="0" w:hanging="564"/>
        <w:jc w:val="left"/>
      </w:pPr>
      <w:bookmarkStart w:id="9" w:name="_TOC_250005"/>
      <w:bookmarkEnd w:id="9"/>
      <w:r>
        <w:rPr>
          <w:spacing w:val="-1"/>
        </w:rPr>
        <w:t>绿色施工策划工作要点</w:t>
      </w:r>
    </w:p>
    <w:p>
      <w:pPr>
        <w:pStyle w:val="ListParagraph"/>
        <w:numPr>
          <w:ilvl w:val="2"/>
          <w:numId w:val="21"/>
        </w:numPr>
        <w:tabs>
          <w:tab w:val="left" w:pos="1429"/>
        </w:tabs>
        <w:spacing w:before="122" w:after="0" w:line="364" w:lineRule="auto"/>
        <w:ind w:left="448" w:right="445" w:firstLine="560"/>
        <w:jc w:val="both"/>
        <w:rPr>
          <w:sz w:val="28"/>
        </w:rPr>
      </w:pPr>
      <w:r>
        <w:rPr>
          <w:spacing w:val="-6"/>
          <w:sz w:val="28"/>
        </w:rPr>
        <w:t>审核施工单位编制的《项目管理实施规划》、《施工强制性条文</w:t>
      </w:r>
      <w:r>
        <w:rPr>
          <w:spacing w:val="-2"/>
          <w:sz w:val="28"/>
        </w:rPr>
        <w:t>执行计划》、《施工安全管理及风险控制方案》、《安全文明施工设施配置计划》等安全策划文件，填写监理文件审查记录表，符合要求后报</w:t>
      </w:r>
      <w:r>
        <w:rPr>
          <w:spacing w:val="-2"/>
          <w:sz w:val="28"/>
        </w:rPr>
        <w:t>业主项目部审批；</w:t>
      </w:r>
    </w:p>
    <w:p>
      <w:pPr>
        <w:pStyle w:val="ListParagraph"/>
        <w:numPr>
          <w:ilvl w:val="2"/>
          <w:numId w:val="21"/>
        </w:numPr>
        <w:tabs>
          <w:tab w:val="left" w:pos="1429"/>
        </w:tabs>
        <w:spacing w:before="0" w:after="0" w:line="364" w:lineRule="auto"/>
        <w:ind w:left="448" w:right="445" w:firstLine="560"/>
        <w:jc w:val="left"/>
        <w:rPr>
          <w:sz w:val="28"/>
        </w:rPr>
      </w:pPr>
      <w:r>
        <w:rPr>
          <w:spacing w:val="-9"/>
          <w:sz w:val="28"/>
        </w:rPr>
        <w:t>在开工前将《监理规划》、《安全监理工作方案》报业主项目部</w:t>
      </w:r>
      <w:r>
        <w:rPr>
          <w:spacing w:val="-4"/>
          <w:sz w:val="28"/>
        </w:rPr>
        <w:t>审批；</w:t>
      </w:r>
    </w:p>
    <w:p>
      <w:pPr>
        <w:pStyle w:val="ListParagraph"/>
        <w:numPr>
          <w:ilvl w:val="2"/>
          <w:numId w:val="21"/>
        </w:numPr>
        <w:tabs>
          <w:tab w:val="left" w:pos="1429"/>
        </w:tabs>
        <w:spacing w:before="0" w:after="0" w:line="358" w:lineRule="exact"/>
        <w:ind w:left="1429" w:right="0" w:hanging="421"/>
        <w:jc w:val="left"/>
        <w:rPr>
          <w:sz w:val="28"/>
        </w:rPr>
      </w:pPr>
      <w:r>
        <w:rPr>
          <w:spacing w:val="-1"/>
          <w:sz w:val="28"/>
        </w:rPr>
        <w:t>监督施工单位按已审批的方案、策划实施绿色施工管理；</w:t>
      </w:r>
    </w:p>
    <w:p>
      <w:pPr>
        <w:pStyle w:val="ListParagraph"/>
        <w:numPr>
          <w:ilvl w:val="2"/>
          <w:numId w:val="21"/>
        </w:numPr>
        <w:tabs>
          <w:tab w:val="left" w:pos="1429"/>
        </w:tabs>
        <w:spacing w:before="184" w:after="0" w:line="364" w:lineRule="auto"/>
        <w:ind w:left="448" w:right="305" w:firstLine="560"/>
        <w:jc w:val="left"/>
        <w:rPr>
          <w:sz w:val="28"/>
        </w:rPr>
      </w:pPr>
      <w:r>
        <w:rPr>
          <w:spacing w:val="-7"/>
          <w:sz w:val="28"/>
        </w:rPr>
        <w:t>在实施过程中根据实际情况对策划文件进行必要的修订、补充时</w:t>
      </w:r>
      <w:r>
        <w:rPr>
          <w:spacing w:val="-2"/>
          <w:sz w:val="28"/>
        </w:rPr>
        <w:t>，必须履行审批程序；</w:t>
      </w:r>
    </w:p>
    <w:p>
      <w:pPr>
        <w:pStyle w:val="ListParagraph"/>
        <w:numPr>
          <w:ilvl w:val="2"/>
          <w:numId w:val="21"/>
        </w:numPr>
        <w:tabs>
          <w:tab w:val="left" w:pos="1429"/>
        </w:tabs>
        <w:spacing w:before="0" w:after="0" w:line="364" w:lineRule="auto"/>
        <w:ind w:left="448" w:right="445" w:firstLine="560"/>
        <w:jc w:val="left"/>
        <w:rPr>
          <w:sz w:val="28"/>
        </w:rPr>
      </w:pPr>
      <w:r>
        <w:rPr>
          <w:spacing w:val="-2"/>
          <w:sz w:val="28"/>
        </w:rPr>
        <w:t>工程结束后，在监理工作总结中对绿色施工生产管理监理管理</w:t>
      </w:r>
      <w:r>
        <w:rPr>
          <w:spacing w:val="-2"/>
          <w:sz w:val="28"/>
        </w:rPr>
        <w:t>工作进行分析、总结。</w:t>
      </w:r>
    </w:p>
    <w:p>
      <w:pPr>
        <w:pStyle w:val="Heading2"/>
        <w:numPr>
          <w:ilvl w:val="1"/>
          <w:numId w:val="21"/>
        </w:numPr>
        <w:tabs>
          <w:tab w:val="left" w:pos="1082"/>
        </w:tabs>
        <w:spacing w:before="0" w:after="0" w:line="421" w:lineRule="exact"/>
        <w:ind w:left="1081" w:right="0" w:hanging="494"/>
        <w:jc w:val="left"/>
      </w:pPr>
      <w:bookmarkStart w:id="10" w:name="_TOC_250004"/>
      <w:bookmarkEnd w:id="10"/>
      <w:r>
        <w:rPr>
          <w:spacing w:val="-1"/>
        </w:rPr>
        <w:t>绿色施工检查工作要点</w:t>
      </w:r>
    </w:p>
    <w:p>
      <w:pPr>
        <w:pStyle w:val="ListParagraph"/>
        <w:numPr>
          <w:ilvl w:val="2"/>
          <w:numId w:val="21"/>
        </w:numPr>
        <w:tabs>
          <w:tab w:val="left" w:pos="1429"/>
        </w:tabs>
        <w:spacing w:before="121" w:after="0" w:line="364" w:lineRule="auto"/>
        <w:ind w:left="448" w:right="305" w:firstLine="560"/>
        <w:jc w:val="left"/>
        <w:rPr>
          <w:sz w:val="28"/>
        </w:rPr>
      </w:pPr>
      <w:r>
        <w:rPr>
          <w:spacing w:val="-10"/>
          <w:sz w:val="28"/>
        </w:rPr>
        <w:t>监理项目部根据具体情况开展巡视、旁站、定期检查、专项检查</w:t>
      </w:r>
      <w:r>
        <w:rPr>
          <w:spacing w:val="-4"/>
          <w:sz w:val="28"/>
        </w:rPr>
        <w:t>、检查签证等监理活动中应进行绿色施工相关内容的监理工作；</w:t>
      </w:r>
    </w:p>
    <w:p>
      <w:pPr>
        <w:pStyle w:val="ListParagraph"/>
        <w:numPr>
          <w:ilvl w:val="2"/>
          <w:numId w:val="21"/>
        </w:numPr>
        <w:tabs>
          <w:tab w:val="left" w:pos="1429"/>
        </w:tabs>
        <w:spacing w:before="0" w:after="0" w:line="364" w:lineRule="auto"/>
        <w:ind w:left="448" w:right="445" w:firstLine="560"/>
        <w:jc w:val="left"/>
        <w:rPr>
          <w:sz w:val="28"/>
        </w:rPr>
      </w:pPr>
      <w:r>
        <w:rPr>
          <w:spacing w:val="-2"/>
          <w:sz w:val="28"/>
        </w:rPr>
        <w:t>针对检查出的问题监理通知单，要求责任单位整改并填写整改</w:t>
      </w:r>
      <w:r>
        <w:rPr>
          <w:spacing w:val="-2"/>
          <w:sz w:val="28"/>
        </w:rPr>
        <w:t>记录，情况严重的及时报告业主项目部；</w:t>
      </w:r>
    </w:p>
    <w:p>
      <w:pPr>
        <w:pStyle w:val="ListParagraph"/>
        <w:numPr>
          <w:ilvl w:val="2"/>
          <w:numId w:val="21"/>
        </w:numPr>
        <w:tabs>
          <w:tab w:val="left" w:pos="1429"/>
        </w:tabs>
        <w:spacing w:before="0" w:after="0" w:line="358" w:lineRule="exact"/>
        <w:ind w:left="1429" w:right="0" w:hanging="421"/>
        <w:jc w:val="left"/>
        <w:rPr>
          <w:sz w:val="28"/>
        </w:rPr>
      </w:pPr>
      <w:r>
        <w:rPr>
          <w:spacing w:val="-1"/>
          <w:sz w:val="28"/>
        </w:rPr>
        <w:t>对责任单位整改完毕的问题进行核查确认。</w:t>
      </w:r>
    </w:p>
    <w:p>
      <w:pPr>
        <w:pStyle w:val="Heading2"/>
        <w:numPr>
          <w:ilvl w:val="1"/>
          <w:numId w:val="20"/>
        </w:numPr>
        <w:tabs>
          <w:tab w:val="left" w:pos="942"/>
        </w:tabs>
        <w:spacing w:before="92" w:after="0" w:line="240" w:lineRule="auto"/>
        <w:ind w:left="941" w:right="0" w:hanging="494"/>
        <w:jc w:val="left"/>
      </w:pPr>
      <w:bookmarkStart w:id="11" w:name="_TOC_250003"/>
      <w:bookmarkEnd w:id="11"/>
      <w:r>
        <w:rPr>
          <w:spacing w:val="-1"/>
        </w:rPr>
        <w:t>安全文明施工工作要点</w:t>
      </w:r>
    </w:p>
    <w:p>
      <w:pPr>
        <w:pStyle w:val="ListParagraph"/>
        <w:numPr>
          <w:ilvl w:val="2"/>
          <w:numId w:val="20"/>
        </w:numPr>
        <w:tabs>
          <w:tab w:val="left" w:pos="1429"/>
        </w:tabs>
        <w:spacing w:before="122" w:after="0" w:line="240" w:lineRule="auto"/>
        <w:ind w:left="1429" w:right="0" w:hanging="421"/>
        <w:jc w:val="left"/>
        <w:rPr>
          <w:sz w:val="26"/>
        </w:rPr>
      </w:pPr>
      <w:r>
        <w:rPr>
          <w:spacing w:val="-1"/>
          <w:sz w:val="28"/>
        </w:rPr>
        <w:t>审核施工单位分阶段报审的安全标准化设施计划；</w:t>
      </w:r>
    </w:p>
    <w:p>
      <w:pPr>
        <w:pStyle w:val="ListParagraph"/>
        <w:numPr>
          <w:ilvl w:val="2"/>
          <w:numId w:val="20"/>
        </w:numPr>
        <w:tabs>
          <w:tab w:val="left" w:pos="1429"/>
        </w:tabs>
        <w:spacing w:before="186" w:after="0" w:line="240" w:lineRule="auto"/>
        <w:ind w:left="1429" w:right="0" w:hanging="421"/>
        <w:jc w:val="left"/>
        <w:rPr>
          <w:sz w:val="26"/>
        </w:rPr>
      </w:pPr>
      <w:r>
        <w:rPr>
          <w:spacing w:val="-1"/>
          <w:sz w:val="28"/>
        </w:rPr>
        <w:t>审查验收分阶段进场的安全标准化设施是否满足绿色施工要求；</w:t>
      </w:r>
    </w:p>
    <w:p>
      <w:pPr>
        <w:spacing w:after="0" w:line="240" w:lineRule="auto"/>
        <w:jc w:val="left"/>
        <w:rPr>
          <w:sz w:val="26"/>
        </w:rPr>
        <w:sectPr>
          <w:headerReference w:type="default" r:id="rId12"/>
          <w:footerReference w:type="default" r:id="rId13"/>
          <w:pgSz w:w="11910" w:h="16840"/>
          <w:pgMar w:top="1120" w:right="1140" w:bottom="1380" w:left="1140" w:header="934" w:footer="1198"/>
          <w:pgNumType w:start="5"/>
          <w:cols w:space="708"/>
        </w:sectPr>
      </w:pP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2"/>
          <w:numId w:val="20"/>
        </w:numPr>
        <w:tabs>
          <w:tab w:val="left" w:pos="1429"/>
        </w:tabs>
        <w:spacing w:before="61" w:after="0" w:line="240" w:lineRule="auto"/>
        <w:ind w:left="1429" w:right="0" w:hanging="421"/>
        <w:jc w:val="left"/>
        <w:rPr>
          <w:sz w:val="26"/>
        </w:rPr>
      </w:pPr>
      <w:r>
        <w:rPr>
          <w:spacing w:val="-1"/>
          <w:sz w:val="28"/>
        </w:rPr>
        <w:t>监督施工单位按照标准化布置和配置布置施工现场；</w:t>
      </w:r>
    </w:p>
    <w:p>
      <w:pPr>
        <w:pStyle w:val="ListParagraph"/>
        <w:numPr>
          <w:ilvl w:val="2"/>
          <w:numId w:val="20"/>
        </w:numPr>
        <w:tabs>
          <w:tab w:val="left" w:pos="1429"/>
        </w:tabs>
        <w:spacing w:before="186" w:after="0" w:line="240" w:lineRule="auto"/>
        <w:ind w:left="1429" w:right="0" w:hanging="421"/>
        <w:jc w:val="left"/>
        <w:rPr>
          <w:sz w:val="26"/>
        </w:rPr>
      </w:pPr>
      <w:r>
        <w:rPr>
          <w:spacing w:val="-1"/>
          <w:sz w:val="28"/>
        </w:rPr>
        <w:t>每月进行的安全文明施工检查必须包含绿色施工内容；</w:t>
      </w:r>
    </w:p>
    <w:p>
      <w:pPr>
        <w:pStyle w:val="ListParagraph"/>
        <w:numPr>
          <w:ilvl w:val="2"/>
          <w:numId w:val="20"/>
        </w:numPr>
        <w:tabs>
          <w:tab w:val="left" w:pos="1429"/>
        </w:tabs>
        <w:spacing w:before="186" w:after="0" w:line="364" w:lineRule="auto"/>
        <w:ind w:left="448" w:right="445" w:firstLine="560"/>
        <w:jc w:val="left"/>
        <w:rPr>
          <w:sz w:val="26"/>
        </w:rPr>
      </w:pPr>
      <w:r>
        <w:rPr>
          <w:spacing w:val="-2"/>
          <w:sz w:val="28"/>
        </w:rPr>
        <w:t>对重要设施、重大工序转序是否满足绿色施工要求进行检查、</w:t>
      </w:r>
      <w:r>
        <w:rPr>
          <w:spacing w:val="-4"/>
          <w:sz w:val="28"/>
        </w:rPr>
        <w:t>签证；</w:t>
      </w:r>
    </w:p>
    <w:p>
      <w:pPr>
        <w:pStyle w:val="ListParagraph"/>
        <w:numPr>
          <w:ilvl w:val="2"/>
          <w:numId w:val="20"/>
        </w:numPr>
        <w:tabs>
          <w:tab w:val="left" w:pos="1429"/>
        </w:tabs>
        <w:spacing w:before="0" w:after="0" w:line="358" w:lineRule="exact"/>
        <w:ind w:left="1429" w:right="0" w:hanging="421"/>
        <w:jc w:val="left"/>
        <w:rPr>
          <w:rFonts w:ascii="Times New Roman" w:eastAsia="Times New Roman"/>
          <w:sz w:val="26"/>
        </w:rPr>
      </w:pPr>
      <w:r>
        <w:rPr>
          <w:spacing w:val="-1"/>
          <w:sz w:val="28"/>
        </w:rPr>
        <w:t>参与业主项目部组织的绿色施工管理评价工作。</w:t>
      </w:r>
    </w:p>
    <w:p>
      <w:pPr>
        <w:pStyle w:val="Heading1"/>
        <w:numPr>
          <w:ilvl w:val="0"/>
          <w:numId w:val="19"/>
        </w:numPr>
        <w:tabs>
          <w:tab w:val="left" w:pos="751"/>
        </w:tabs>
        <w:spacing w:before="205" w:after="0" w:line="240" w:lineRule="auto"/>
        <w:ind w:left="750" w:right="0" w:hanging="303"/>
        <w:jc w:val="left"/>
      </w:pPr>
      <w:bookmarkStart w:id="12" w:name="_TOC_250002"/>
      <w:bookmarkEnd w:id="12"/>
      <w:r>
        <w:rPr>
          <w:spacing w:val="-1"/>
        </w:rPr>
        <w:t>分阶段开展建筑工程绿色施工评价</w:t>
      </w:r>
    </w:p>
    <w:p>
      <w:pPr>
        <w:pStyle w:val="Heading3"/>
        <w:numPr>
          <w:ilvl w:val="1"/>
          <w:numId w:val="19"/>
        </w:numPr>
        <w:tabs>
          <w:tab w:val="left" w:pos="938"/>
        </w:tabs>
        <w:spacing w:before="184" w:after="0" w:line="240" w:lineRule="auto"/>
        <w:ind w:left="938" w:right="0" w:hanging="490"/>
        <w:jc w:val="left"/>
      </w:pPr>
      <w:bookmarkStart w:id="13" w:name="_TOC_250001"/>
      <w:bookmarkEnd w:id="13"/>
      <w:r>
        <w:rPr>
          <w:spacing w:val="-1"/>
        </w:rPr>
        <w:t>绿色施工基本规定及实施策划</w:t>
      </w:r>
    </w:p>
    <w:p>
      <w:pPr>
        <w:pStyle w:val="BodyText"/>
        <w:spacing w:before="2"/>
        <w:rPr>
          <w:sz w:val="10"/>
        </w:rPr>
      </w:pPr>
    </w:p>
    <w:tbl>
      <w:tblPr>
        <w:tblStyle w:val="TableNormal1"/>
        <w:tblW w:w="0" w:type="auto"/>
        <w:jc w:val="left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9"/>
        <w:gridCol w:w="3604"/>
        <w:gridCol w:w="4443"/>
      </w:tblGrid>
      <w:tr>
        <w:tblPrEx>
          <w:tblW w:w="0" w:type="auto"/>
          <w:jc w:val="left"/>
          <w:tblInd w:w="34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899" w:type="dxa"/>
          </w:tcPr>
          <w:p>
            <w:pPr>
              <w:pStyle w:val="TableParagraph"/>
              <w:spacing w:before="150"/>
              <w:ind w:left="224" w:right="214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序号</w:t>
            </w:r>
          </w:p>
        </w:tc>
        <w:tc>
          <w:tcPr>
            <w:tcW w:w="3604" w:type="dxa"/>
          </w:tcPr>
          <w:p>
            <w:pPr>
              <w:pStyle w:val="TableParagraph"/>
              <w:spacing w:before="150"/>
              <w:ind w:left="1368" w:right="1358"/>
              <w:jc w:val="center"/>
              <w:rPr>
                <w:sz w:val="21"/>
              </w:rPr>
            </w:pPr>
            <w:r>
              <w:rPr>
                <w:spacing w:val="-3"/>
                <w:sz w:val="21"/>
              </w:rPr>
              <w:t>基本规定</w:t>
            </w:r>
          </w:p>
        </w:tc>
        <w:tc>
          <w:tcPr>
            <w:tcW w:w="4443" w:type="dxa"/>
          </w:tcPr>
          <w:p>
            <w:pPr>
              <w:pStyle w:val="TableParagraph"/>
              <w:spacing w:before="150"/>
              <w:ind w:left="1996" w:right="1987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实施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899" w:type="dxa"/>
          </w:tcPr>
          <w:p>
            <w:pPr>
              <w:pStyle w:val="TableParagraph"/>
              <w:spacing w:before="179"/>
              <w:ind w:left="10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3604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建立绿色施工管理体系和管理制度，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实施目标管理</w:t>
            </w:r>
          </w:p>
        </w:tc>
        <w:tc>
          <w:tcPr>
            <w:tcW w:w="4443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施工单位建立绿色施工管理体系、管理制度、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绿色施工管理目标，并上墙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899" w:type="dxa"/>
          </w:tcPr>
          <w:p>
            <w:pPr>
              <w:pStyle w:val="TableParagraph"/>
              <w:spacing w:before="179"/>
              <w:ind w:left="10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3604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根据绿色施工要求进行图纸会审和深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化设计。</w:t>
            </w:r>
          </w:p>
        </w:tc>
        <w:tc>
          <w:tcPr>
            <w:tcW w:w="4443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在图纸会审中加入绿色施工内容，在设计内容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中加入绿色施工内容。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899" w:type="dxa"/>
          </w:tcPr>
          <w:p>
            <w:pPr>
              <w:pStyle w:val="TableParagraph"/>
              <w:spacing w:before="1"/>
              <w:rPr>
                <w:sz w:val="26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21"/>
              </w:rPr>
            </w:pPr>
            <w:r>
              <w:rPr>
                <w:sz w:val="21"/>
              </w:rPr>
              <w:t>3</w:t>
            </w:r>
          </w:p>
        </w:tc>
        <w:tc>
          <w:tcPr>
            <w:tcW w:w="3604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施工组织设计及施工方案应有专门的</w:t>
            </w:r>
            <w:r>
              <w:rPr>
                <w:spacing w:val="-1"/>
                <w:sz w:val="21"/>
              </w:rPr>
              <w:t>绿色施工章节，绿色施工目标明确，</w:t>
            </w:r>
          </w:p>
          <w:p>
            <w:pPr>
              <w:pStyle w:val="TableParagraph"/>
              <w:spacing w:line="269" w:lineRule="exact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内容应涵盖“四节一环保”要求。</w:t>
            </w:r>
          </w:p>
        </w:tc>
        <w:tc>
          <w:tcPr>
            <w:tcW w:w="4443" w:type="dxa"/>
          </w:tcPr>
          <w:p>
            <w:pPr>
              <w:pStyle w:val="TableParagraph"/>
              <w:spacing w:before="179" w:line="278" w:lineRule="auto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在项目管理规划中加入绿色施工章节及绿色施</w:t>
            </w:r>
            <w:r>
              <w:rPr>
                <w:spacing w:val="-4"/>
                <w:sz w:val="21"/>
              </w:rPr>
              <w:t>工目标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899" w:type="dxa"/>
          </w:tcPr>
          <w:p>
            <w:pPr>
              <w:pStyle w:val="TableParagraph"/>
              <w:spacing w:before="150"/>
              <w:ind w:left="10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3604" w:type="dxa"/>
          </w:tcPr>
          <w:p>
            <w:pPr>
              <w:pStyle w:val="TableParagraph"/>
              <w:spacing w:before="150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工程技术交底应包含绿色施工内容</w:t>
            </w:r>
          </w:p>
        </w:tc>
        <w:tc>
          <w:tcPr>
            <w:tcW w:w="4443" w:type="dxa"/>
          </w:tcPr>
          <w:p>
            <w:pPr>
              <w:pStyle w:val="TableParagraph"/>
              <w:spacing w:before="150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在技术交底中加入绿色施工内容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899" w:type="dxa"/>
          </w:tcPr>
          <w:p>
            <w:pPr>
              <w:pStyle w:val="TableParagraph"/>
              <w:spacing w:before="1"/>
              <w:rPr>
                <w:sz w:val="26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21"/>
              </w:rPr>
            </w:pPr>
            <w:r>
              <w:rPr>
                <w:sz w:val="21"/>
              </w:rPr>
              <w:t>5</w:t>
            </w:r>
          </w:p>
        </w:tc>
        <w:tc>
          <w:tcPr>
            <w:tcW w:w="3604" w:type="dxa"/>
          </w:tcPr>
          <w:p>
            <w:pPr>
              <w:pStyle w:val="TableParagraph"/>
              <w:spacing w:before="179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采用符合绿色施工要求的新材料、新</w:t>
            </w:r>
            <w:r>
              <w:rPr>
                <w:spacing w:val="-2"/>
                <w:sz w:val="21"/>
              </w:rPr>
              <w:t>技术、新工艺、新机具进行施工。</w:t>
            </w:r>
          </w:p>
        </w:tc>
        <w:tc>
          <w:tcPr>
            <w:tcW w:w="4443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本工程的构架采用钢管混凝土体现了标准中的</w:t>
            </w:r>
          </w:p>
          <w:p>
            <w:pPr>
              <w:pStyle w:val="TableParagraph"/>
              <w:spacing w:before="2" w:line="310" w:lineRule="atLeast"/>
              <w:ind w:left="107" w:right="96"/>
              <w:rPr>
                <w:sz w:val="21"/>
              </w:rPr>
            </w:pPr>
            <w:r>
              <w:rPr>
                <w:spacing w:val="-2"/>
                <w:sz w:val="21"/>
              </w:rPr>
              <w:t>“节材”要求，采用电动工具牵引工艺展放电</w:t>
            </w:r>
            <w:r>
              <w:rPr>
                <w:spacing w:val="-2"/>
                <w:sz w:val="21"/>
              </w:rPr>
              <w:t>缆体现了标准中的“节能”要求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899" w:type="dxa"/>
          </w:tcPr>
          <w:p>
            <w:pPr>
              <w:pStyle w:val="TableParagraph"/>
              <w:spacing w:before="179"/>
              <w:ind w:left="10"/>
              <w:jc w:val="center"/>
              <w:rPr>
                <w:sz w:val="21"/>
              </w:rPr>
            </w:pPr>
            <w:r>
              <w:rPr>
                <w:sz w:val="21"/>
              </w:rPr>
              <w:t>6</w:t>
            </w:r>
          </w:p>
        </w:tc>
        <w:tc>
          <w:tcPr>
            <w:tcW w:w="3604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监理绿色施工培训制度，并有实施记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z w:val="21"/>
              </w:rPr>
              <w:t>录</w:t>
            </w:r>
          </w:p>
        </w:tc>
        <w:tc>
          <w:tcPr>
            <w:tcW w:w="4443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建立绿色施工培训制度，并通过专项活动的形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式进行记录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6"/>
          <w:jc w:val="left"/>
        </w:trPr>
        <w:tc>
          <w:tcPr>
            <w:tcW w:w="899" w:type="dxa"/>
          </w:tcPr>
          <w:p>
            <w:pPr>
              <w:pStyle w:val="TableParagraph"/>
              <w:spacing w:before="150"/>
              <w:ind w:left="10"/>
              <w:jc w:val="center"/>
              <w:rPr>
                <w:sz w:val="21"/>
              </w:rPr>
            </w:pPr>
            <w:r>
              <w:rPr>
                <w:sz w:val="21"/>
              </w:rPr>
              <w:t>7</w:t>
            </w:r>
          </w:p>
        </w:tc>
        <w:tc>
          <w:tcPr>
            <w:tcW w:w="3604" w:type="dxa"/>
          </w:tcPr>
          <w:p>
            <w:pPr>
              <w:pStyle w:val="TableParagraph"/>
              <w:spacing w:before="150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根据检查情况，制定持续改进措施</w:t>
            </w:r>
          </w:p>
        </w:tc>
        <w:tc>
          <w:tcPr>
            <w:tcW w:w="4443" w:type="dxa"/>
          </w:tcPr>
          <w:p>
            <w:pPr>
              <w:pStyle w:val="TableParagraph"/>
              <w:spacing w:before="150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通过定期评价及阶段性评价提出问题，并闭环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899" w:type="dxa"/>
          </w:tcPr>
          <w:p>
            <w:pPr>
              <w:pStyle w:val="TableParagraph"/>
              <w:spacing w:before="179"/>
              <w:ind w:left="10"/>
              <w:jc w:val="center"/>
              <w:rPr>
                <w:sz w:val="21"/>
              </w:rPr>
            </w:pPr>
            <w:r>
              <w:rPr>
                <w:sz w:val="21"/>
              </w:rPr>
              <w:t>8</w:t>
            </w:r>
          </w:p>
        </w:tc>
        <w:tc>
          <w:tcPr>
            <w:tcW w:w="3604" w:type="dxa"/>
          </w:tcPr>
          <w:p>
            <w:pPr>
              <w:pStyle w:val="TableParagraph"/>
              <w:spacing w:before="23"/>
              <w:ind w:left="108" w:right="-15"/>
              <w:rPr>
                <w:sz w:val="21"/>
              </w:rPr>
            </w:pPr>
            <w:r>
              <w:rPr>
                <w:spacing w:val="-8"/>
                <w:sz w:val="21"/>
              </w:rPr>
              <w:t>采集和保存过程管理资料、见证资料、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自检和评价记录等绿色施工资料</w:t>
            </w:r>
          </w:p>
        </w:tc>
        <w:tc>
          <w:tcPr>
            <w:tcW w:w="4443" w:type="dxa"/>
          </w:tcPr>
          <w:p>
            <w:pPr>
              <w:pStyle w:val="TableParagraph"/>
              <w:spacing w:before="179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对这些资料作为过程资料，单独成卷。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899" w:type="dxa"/>
          </w:tcPr>
          <w:p>
            <w:pPr>
              <w:pStyle w:val="TableParagraph"/>
              <w:spacing w:before="179"/>
              <w:ind w:left="10"/>
              <w:jc w:val="center"/>
              <w:rPr>
                <w:sz w:val="21"/>
              </w:rPr>
            </w:pPr>
            <w:r>
              <w:rPr>
                <w:sz w:val="21"/>
              </w:rPr>
              <w:t>9</w:t>
            </w:r>
          </w:p>
        </w:tc>
        <w:tc>
          <w:tcPr>
            <w:tcW w:w="3604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在评价过程中，应采集反映绿色水平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的典型图片或影像资料</w:t>
            </w:r>
          </w:p>
        </w:tc>
        <w:tc>
          <w:tcPr>
            <w:tcW w:w="4443" w:type="dxa"/>
          </w:tcPr>
          <w:p>
            <w:pPr>
              <w:pStyle w:val="TableParagraph"/>
              <w:spacing w:before="179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在评价过程中留取亮点图片</w:t>
            </w:r>
          </w:p>
        </w:tc>
      </w:tr>
    </w:tbl>
    <w:p>
      <w:pPr>
        <w:pStyle w:val="BodyText"/>
        <w:rPr>
          <w:sz w:val="28"/>
        </w:rPr>
      </w:pPr>
    </w:p>
    <w:p>
      <w:pPr>
        <w:pStyle w:val="BodyText"/>
        <w:spacing w:before="5"/>
        <w:rPr>
          <w:sz w:val="31"/>
        </w:rPr>
      </w:pPr>
    </w:p>
    <w:p>
      <w:pPr>
        <w:pStyle w:val="Heading3"/>
        <w:numPr>
          <w:ilvl w:val="1"/>
          <w:numId w:val="19"/>
        </w:numPr>
        <w:tabs>
          <w:tab w:val="left" w:pos="938"/>
        </w:tabs>
        <w:spacing w:before="1" w:after="0" w:line="240" w:lineRule="auto"/>
        <w:ind w:left="938" w:right="0" w:hanging="490"/>
        <w:jc w:val="left"/>
      </w:pPr>
      <w:bookmarkStart w:id="14" w:name="_TOC_250000"/>
      <w:bookmarkEnd w:id="14"/>
      <w:r>
        <w:rPr>
          <w:spacing w:val="-1"/>
        </w:rPr>
        <w:t>评价阶段划分、评价方法及责任单位</w:t>
      </w:r>
    </w:p>
    <w:p>
      <w:pPr>
        <w:pStyle w:val="BodyText"/>
        <w:spacing w:before="8"/>
        <w:rPr>
          <w:sz w:val="20"/>
        </w:rPr>
      </w:pPr>
    </w:p>
    <w:p>
      <w:pPr>
        <w:pStyle w:val="Heading3"/>
        <w:numPr>
          <w:ilvl w:val="2"/>
          <w:numId w:val="19"/>
        </w:numPr>
        <w:tabs>
          <w:tab w:val="left" w:pos="1218"/>
        </w:tabs>
        <w:spacing w:before="1" w:after="0" w:line="240" w:lineRule="auto"/>
        <w:ind w:left="1218" w:right="0" w:hanging="770"/>
        <w:jc w:val="left"/>
      </w:pPr>
      <w:r>
        <w:t>施工单位自评价（批次</w:t>
      </w:r>
      <w:r>
        <w:rPr>
          <w:spacing w:val="-10"/>
        </w:rPr>
        <w:t>）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3"/>
          <w:numId w:val="19"/>
        </w:numPr>
        <w:tabs>
          <w:tab w:val="left" w:pos="1429"/>
        </w:tabs>
        <w:spacing w:before="1" w:after="0" w:line="240" w:lineRule="auto"/>
        <w:ind w:left="1429" w:right="0" w:hanging="421"/>
        <w:jc w:val="left"/>
        <w:rPr>
          <w:sz w:val="28"/>
        </w:rPr>
      </w:pPr>
      <w:r>
        <w:rPr>
          <w:spacing w:val="-1"/>
          <w:sz w:val="28"/>
        </w:rPr>
        <w:t>评价频次：每月以单位工程为单位评价一次；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3"/>
          <w:numId w:val="19"/>
        </w:numPr>
        <w:tabs>
          <w:tab w:val="left" w:pos="1429"/>
          <w:tab w:val="left" w:pos="7708"/>
        </w:tabs>
        <w:spacing w:before="1" w:after="0" w:line="240" w:lineRule="auto"/>
        <w:ind w:left="1429" w:right="0" w:hanging="421"/>
        <w:jc w:val="left"/>
        <w:rPr>
          <w:sz w:val="28"/>
        </w:rPr>
      </w:pPr>
      <w:r>
        <w:rPr>
          <w:spacing w:val="-2"/>
          <w:sz w:val="28"/>
        </w:rPr>
        <w:t>评</w:t>
      </w:r>
      <w:r>
        <w:rPr>
          <w:spacing w:val="-2"/>
          <w:sz w:val="28"/>
        </w:rPr>
        <w:t>分</w:t>
      </w:r>
      <w:r>
        <w:rPr>
          <w:spacing w:val="-2"/>
          <w:sz w:val="28"/>
        </w:rPr>
        <w:t>规</w:t>
      </w:r>
      <w:r>
        <w:rPr>
          <w:spacing w:val="-70"/>
          <w:sz w:val="28"/>
        </w:rPr>
        <w:t>则：</w:t>
      </w:r>
      <w:r>
        <w:rPr>
          <w:spacing w:val="-2"/>
          <w:sz w:val="28"/>
        </w:rPr>
        <w:t>见</w:t>
      </w:r>
      <w:r>
        <w:rPr>
          <w:spacing w:val="-2"/>
          <w:sz w:val="28"/>
        </w:rPr>
        <w:t>《</w:t>
      </w:r>
      <w:r>
        <w:rPr>
          <w:spacing w:val="-2"/>
          <w:sz w:val="28"/>
        </w:rPr>
        <w:t>建</w:t>
      </w:r>
      <w:r>
        <w:rPr>
          <w:spacing w:val="-2"/>
          <w:sz w:val="28"/>
        </w:rPr>
        <w:t>筑</w:t>
      </w:r>
      <w:r>
        <w:rPr>
          <w:spacing w:val="-2"/>
          <w:sz w:val="28"/>
        </w:rPr>
        <w:t>工</w:t>
      </w:r>
      <w:r>
        <w:rPr>
          <w:spacing w:val="-2"/>
          <w:sz w:val="28"/>
        </w:rPr>
        <w:t>程</w:t>
      </w:r>
      <w:r>
        <w:rPr>
          <w:spacing w:val="-2"/>
          <w:sz w:val="28"/>
        </w:rPr>
        <w:t>绿</w:t>
      </w:r>
      <w:r>
        <w:rPr>
          <w:spacing w:val="-2"/>
          <w:sz w:val="28"/>
        </w:rPr>
        <w:t>色</w:t>
      </w:r>
      <w:r>
        <w:rPr>
          <w:spacing w:val="-2"/>
          <w:sz w:val="28"/>
        </w:rPr>
        <w:t>施</w:t>
      </w:r>
      <w:r>
        <w:rPr>
          <w:spacing w:val="-2"/>
          <w:sz w:val="28"/>
        </w:rPr>
        <w:t>工</w:t>
      </w:r>
      <w:r>
        <w:rPr>
          <w:spacing w:val="-2"/>
          <w:sz w:val="28"/>
        </w:rPr>
        <w:t>评</w:t>
      </w:r>
      <w:r>
        <w:rPr>
          <w:spacing w:val="-2"/>
          <w:sz w:val="28"/>
        </w:rPr>
        <w:t>价</w:t>
      </w:r>
      <w:r>
        <w:rPr>
          <w:spacing w:val="-2"/>
          <w:sz w:val="28"/>
        </w:rPr>
        <w:t>标</w:t>
      </w:r>
      <w:r>
        <w:rPr>
          <w:spacing w:val="-2"/>
          <w:sz w:val="28"/>
        </w:rPr>
        <w:t>准</w:t>
      </w:r>
      <w:r>
        <w:rPr>
          <w:spacing w:val="-2"/>
          <w:sz w:val="28"/>
        </w:rPr>
        <w:t>》</w:t>
      </w:r>
      <w:r>
        <w:rPr>
          <w:spacing w:val="-5"/>
          <w:sz w:val="28"/>
        </w:rPr>
        <w:t>“10</w:t>
      </w:r>
      <w:r>
        <w:rPr>
          <w:sz w:val="28"/>
        </w:rPr>
        <w:tab/>
        <w:t>评价方法</w:t>
      </w:r>
      <w:r>
        <w:rPr>
          <w:spacing w:val="-5"/>
          <w:sz w:val="28"/>
        </w:rPr>
        <w:t>”；</w:t>
      </w:r>
    </w:p>
    <w:p>
      <w:pPr>
        <w:spacing w:after="0" w:line="240" w:lineRule="auto"/>
        <w:jc w:val="left"/>
        <w:rPr>
          <w:sz w:val="28"/>
        </w:rPr>
        <w:sectPr>
          <w:headerReference w:type="default" r:id="rId14"/>
          <w:footerReference w:type="default" r:id="rId15"/>
          <w:pgSz w:w="11910" w:h="16840"/>
          <w:pgMar w:top="1120" w:right="1140" w:bottom="1380" w:left="1140" w:header="934" w:footer="1198"/>
          <w:pgNumType w:start="6"/>
          <w:cols w:space="708"/>
        </w:sectPr>
      </w:pPr>
    </w:p>
    <w:p>
      <w:pPr>
        <w:pStyle w:val="BodyText"/>
        <w:spacing w:before="8"/>
        <w:rPr>
          <w:sz w:val="29"/>
        </w:rPr>
      </w:pPr>
    </w:p>
    <w:p>
      <w:pPr>
        <w:pStyle w:val="ListParagraph"/>
        <w:numPr>
          <w:ilvl w:val="3"/>
          <w:numId w:val="19"/>
        </w:numPr>
        <w:tabs>
          <w:tab w:val="left" w:pos="1429"/>
        </w:tabs>
        <w:spacing w:before="61" w:after="0" w:line="240" w:lineRule="auto"/>
        <w:ind w:left="1429" w:right="0" w:hanging="421"/>
        <w:jc w:val="left"/>
        <w:rPr>
          <w:sz w:val="28"/>
        </w:rPr>
      </w:pPr>
      <w:r>
        <w:rPr>
          <w:spacing w:val="-1"/>
          <w:sz w:val="28"/>
        </w:rPr>
        <w:t>评价要素及实施方法，详见以下表格：</w:t>
      </w:r>
    </w:p>
    <w:p>
      <w:pPr>
        <w:spacing w:after="0" w:line="240" w:lineRule="auto"/>
        <w:jc w:val="left"/>
        <w:rPr>
          <w:sz w:val="28"/>
        </w:rPr>
        <w:sectPr>
          <w:headerReference w:type="default" r:id="rId16"/>
          <w:footerReference w:type="default" r:id="rId17"/>
          <w:pgSz w:w="11910" w:h="16840"/>
          <w:pgMar w:top="1120" w:right="1140" w:bottom="1380" w:left="1140" w:header="934" w:footer="1198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0"/>
        </w:rPr>
      </w:pPr>
    </w:p>
    <w:tbl>
      <w:tblPr>
        <w:tblStyle w:val="TableNormal2"/>
        <w:tblW w:w="0" w:type="auto"/>
        <w:jc w:val="left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6"/>
        <w:gridCol w:w="1825"/>
        <w:gridCol w:w="4047"/>
        <w:gridCol w:w="1213"/>
        <w:gridCol w:w="758"/>
        <w:gridCol w:w="817"/>
      </w:tblGrid>
      <w:tr>
        <w:tblPrEx>
          <w:tblW w:w="0" w:type="auto"/>
          <w:jc w:val="left"/>
          <w:tblInd w:w="34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281" w:type="dxa"/>
            <w:gridSpan w:val="2"/>
            <w:vMerge w:val="restart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720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工程名称</w:t>
            </w:r>
          </w:p>
        </w:tc>
        <w:tc>
          <w:tcPr>
            <w:tcW w:w="4047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3" w:type="dxa"/>
          </w:tcPr>
          <w:p>
            <w:pPr>
              <w:pStyle w:val="TableParagraph"/>
              <w:spacing w:before="23"/>
              <w:ind w:left="172" w:right="163"/>
              <w:jc w:val="center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编号</w:t>
            </w:r>
          </w:p>
        </w:tc>
        <w:tc>
          <w:tcPr>
            <w:tcW w:w="157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28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4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13" w:type="dxa"/>
          </w:tcPr>
          <w:p>
            <w:pPr>
              <w:pStyle w:val="TableParagraph"/>
              <w:spacing w:before="23"/>
              <w:ind w:left="172" w:right="163"/>
              <w:jc w:val="center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日期</w:t>
            </w:r>
          </w:p>
        </w:tc>
        <w:tc>
          <w:tcPr>
            <w:tcW w:w="157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281" w:type="dxa"/>
            <w:gridSpan w:val="2"/>
          </w:tcPr>
          <w:p>
            <w:pPr>
              <w:pStyle w:val="TableParagraph"/>
              <w:spacing w:before="23"/>
              <w:ind w:left="720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施工单位</w:t>
            </w:r>
          </w:p>
        </w:tc>
        <w:tc>
          <w:tcPr>
            <w:tcW w:w="404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3" w:type="dxa"/>
          </w:tcPr>
          <w:p>
            <w:pPr>
              <w:pStyle w:val="TableParagraph"/>
              <w:spacing w:before="23"/>
              <w:ind w:left="172" w:right="163"/>
              <w:jc w:val="center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施工阶段</w:t>
            </w:r>
          </w:p>
        </w:tc>
        <w:tc>
          <w:tcPr>
            <w:tcW w:w="157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281" w:type="dxa"/>
            <w:gridSpan w:val="2"/>
          </w:tcPr>
          <w:p>
            <w:pPr>
              <w:pStyle w:val="TableParagraph"/>
              <w:spacing w:before="23"/>
              <w:ind w:left="720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评价指标</w:t>
            </w:r>
          </w:p>
        </w:tc>
        <w:tc>
          <w:tcPr>
            <w:tcW w:w="4047" w:type="dxa"/>
          </w:tcPr>
          <w:p>
            <w:pPr>
              <w:pStyle w:val="TableParagraph"/>
              <w:spacing w:before="23"/>
              <w:ind w:left="1183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环境保护评价指标</w:t>
            </w:r>
          </w:p>
        </w:tc>
        <w:tc>
          <w:tcPr>
            <w:tcW w:w="1213" w:type="dxa"/>
          </w:tcPr>
          <w:p>
            <w:pPr>
              <w:pStyle w:val="TableParagraph"/>
              <w:spacing w:before="23"/>
              <w:ind w:left="172" w:right="163"/>
              <w:jc w:val="center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施工日期</w:t>
            </w:r>
          </w:p>
        </w:tc>
        <w:tc>
          <w:tcPr>
            <w:tcW w:w="157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456" w:type="dxa"/>
            <w:vMerge w:val="restart"/>
          </w:tcPr>
          <w:p>
            <w:pPr>
              <w:pStyle w:val="TableParagraph"/>
              <w:spacing w:before="9"/>
              <w:rPr>
                <w:sz w:val="27"/>
              </w:rPr>
            </w:pPr>
          </w:p>
          <w:p>
            <w:pPr>
              <w:pStyle w:val="TableParagraph"/>
              <w:spacing w:line="278" w:lineRule="auto"/>
              <w:ind w:left="123" w:right="112"/>
              <w:jc w:val="both"/>
              <w:rPr>
                <w:i/>
                <w:sz w:val="21"/>
              </w:rPr>
            </w:pPr>
            <w:r>
              <w:rPr>
                <w:i/>
                <w:spacing w:val="-10"/>
                <w:sz w:val="21"/>
              </w:rPr>
              <w:t>控</w:t>
            </w:r>
            <w:r>
              <w:rPr>
                <w:i/>
                <w:spacing w:val="-10"/>
                <w:sz w:val="21"/>
              </w:rPr>
              <w:t>制</w:t>
            </w:r>
            <w:r>
              <w:rPr>
                <w:i/>
                <w:spacing w:val="-10"/>
                <w:sz w:val="21"/>
              </w:rPr>
              <w:t>项</w:t>
            </w:r>
          </w:p>
        </w:tc>
        <w:tc>
          <w:tcPr>
            <w:tcW w:w="7085" w:type="dxa"/>
            <w:gridSpan w:val="3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标准编号及标准要求</w:t>
            </w:r>
          </w:p>
        </w:tc>
        <w:tc>
          <w:tcPr>
            <w:tcW w:w="1575" w:type="dxa"/>
            <w:gridSpan w:val="2"/>
          </w:tcPr>
          <w:p>
            <w:pPr>
              <w:pStyle w:val="TableParagraph"/>
              <w:spacing w:before="23"/>
              <w:ind w:left="367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评价结论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5" w:type="dxa"/>
            <w:gridSpan w:val="3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sz w:val="21"/>
              </w:rPr>
              <w:t>5.1.1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现场施工标牌应包括环境保护内容</w:t>
            </w:r>
          </w:p>
        </w:tc>
        <w:tc>
          <w:tcPr>
            <w:tcW w:w="157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5" w:type="dxa"/>
            <w:gridSpan w:val="3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sz w:val="21"/>
              </w:rPr>
              <w:t>5.1.2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施工现场应在醒目位置设置环境保护标识</w:t>
            </w:r>
          </w:p>
        </w:tc>
        <w:tc>
          <w:tcPr>
            <w:tcW w:w="157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5" w:type="dxa"/>
            <w:gridSpan w:val="3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sz w:val="21"/>
              </w:rPr>
              <w:t>5.1.3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施工现场的文物古迹和古树名木应采取有效的保护措施</w:t>
            </w:r>
          </w:p>
        </w:tc>
        <w:tc>
          <w:tcPr>
            <w:tcW w:w="157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5" w:type="dxa"/>
            <w:gridSpan w:val="3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sz w:val="21"/>
              </w:rPr>
              <w:t>5.1.4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现场食堂应有卫生许可证，炊事员应持有有效健康证明</w:t>
            </w:r>
          </w:p>
        </w:tc>
        <w:tc>
          <w:tcPr>
            <w:tcW w:w="157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45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spacing w:before="1" w:line="278" w:lineRule="auto"/>
              <w:ind w:left="123" w:right="112"/>
              <w:jc w:val="both"/>
              <w:rPr>
                <w:i/>
                <w:sz w:val="21"/>
              </w:rPr>
            </w:pPr>
            <w:r>
              <w:rPr>
                <w:i/>
                <w:spacing w:val="-10"/>
                <w:sz w:val="21"/>
              </w:rPr>
              <w:t>—</w:t>
            </w:r>
            <w:r>
              <w:rPr>
                <w:i/>
                <w:spacing w:val="-10"/>
                <w:sz w:val="21"/>
              </w:rPr>
              <w:t>般</w:t>
            </w:r>
            <w:r>
              <w:rPr>
                <w:i/>
                <w:spacing w:val="-10"/>
                <w:sz w:val="21"/>
              </w:rPr>
              <w:t>项</w:t>
            </w:r>
          </w:p>
        </w:tc>
        <w:tc>
          <w:tcPr>
            <w:tcW w:w="5872" w:type="dxa"/>
            <w:gridSpan w:val="2"/>
          </w:tcPr>
          <w:p>
            <w:pPr>
              <w:pStyle w:val="TableParagraph"/>
              <w:spacing w:before="179"/>
              <w:ind w:left="107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标准编号及标准要求</w:t>
            </w:r>
          </w:p>
        </w:tc>
        <w:tc>
          <w:tcPr>
            <w:tcW w:w="1213" w:type="dxa"/>
          </w:tcPr>
          <w:p>
            <w:pPr>
              <w:pStyle w:val="TableParagraph"/>
              <w:spacing w:before="179"/>
              <w:ind w:left="172" w:right="163"/>
              <w:jc w:val="center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计分标准</w:t>
            </w:r>
          </w:p>
        </w:tc>
        <w:tc>
          <w:tcPr>
            <w:tcW w:w="758" w:type="dxa"/>
          </w:tcPr>
          <w:p>
            <w:pPr>
              <w:pStyle w:val="TableParagraph"/>
              <w:spacing w:before="23"/>
              <w:ind w:left="168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应得</w:t>
            </w:r>
          </w:p>
          <w:p>
            <w:pPr>
              <w:pStyle w:val="TableParagraph"/>
              <w:spacing w:before="43"/>
              <w:ind w:left="168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分数</w:t>
            </w:r>
          </w:p>
        </w:tc>
        <w:tc>
          <w:tcPr>
            <w:tcW w:w="817" w:type="dxa"/>
          </w:tcPr>
          <w:p>
            <w:pPr>
              <w:pStyle w:val="TableParagraph"/>
              <w:spacing w:before="23"/>
              <w:ind w:left="198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实得</w:t>
            </w:r>
          </w:p>
          <w:p>
            <w:pPr>
              <w:pStyle w:val="TableParagraph"/>
              <w:spacing w:before="43"/>
              <w:ind w:left="198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分数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sz w:val="21"/>
              </w:rPr>
              <w:t>5.2.1</w:t>
            </w:r>
            <w:r>
              <w:rPr>
                <w:spacing w:val="-30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资源保护应符合下列规定：应保护场地四周原有地下水</w:t>
            </w:r>
          </w:p>
          <w:p>
            <w:pPr>
              <w:pStyle w:val="TableParagraph"/>
              <w:spacing w:before="2" w:line="310" w:lineRule="atLeast"/>
              <w:ind w:left="107" w:right="96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形态，减少抽取地下水</w:t>
            </w:r>
            <w:r>
              <w:rPr>
                <w:spacing w:val="-2"/>
                <w:sz w:val="21"/>
              </w:rPr>
              <w:t>;</w:t>
            </w:r>
            <w:r>
              <w:rPr>
                <w:i/>
                <w:spacing w:val="-2"/>
                <w:sz w:val="21"/>
              </w:rPr>
              <w:t>危险品、化学品存放处及污物排放应</w:t>
            </w:r>
            <w:r>
              <w:rPr>
                <w:i/>
                <w:spacing w:val="-2"/>
                <w:sz w:val="21"/>
              </w:rPr>
              <w:t>采取隔离措施。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1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spacing w:before="23" w:line="278" w:lineRule="auto"/>
              <w:ind w:left="107" w:right="-15"/>
              <w:rPr>
                <w:i/>
                <w:sz w:val="21"/>
              </w:rPr>
            </w:pPr>
            <w:r>
              <w:rPr>
                <w:sz w:val="21"/>
              </w:rPr>
              <w:t xml:space="preserve">5.2.2 </w:t>
            </w:r>
            <w:r>
              <w:rPr>
                <w:i/>
                <w:sz w:val="21"/>
              </w:rPr>
              <w:t>人员健康应符合下列规定； 施工作业区和生活办公区</w:t>
            </w:r>
            <w:r>
              <w:rPr>
                <w:i/>
                <w:spacing w:val="-2"/>
                <w:sz w:val="21"/>
              </w:rPr>
              <w:t>应分开布置，生活设施施远离有毒有害物质；生活区应有专人</w:t>
            </w:r>
            <w:r>
              <w:rPr>
                <w:i/>
                <w:spacing w:val="-2"/>
                <w:sz w:val="21"/>
              </w:rPr>
              <w:t>负责。应有消暑或保暖措施；现场工人劳动强度和工作时间应</w:t>
            </w:r>
            <w:r>
              <w:rPr>
                <w:i/>
                <w:sz w:val="21"/>
              </w:rPr>
              <w:t>符合现行国家标准《体力劳动强度分级》</w:t>
            </w:r>
            <w:r>
              <w:rPr>
                <w:sz w:val="21"/>
              </w:rPr>
              <w:t>GB</w:t>
            </w:r>
            <w:r>
              <w:rPr>
                <w:spacing w:val="-27"/>
                <w:sz w:val="21"/>
              </w:rPr>
              <w:t xml:space="preserve"> </w:t>
            </w:r>
            <w:r>
              <w:rPr>
                <w:sz w:val="21"/>
              </w:rPr>
              <w:t>3869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0"/>
                <w:sz w:val="21"/>
              </w:rPr>
              <w:t>的有关规定；</w:t>
            </w:r>
            <w:r>
              <w:rPr>
                <w:i/>
                <w:spacing w:val="-2"/>
                <w:sz w:val="21"/>
              </w:rPr>
              <w:t>从事有毒、有害、有刺激性气味和强光、强噪声施工的人员应</w:t>
            </w:r>
            <w:r>
              <w:rPr>
                <w:i/>
                <w:spacing w:val="-7"/>
                <w:sz w:val="21"/>
              </w:rPr>
              <w:t>佩戴与其相应的防护器具； 深井、密闭环境、防水和室内装修</w:t>
            </w:r>
            <w:r>
              <w:rPr>
                <w:i/>
                <w:spacing w:val="-2"/>
                <w:sz w:val="21"/>
              </w:rPr>
              <w:t>施工应有自然通风或临时通风设施；现场危险设备、地段、有</w:t>
            </w:r>
            <w:r>
              <w:rPr>
                <w:i/>
                <w:spacing w:val="-2"/>
                <w:sz w:val="21"/>
              </w:rPr>
              <w:t>毒物品存放地应配置醒日安全标志，施工应采取有效防毒、防</w:t>
            </w:r>
            <w:r>
              <w:rPr>
                <w:i/>
                <w:spacing w:val="-2"/>
                <w:sz w:val="21"/>
              </w:rPr>
              <w:t>污、防尘、防潮、通风等措施。应加强人员健康管理；厕所、</w:t>
            </w:r>
            <w:r>
              <w:rPr>
                <w:i/>
                <w:spacing w:val="-2"/>
                <w:sz w:val="21"/>
              </w:rPr>
              <w:t>卫生设施、排水沟及阴暗潮湿地带应定期消毒；食堂各类器具</w:t>
            </w:r>
          </w:p>
          <w:p>
            <w:pPr>
              <w:pStyle w:val="TableParagraph"/>
              <w:spacing w:line="268" w:lineRule="exact"/>
              <w:ind w:left="107"/>
              <w:rPr>
                <w:i/>
                <w:sz w:val="21"/>
              </w:rPr>
            </w:pPr>
            <w:r>
              <w:rPr>
                <w:i/>
                <w:spacing w:val="-1"/>
                <w:sz w:val="21"/>
              </w:rPr>
              <w:t>应清洁，个人卫生，操作行为应规范。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8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spacing w:before="23" w:line="278" w:lineRule="auto"/>
              <w:ind w:left="107" w:right="29"/>
              <w:jc w:val="both"/>
              <w:rPr>
                <w:i/>
                <w:sz w:val="21"/>
              </w:rPr>
            </w:pPr>
            <w:r>
              <w:rPr>
                <w:spacing w:val="-2"/>
                <w:sz w:val="21"/>
              </w:rPr>
              <w:t>5.2.3</w:t>
            </w:r>
            <w:r>
              <w:rPr>
                <w:spacing w:val="-25"/>
                <w:sz w:val="21"/>
              </w:rPr>
              <w:t xml:space="preserve"> </w:t>
            </w:r>
            <w:r>
              <w:rPr>
                <w:i/>
                <w:spacing w:val="-3"/>
                <w:sz w:val="21"/>
              </w:rPr>
              <w:t>扬尘控制应符合下列规定： 现场应建立洒水清扫制度，</w:t>
            </w:r>
            <w:r>
              <w:rPr>
                <w:i/>
                <w:spacing w:val="-4"/>
                <w:sz w:val="21"/>
              </w:rPr>
              <w:t>配备洒水设备，并应有专人负责； 对裸露地面、集中堆放的土</w:t>
            </w:r>
            <w:r>
              <w:rPr>
                <w:i/>
                <w:spacing w:val="-2"/>
                <w:sz w:val="21"/>
              </w:rPr>
              <w:t>方应采取抑尘措施；运送土方、渣土等易产生扬尘的车辆应采</w:t>
            </w:r>
            <w:r>
              <w:rPr>
                <w:i/>
                <w:spacing w:val="-5"/>
                <w:sz w:val="21"/>
              </w:rPr>
              <w:t>取封闭或遮盖措施； 现场进出口应设冲洗池和吸湿垫，应保持</w:t>
            </w:r>
            <w:r>
              <w:rPr>
                <w:i/>
                <w:spacing w:val="-2"/>
                <w:sz w:val="21"/>
              </w:rPr>
              <w:t>进出现场车辆清洁；易飞扬和细颗粒建筑材料应封闭存放，余</w:t>
            </w:r>
            <w:r>
              <w:rPr>
                <w:i/>
                <w:spacing w:val="-5"/>
                <w:sz w:val="21"/>
              </w:rPr>
              <w:t>料应及时回收； 易产生扬尘的施工作业应采取遮挡、抑尘等措</w:t>
            </w:r>
            <w:r>
              <w:rPr>
                <w:i/>
                <w:sz w:val="21"/>
              </w:rPr>
              <w:t>施；拆除爆破作业应有降尘措施； 高空垃圾清运应采用封闭</w:t>
            </w:r>
            <w:r>
              <w:rPr>
                <w:i/>
                <w:spacing w:val="-7"/>
                <w:sz w:val="21"/>
              </w:rPr>
              <w:t>式管道或垂直运输机械完成； 现场使用散装水泥、预拌砂浆应</w:t>
            </w:r>
          </w:p>
          <w:p>
            <w:pPr>
              <w:pStyle w:val="TableParagraph"/>
              <w:spacing w:line="268" w:lineRule="exact"/>
              <w:ind w:left="107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有密闭防尘措施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spacing w:before="23" w:line="278" w:lineRule="auto"/>
              <w:ind w:left="107" w:right="96"/>
              <w:jc w:val="both"/>
              <w:rPr>
                <w:i/>
                <w:sz w:val="21"/>
              </w:rPr>
            </w:pPr>
            <w:r>
              <w:rPr>
                <w:sz w:val="21"/>
              </w:rPr>
              <w:t>5.2.4</w:t>
            </w:r>
            <w:r>
              <w:rPr>
                <w:spacing w:val="-27"/>
                <w:sz w:val="21"/>
              </w:rPr>
              <w:t xml:space="preserve"> </w:t>
            </w:r>
            <w:r>
              <w:rPr>
                <w:i/>
                <w:sz w:val="21"/>
              </w:rPr>
              <w:t>废气排放控制应符合下列规定：进出场车辆及机械设备废气排放应符合国家年检要求； 不应使用煤作为现场生活的</w:t>
            </w:r>
            <w:r>
              <w:rPr>
                <w:i/>
                <w:spacing w:val="-11"/>
                <w:sz w:val="21"/>
              </w:rPr>
              <w:t>燃料； 电焊烟气的排放应符合现行国家标准《大气污染物综合</w:t>
            </w:r>
          </w:p>
          <w:p>
            <w:pPr>
              <w:pStyle w:val="TableParagraph"/>
              <w:spacing w:line="269" w:lineRule="exact"/>
              <w:ind w:left="107"/>
              <w:jc w:val="both"/>
              <w:rPr>
                <w:i/>
                <w:sz w:val="21"/>
              </w:rPr>
            </w:pPr>
            <w:r>
              <w:rPr>
                <w:i/>
                <w:sz w:val="21"/>
              </w:rPr>
              <w:t>排放标准》</w:t>
            </w:r>
            <w:r>
              <w:rPr>
                <w:sz w:val="21"/>
              </w:rPr>
              <w:t>GB 16297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的规定；不应在现场燃烧废弃物。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4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spacing w:before="23"/>
              <w:ind w:left="107"/>
              <w:jc w:val="both"/>
              <w:rPr>
                <w:i/>
                <w:sz w:val="21"/>
              </w:rPr>
            </w:pPr>
            <w:r>
              <w:rPr>
                <w:sz w:val="21"/>
              </w:rPr>
              <w:t>5.2.5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建筑垃圾处置应符合下列规定：</w:t>
            </w:r>
          </w:p>
          <w:p>
            <w:pPr>
              <w:pStyle w:val="TableParagraph"/>
              <w:spacing w:before="2" w:line="310" w:lineRule="atLeast"/>
              <w:ind w:left="107" w:right="96"/>
              <w:jc w:val="both"/>
              <w:rPr>
                <w:i/>
                <w:sz w:val="21"/>
              </w:rPr>
            </w:pPr>
            <w:r>
              <w:rPr>
                <w:i/>
                <w:spacing w:val="-6"/>
                <w:sz w:val="21"/>
              </w:rPr>
              <w:t>建筑垃圾应分类收集、集中堆放； 废电池、废墨盒等有毒有害</w:t>
            </w:r>
            <w:r>
              <w:rPr>
                <w:i/>
                <w:spacing w:val="-2"/>
                <w:sz w:val="21"/>
              </w:rPr>
              <w:t xml:space="preserve">的废弃物应封闭回收，不应混放；有毒有害废物分类率应达到 </w:t>
            </w:r>
            <w:r>
              <w:rPr>
                <w:spacing w:val="-2"/>
                <w:sz w:val="21"/>
              </w:rPr>
              <w:t>lOO%</w:t>
            </w:r>
            <w:r>
              <w:rPr>
                <w:i/>
                <w:spacing w:val="-3"/>
                <w:sz w:val="21"/>
              </w:rPr>
              <w:t>；垃圾桶应分为可回收利用与不可回收利用两类。应定期</w:t>
            </w:r>
          </w:p>
        </w:tc>
        <w:tc>
          <w:tcPr>
            <w:tcW w:w="12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headerReference w:type="default" r:id="rId18"/>
          <w:footerReference w:type="default" r:id="rId19"/>
          <w:pgSz w:w="11910" w:h="16840"/>
          <w:pgMar w:top="1120" w:right="1140" w:bottom="1380" w:left="1140" w:header="934" w:footer="1198"/>
          <w:pgNumType w:start="8"/>
          <w:cols w:space="708"/>
        </w:sectPr>
      </w:pPr>
    </w:p>
    <w:p>
      <w:pPr>
        <w:pStyle w:val="BodyText"/>
        <w:spacing w:before="1"/>
        <w:rPr>
          <w:sz w:val="22"/>
        </w:rPr>
      </w:pPr>
    </w:p>
    <w:tbl>
      <w:tblPr>
        <w:tblStyle w:val="TableNormal3"/>
        <w:tblW w:w="0" w:type="auto"/>
        <w:jc w:val="left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6"/>
        <w:gridCol w:w="3513"/>
        <w:gridCol w:w="2359"/>
        <w:gridCol w:w="170"/>
        <w:gridCol w:w="1043"/>
        <w:gridCol w:w="758"/>
        <w:gridCol w:w="817"/>
      </w:tblGrid>
      <w:tr>
        <w:tblPrEx>
          <w:tblW w:w="0" w:type="auto"/>
          <w:jc w:val="left"/>
          <w:tblInd w:w="34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456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 xml:space="preserve">清运；建筑垃圾回收剩用率应达到 </w:t>
            </w:r>
            <w:r>
              <w:rPr>
                <w:sz w:val="21"/>
              </w:rPr>
              <w:t>30%</w:t>
            </w:r>
            <w:r>
              <w:rPr>
                <w:i/>
                <w:spacing w:val="-1"/>
                <w:sz w:val="21"/>
              </w:rPr>
              <w:t>。碎石和土石方类等应</w:t>
            </w:r>
          </w:p>
          <w:p>
            <w:pPr>
              <w:pStyle w:val="TableParagraph"/>
              <w:spacing w:before="43"/>
              <w:ind w:left="107"/>
              <w:rPr>
                <w:i/>
                <w:sz w:val="21"/>
              </w:rPr>
            </w:pPr>
            <w:r>
              <w:rPr>
                <w:i/>
                <w:spacing w:val="-1"/>
                <w:sz w:val="21"/>
              </w:rPr>
              <w:t>用作地基和路基回填材料。</w:t>
            </w:r>
          </w:p>
        </w:tc>
        <w:tc>
          <w:tcPr>
            <w:tcW w:w="121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spacing w:before="23" w:line="278" w:lineRule="auto"/>
              <w:ind w:left="107" w:right="96"/>
              <w:jc w:val="both"/>
              <w:rPr>
                <w:i/>
                <w:sz w:val="21"/>
              </w:rPr>
            </w:pPr>
            <w:r>
              <w:rPr>
                <w:sz w:val="21"/>
              </w:rPr>
              <w:t>5.2.6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i/>
                <w:spacing w:val="-2"/>
                <w:sz w:val="21"/>
              </w:rPr>
              <w:t>污水排放应符合下列规定： 现场道路和材料堆放场地</w:t>
            </w:r>
            <w:r>
              <w:rPr>
                <w:i/>
                <w:spacing w:val="-2"/>
                <w:sz w:val="21"/>
              </w:rPr>
              <w:t>周边应设排水沟；工程污水和试验室养护用水应经处理达标后</w:t>
            </w:r>
            <w:r>
              <w:rPr>
                <w:i/>
                <w:spacing w:val="-2"/>
                <w:sz w:val="21"/>
              </w:rPr>
              <w:t>排人市政污水管道；现场厕所应设置化粪池，化粪池应定期清</w:t>
            </w:r>
            <w:r>
              <w:rPr>
                <w:i/>
                <w:spacing w:val="-7"/>
                <w:sz w:val="21"/>
              </w:rPr>
              <w:t>理；工地厨房应设隔油池，应定期清理； 雨水、污水应分流排</w:t>
            </w:r>
          </w:p>
          <w:p>
            <w:pPr>
              <w:pStyle w:val="TableParagraph"/>
              <w:spacing w:line="268" w:lineRule="exact"/>
              <w:ind w:left="107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放。</w:t>
            </w:r>
          </w:p>
        </w:tc>
        <w:tc>
          <w:tcPr>
            <w:tcW w:w="121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tabs>
                <w:tab w:val="left" w:pos="947"/>
              </w:tabs>
              <w:spacing w:before="23" w:line="278" w:lineRule="auto"/>
              <w:ind w:left="107" w:right="96"/>
              <w:rPr>
                <w:i/>
                <w:sz w:val="21"/>
              </w:rPr>
            </w:pPr>
            <w:r>
              <w:rPr>
                <w:spacing w:val="-2"/>
                <w:sz w:val="21"/>
              </w:rPr>
              <w:t>5.2</w:t>
            </w:r>
            <w:r>
              <w:rPr>
                <w:i/>
                <w:spacing w:val="-2"/>
                <w:sz w:val="21"/>
              </w:rPr>
              <w:t>．</w:t>
            </w:r>
            <w:r>
              <w:rPr>
                <w:spacing w:val="-2"/>
                <w:sz w:val="21"/>
              </w:rPr>
              <w:t>7</w:t>
            </w:r>
            <w:r>
              <w:rPr>
                <w:sz w:val="21"/>
              </w:rPr>
              <w:tab/>
            </w:r>
            <w:r>
              <w:rPr>
                <w:i/>
                <w:spacing w:val="-2"/>
                <w:sz w:val="21"/>
              </w:rPr>
              <w:t>光污染应符合下列规定：夜间焊接作业时，应采取挡</w:t>
            </w:r>
            <w:r>
              <w:rPr>
                <w:i/>
                <w:spacing w:val="-3"/>
                <w:sz w:val="21"/>
              </w:rPr>
              <w:t>光措施；工地设置大型照明灯具时，应有防止强光线外泄的措</w:t>
            </w:r>
          </w:p>
          <w:p>
            <w:pPr>
              <w:pStyle w:val="TableParagraph"/>
              <w:spacing w:line="269" w:lineRule="exact"/>
              <w:ind w:left="107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施。</w:t>
            </w:r>
          </w:p>
        </w:tc>
        <w:tc>
          <w:tcPr>
            <w:tcW w:w="121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spacing w:before="23" w:line="278" w:lineRule="auto"/>
              <w:ind w:left="107" w:right="-15"/>
              <w:rPr>
                <w:i/>
                <w:sz w:val="21"/>
              </w:rPr>
            </w:pPr>
            <w:r>
              <w:rPr>
                <w:sz w:val="21"/>
              </w:rPr>
              <w:t>5.2.8</w:t>
            </w:r>
            <w:r>
              <w:rPr>
                <w:spacing w:val="-36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噪声控制应符合下列规定： 应采用先进机械、低噪声设</w:t>
            </w:r>
            <w:r>
              <w:rPr>
                <w:i/>
                <w:spacing w:val="-2"/>
                <w:sz w:val="21"/>
              </w:rPr>
              <w:t>备进行施工，机械、设备应定期保养维护；产生噪声较大的机</w:t>
            </w:r>
            <w:r>
              <w:rPr>
                <w:i/>
                <w:spacing w:val="-2"/>
                <w:sz w:val="21"/>
              </w:rPr>
              <w:t>械设备，应尽量远离施工现场办公区、生活区和周边住宅区；</w:t>
            </w:r>
            <w:r>
              <w:rPr>
                <w:i/>
                <w:spacing w:val="-6"/>
                <w:sz w:val="21"/>
              </w:rPr>
              <w:t>混凝．土输送泵、电锯房等应设有吸声降噪屏或其他降噪措施；</w:t>
            </w:r>
            <w:r>
              <w:rPr>
                <w:i/>
                <w:spacing w:val="-2"/>
                <w:sz w:val="21"/>
              </w:rPr>
              <w:t>夜间施工噪声声强值应符合国家有关规定；吊装作业指挥应使</w:t>
            </w:r>
          </w:p>
          <w:p>
            <w:pPr>
              <w:pStyle w:val="TableParagraph"/>
              <w:spacing w:line="268" w:lineRule="exact"/>
              <w:ind w:left="107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用对讲机传达指令。</w:t>
            </w:r>
          </w:p>
        </w:tc>
        <w:tc>
          <w:tcPr>
            <w:tcW w:w="121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sz w:val="21"/>
              </w:rPr>
              <w:t>5.2.9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施工现场应设置连续、密闭能有效隔绝各类污染的围挡</w:t>
            </w:r>
          </w:p>
        </w:tc>
        <w:tc>
          <w:tcPr>
            <w:tcW w:w="121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sz w:val="21"/>
              </w:rPr>
              <w:t>5.2.10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施工中开挖土方应合理回填利用。</w:t>
            </w:r>
          </w:p>
        </w:tc>
        <w:tc>
          <w:tcPr>
            <w:tcW w:w="121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spacing w:line="278" w:lineRule="auto"/>
              <w:ind w:left="108" w:right="127"/>
              <w:jc w:val="both"/>
              <w:rPr>
                <w:i/>
                <w:sz w:val="21"/>
              </w:rPr>
            </w:pPr>
            <w:r>
              <w:rPr>
                <w:i/>
                <w:spacing w:val="-10"/>
                <w:sz w:val="21"/>
              </w:rPr>
              <w:t>优</w:t>
            </w:r>
            <w:r>
              <w:rPr>
                <w:i/>
                <w:spacing w:val="-10"/>
                <w:sz w:val="21"/>
              </w:rPr>
              <w:t>选</w:t>
            </w:r>
            <w:r>
              <w:rPr>
                <w:i/>
                <w:spacing w:val="-10"/>
                <w:sz w:val="21"/>
              </w:rPr>
              <w:t>项</w:t>
            </w:r>
          </w:p>
        </w:tc>
        <w:tc>
          <w:tcPr>
            <w:tcW w:w="5872" w:type="dxa"/>
            <w:gridSpan w:val="2"/>
          </w:tcPr>
          <w:p>
            <w:pPr>
              <w:pStyle w:val="TableParagraph"/>
              <w:tabs>
                <w:tab w:val="left" w:pos="842"/>
              </w:tabs>
              <w:spacing w:before="23"/>
              <w:ind w:left="107"/>
              <w:rPr>
                <w:i/>
                <w:sz w:val="21"/>
              </w:rPr>
            </w:pPr>
            <w:r>
              <w:rPr>
                <w:spacing w:val="-2"/>
                <w:sz w:val="21"/>
              </w:rPr>
              <w:t>5.3.1</w:t>
            </w:r>
            <w:r>
              <w:rPr>
                <w:sz w:val="21"/>
              </w:rPr>
              <w:tab/>
            </w:r>
            <w:r>
              <w:rPr>
                <w:i/>
                <w:spacing w:val="-1"/>
                <w:sz w:val="21"/>
              </w:rPr>
              <w:t>施工作业面应设置隔声设施。</w:t>
            </w:r>
          </w:p>
        </w:tc>
        <w:tc>
          <w:tcPr>
            <w:tcW w:w="121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sz w:val="21"/>
              </w:rPr>
              <w:t>5. 3.2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现场应设置可移动环保厕所，并应定期清运、消毒。</w:t>
            </w:r>
          </w:p>
        </w:tc>
        <w:tc>
          <w:tcPr>
            <w:tcW w:w="121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tabs>
                <w:tab w:val="left" w:pos="842"/>
              </w:tabs>
              <w:spacing w:before="23"/>
              <w:ind w:left="107"/>
              <w:rPr>
                <w:i/>
                <w:sz w:val="21"/>
              </w:rPr>
            </w:pPr>
            <w:r>
              <w:rPr>
                <w:spacing w:val="-2"/>
                <w:sz w:val="21"/>
              </w:rPr>
              <w:t>5.3.3</w:t>
            </w:r>
            <w:r>
              <w:rPr>
                <w:sz w:val="21"/>
              </w:rPr>
              <w:tab/>
            </w:r>
            <w:r>
              <w:rPr>
                <w:i/>
                <w:spacing w:val="-1"/>
                <w:sz w:val="21"/>
              </w:rPr>
              <w:t>现场应设噪声监测点，并应宴旗动态监测。</w:t>
            </w:r>
          </w:p>
        </w:tc>
        <w:tc>
          <w:tcPr>
            <w:tcW w:w="121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sz w:val="21"/>
              </w:rPr>
              <w:t>5.3.4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现场应有医务室，人员健康应急预案应完善。</w:t>
            </w:r>
          </w:p>
        </w:tc>
        <w:tc>
          <w:tcPr>
            <w:tcW w:w="121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sz w:val="21"/>
              </w:rPr>
              <w:t>5</w:t>
            </w:r>
            <w:r>
              <w:rPr>
                <w:i/>
                <w:sz w:val="21"/>
              </w:rPr>
              <w:t>．</w:t>
            </w:r>
            <w:r>
              <w:rPr>
                <w:sz w:val="21"/>
              </w:rPr>
              <w:t>3.5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施工应采取基坑封闭降水措旄。</w:t>
            </w:r>
          </w:p>
        </w:tc>
        <w:tc>
          <w:tcPr>
            <w:tcW w:w="121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sz w:val="21"/>
              </w:rPr>
              <w:t>5.3.6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现场应采用喷雾设施降尘。</w:t>
            </w:r>
          </w:p>
        </w:tc>
        <w:tc>
          <w:tcPr>
            <w:tcW w:w="121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z w:val="21"/>
              </w:rPr>
              <w:t>5.3.7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5"/>
                <w:sz w:val="21"/>
              </w:rPr>
              <w:t xml:space="preserve">建筑垃圾回收利用率应达到 </w:t>
            </w:r>
            <w:r>
              <w:rPr>
                <w:spacing w:val="-5"/>
                <w:sz w:val="21"/>
              </w:rPr>
              <w:t>50%</w:t>
            </w:r>
          </w:p>
        </w:tc>
        <w:tc>
          <w:tcPr>
            <w:tcW w:w="121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2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sz w:val="21"/>
              </w:rPr>
              <w:t>5.3.8</w:t>
            </w:r>
            <w:r>
              <w:rPr>
                <w:spacing w:val="-30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工程污水应采用去泥沙、除油污、分解有机物、沉淀过</w:t>
            </w:r>
          </w:p>
          <w:p>
            <w:pPr>
              <w:pStyle w:val="TableParagraph"/>
              <w:spacing w:before="43"/>
              <w:ind w:left="107"/>
              <w:rPr>
                <w:i/>
                <w:sz w:val="21"/>
              </w:rPr>
            </w:pPr>
            <w:r>
              <w:rPr>
                <w:i/>
                <w:spacing w:val="-1"/>
                <w:sz w:val="21"/>
              </w:rPr>
              <w:t>滤、酸碱中和等处理方式，实现达标排放。</w:t>
            </w:r>
          </w:p>
        </w:tc>
        <w:tc>
          <w:tcPr>
            <w:tcW w:w="121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083"/>
          <w:jc w:val="left"/>
        </w:trPr>
        <w:tc>
          <w:tcPr>
            <w:tcW w:w="456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 w:line="278" w:lineRule="auto"/>
              <w:ind w:left="108" w:right="127"/>
              <w:jc w:val="both"/>
              <w:rPr>
                <w:i/>
                <w:sz w:val="21"/>
              </w:rPr>
            </w:pPr>
            <w:r>
              <w:rPr>
                <w:i/>
                <w:spacing w:val="-10"/>
                <w:sz w:val="21"/>
              </w:rPr>
              <w:t>评</w:t>
            </w:r>
            <w:r>
              <w:rPr>
                <w:i/>
                <w:spacing w:val="-10"/>
                <w:sz w:val="21"/>
              </w:rPr>
              <w:t>价</w:t>
            </w:r>
            <w:r>
              <w:rPr>
                <w:i/>
                <w:spacing w:val="-10"/>
                <w:sz w:val="21"/>
              </w:rPr>
              <w:t>结</w:t>
            </w:r>
            <w:r>
              <w:rPr>
                <w:i/>
                <w:spacing w:val="-10"/>
                <w:sz w:val="21"/>
              </w:rPr>
              <w:t>果</w:t>
            </w:r>
          </w:p>
        </w:tc>
        <w:tc>
          <w:tcPr>
            <w:tcW w:w="8660" w:type="dxa"/>
            <w:gridSpan w:val="6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456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18"/>
              </w:rPr>
            </w:pPr>
          </w:p>
          <w:p>
            <w:pPr>
              <w:pStyle w:val="TableParagraph"/>
              <w:spacing w:line="278" w:lineRule="auto"/>
              <w:ind w:left="108" w:right="127"/>
              <w:jc w:val="both"/>
              <w:rPr>
                <w:i/>
                <w:sz w:val="21"/>
              </w:rPr>
            </w:pPr>
            <w:r>
              <w:rPr>
                <w:i/>
                <w:spacing w:val="-10"/>
                <w:sz w:val="21"/>
              </w:rPr>
              <w:t>签</w:t>
            </w:r>
            <w:r>
              <w:rPr>
                <w:i/>
                <w:spacing w:val="-10"/>
                <w:sz w:val="21"/>
              </w:rPr>
              <w:t>字</w:t>
            </w:r>
            <w:r>
              <w:rPr>
                <w:i/>
                <w:spacing w:val="-10"/>
                <w:sz w:val="21"/>
              </w:rPr>
              <w:t>栏</w:t>
            </w:r>
          </w:p>
        </w:tc>
        <w:tc>
          <w:tcPr>
            <w:tcW w:w="3513" w:type="dxa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建设单位</w:t>
            </w:r>
          </w:p>
        </w:tc>
        <w:tc>
          <w:tcPr>
            <w:tcW w:w="2529" w:type="dxa"/>
            <w:gridSpan w:val="2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监理单位</w:t>
            </w:r>
          </w:p>
        </w:tc>
        <w:tc>
          <w:tcPr>
            <w:tcW w:w="2618" w:type="dxa"/>
            <w:gridSpan w:val="3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施工单位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1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29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8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headerReference w:type="default" r:id="rId20"/>
          <w:footerReference w:type="default" r:id="rId21"/>
          <w:pgSz w:w="11910" w:h="16840"/>
          <w:pgMar w:top="1120" w:right="1140" w:bottom="1380" w:left="1140" w:header="934" w:footer="1198"/>
          <w:pgNumType w:start="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6"/>
        </w:rPr>
      </w:pPr>
    </w:p>
    <w:tbl>
      <w:tblPr>
        <w:tblStyle w:val="TableNormal4"/>
        <w:tblW w:w="0" w:type="auto"/>
        <w:jc w:val="left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7"/>
        <w:gridCol w:w="1794"/>
        <w:gridCol w:w="1480"/>
        <w:gridCol w:w="2598"/>
        <w:gridCol w:w="1212"/>
        <w:gridCol w:w="758"/>
        <w:gridCol w:w="817"/>
      </w:tblGrid>
      <w:tr>
        <w:tblPrEx>
          <w:tblW w:w="0" w:type="auto"/>
          <w:jc w:val="left"/>
          <w:tblInd w:w="34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251" w:type="dxa"/>
            <w:gridSpan w:val="2"/>
            <w:vMerge w:val="restart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705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工程名称</w:t>
            </w:r>
          </w:p>
        </w:tc>
        <w:tc>
          <w:tcPr>
            <w:tcW w:w="4078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2" w:type="dxa"/>
          </w:tcPr>
          <w:p>
            <w:pPr>
              <w:pStyle w:val="TableParagraph"/>
              <w:spacing w:before="23"/>
              <w:ind w:left="396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编号</w:t>
            </w:r>
          </w:p>
        </w:tc>
        <w:tc>
          <w:tcPr>
            <w:tcW w:w="157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25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7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>
            <w:pPr>
              <w:pStyle w:val="TableParagraph"/>
              <w:spacing w:before="23"/>
              <w:ind w:left="396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日期</w:t>
            </w:r>
          </w:p>
        </w:tc>
        <w:tc>
          <w:tcPr>
            <w:tcW w:w="157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251" w:type="dxa"/>
            <w:gridSpan w:val="2"/>
          </w:tcPr>
          <w:p>
            <w:pPr>
              <w:pStyle w:val="TableParagraph"/>
              <w:spacing w:before="23"/>
              <w:ind w:left="705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施工单位</w:t>
            </w:r>
          </w:p>
        </w:tc>
        <w:tc>
          <w:tcPr>
            <w:tcW w:w="4078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2" w:type="dxa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施工阶段</w:t>
            </w:r>
          </w:p>
        </w:tc>
        <w:tc>
          <w:tcPr>
            <w:tcW w:w="157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251" w:type="dxa"/>
            <w:gridSpan w:val="2"/>
          </w:tcPr>
          <w:p>
            <w:pPr>
              <w:pStyle w:val="TableParagraph"/>
              <w:spacing w:before="23"/>
              <w:ind w:left="705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评价指标</w:t>
            </w:r>
          </w:p>
        </w:tc>
        <w:tc>
          <w:tcPr>
            <w:tcW w:w="4078" w:type="dxa"/>
            <w:gridSpan w:val="2"/>
          </w:tcPr>
          <w:p>
            <w:pPr>
              <w:pStyle w:val="TableParagraph"/>
              <w:spacing w:before="23"/>
              <w:ind w:left="674"/>
              <w:rPr>
                <w:i/>
                <w:sz w:val="21"/>
              </w:rPr>
            </w:pPr>
            <w:r>
              <w:rPr>
                <w:i/>
                <w:spacing w:val="-1"/>
                <w:sz w:val="21"/>
              </w:rPr>
              <w:t>节材与材料资源利用评价指标</w:t>
            </w:r>
          </w:p>
        </w:tc>
        <w:tc>
          <w:tcPr>
            <w:tcW w:w="1212" w:type="dxa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施工日期</w:t>
            </w:r>
          </w:p>
        </w:tc>
        <w:tc>
          <w:tcPr>
            <w:tcW w:w="157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457" w:type="dxa"/>
            <w:vMerge w:val="restart"/>
          </w:tcPr>
          <w:p>
            <w:pPr>
              <w:pStyle w:val="TableParagraph"/>
              <w:spacing w:before="33"/>
              <w:ind w:left="108"/>
              <w:rPr>
                <w:i/>
                <w:sz w:val="21"/>
              </w:rPr>
            </w:pPr>
            <w:r>
              <w:rPr>
                <w:i/>
                <w:sz w:val="21"/>
              </w:rPr>
              <w:t>控</w:t>
            </w:r>
          </w:p>
          <w:p>
            <w:pPr>
              <w:pStyle w:val="TableParagraph"/>
              <w:spacing w:before="2" w:line="310" w:lineRule="atLeast"/>
              <w:ind w:left="108" w:right="128"/>
              <w:rPr>
                <w:i/>
                <w:sz w:val="21"/>
              </w:rPr>
            </w:pPr>
            <w:r>
              <w:rPr>
                <w:i/>
                <w:spacing w:val="-10"/>
                <w:sz w:val="21"/>
              </w:rPr>
              <w:t>制</w:t>
            </w:r>
            <w:r>
              <w:rPr>
                <w:i/>
                <w:spacing w:val="-10"/>
                <w:sz w:val="21"/>
              </w:rPr>
              <w:t>项</w:t>
            </w:r>
          </w:p>
        </w:tc>
        <w:tc>
          <w:tcPr>
            <w:tcW w:w="7084" w:type="dxa"/>
            <w:gridSpan w:val="4"/>
          </w:tcPr>
          <w:p>
            <w:pPr>
              <w:pStyle w:val="TableParagraph"/>
              <w:spacing w:before="23"/>
              <w:ind w:left="2585" w:right="2576"/>
              <w:jc w:val="center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标准编号及标准要求</w:t>
            </w:r>
          </w:p>
        </w:tc>
        <w:tc>
          <w:tcPr>
            <w:tcW w:w="1575" w:type="dxa"/>
            <w:gridSpan w:val="2"/>
          </w:tcPr>
          <w:p>
            <w:pPr>
              <w:pStyle w:val="TableParagraph"/>
              <w:spacing w:before="23"/>
              <w:ind w:left="367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评价结论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4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4" w:type="dxa"/>
            <w:gridSpan w:val="4"/>
          </w:tcPr>
          <w:p>
            <w:pPr>
              <w:pStyle w:val="TableParagraph"/>
              <w:tabs>
                <w:tab w:val="left" w:pos="947"/>
              </w:tabs>
              <w:spacing w:before="23"/>
              <w:ind w:left="108"/>
              <w:rPr>
                <w:i/>
                <w:sz w:val="21"/>
              </w:rPr>
            </w:pPr>
            <w:r>
              <w:rPr>
                <w:sz w:val="21"/>
              </w:rPr>
              <w:t>6</w:t>
            </w:r>
            <w:r>
              <w:rPr>
                <w:i/>
                <w:sz w:val="21"/>
              </w:rPr>
              <w:t>。</w:t>
            </w:r>
            <w:r>
              <w:rPr>
                <w:spacing w:val="-5"/>
                <w:sz w:val="21"/>
              </w:rPr>
              <w:t>1.1</w:t>
            </w:r>
            <w:r>
              <w:rPr>
                <w:sz w:val="21"/>
              </w:rPr>
              <w:tab/>
            </w:r>
            <w:r>
              <w:rPr>
                <w:i/>
                <w:sz w:val="21"/>
              </w:rPr>
              <w:t>应根据就地取材的原则进行材料选择并有实施记录</w:t>
            </w:r>
            <w:r>
              <w:rPr>
                <w:i/>
                <w:spacing w:val="-10"/>
                <w:sz w:val="21"/>
              </w:rPr>
              <w:t>。</w:t>
            </w:r>
          </w:p>
        </w:tc>
        <w:tc>
          <w:tcPr>
            <w:tcW w:w="157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4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4" w:type="dxa"/>
            <w:gridSpan w:val="4"/>
          </w:tcPr>
          <w:p>
            <w:pPr>
              <w:pStyle w:val="TableParagraph"/>
              <w:tabs>
                <w:tab w:val="left" w:pos="842"/>
              </w:tabs>
              <w:spacing w:before="23"/>
              <w:ind w:left="108"/>
              <w:rPr>
                <w:i/>
                <w:sz w:val="21"/>
              </w:rPr>
            </w:pPr>
            <w:r>
              <w:rPr>
                <w:spacing w:val="-2"/>
                <w:sz w:val="21"/>
              </w:rPr>
              <w:t>6.1.2</w:t>
            </w:r>
            <w:r>
              <w:rPr>
                <w:sz w:val="21"/>
              </w:rPr>
              <w:tab/>
            </w:r>
            <w:r>
              <w:rPr>
                <w:i/>
                <w:spacing w:val="-1"/>
                <w:sz w:val="21"/>
              </w:rPr>
              <w:t>应有健全的机械保养、限额领料、建筑垃圾再生利等制度。</w:t>
            </w:r>
          </w:p>
        </w:tc>
        <w:tc>
          <w:tcPr>
            <w:tcW w:w="1575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457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7"/>
              <w:rPr>
                <w:sz w:val="25"/>
              </w:rPr>
            </w:pPr>
          </w:p>
          <w:p>
            <w:pPr>
              <w:pStyle w:val="TableParagraph"/>
              <w:spacing w:line="278" w:lineRule="auto"/>
              <w:ind w:left="108" w:right="128"/>
              <w:jc w:val="both"/>
              <w:rPr>
                <w:i/>
                <w:sz w:val="21"/>
              </w:rPr>
            </w:pPr>
            <w:r>
              <w:rPr>
                <w:i/>
                <w:spacing w:val="-10"/>
                <w:sz w:val="21"/>
              </w:rPr>
              <w:t>—</w:t>
            </w:r>
            <w:r>
              <w:rPr>
                <w:i/>
                <w:spacing w:val="-10"/>
                <w:sz w:val="21"/>
              </w:rPr>
              <w:t>般</w:t>
            </w:r>
            <w:r>
              <w:rPr>
                <w:i/>
                <w:spacing w:val="-10"/>
                <w:sz w:val="21"/>
              </w:rPr>
              <w:t>项</w:t>
            </w:r>
          </w:p>
        </w:tc>
        <w:tc>
          <w:tcPr>
            <w:tcW w:w="5872" w:type="dxa"/>
            <w:gridSpan w:val="3"/>
          </w:tcPr>
          <w:p>
            <w:pPr>
              <w:pStyle w:val="TableParagraph"/>
              <w:spacing w:before="179"/>
              <w:ind w:left="1980" w:right="1970"/>
              <w:jc w:val="center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标准编号及标准要求</w:t>
            </w:r>
          </w:p>
        </w:tc>
        <w:tc>
          <w:tcPr>
            <w:tcW w:w="1212" w:type="dxa"/>
          </w:tcPr>
          <w:p>
            <w:pPr>
              <w:pStyle w:val="TableParagraph"/>
              <w:spacing w:before="179"/>
              <w:ind w:left="186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计分标准</w:t>
            </w:r>
          </w:p>
        </w:tc>
        <w:tc>
          <w:tcPr>
            <w:tcW w:w="758" w:type="dxa"/>
          </w:tcPr>
          <w:p>
            <w:pPr>
              <w:pStyle w:val="TableParagraph"/>
              <w:spacing w:before="23"/>
              <w:ind w:left="168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应得</w:t>
            </w:r>
          </w:p>
          <w:p>
            <w:pPr>
              <w:pStyle w:val="TableParagraph"/>
              <w:spacing w:before="43"/>
              <w:ind w:left="168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分数</w:t>
            </w:r>
          </w:p>
        </w:tc>
        <w:tc>
          <w:tcPr>
            <w:tcW w:w="817" w:type="dxa"/>
          </w:tcPr>
          <w:p>
            <w:pPr>
              <w:pStyle w:val="TableParagraph"/>
              <w:spacing w:before="23"/>
              <w:ind w:left="198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实得</w:t>
            </w:r>
          </w:p>
          <w:p>
            <w:pPr>
              <w:pStyle w:val="TableParagraph"/>
              <w:spacing w:before="43"/>
              <w:ind w:left="198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分数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4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3"/>
          </w:tcPr>
          <w:p>
            <w:pPr>
              <w:pStyle w:val="TableParagraph"/>
              <w:spacing w:before="23" w:line="278" w:lineRule="auto"/>
              <w:ind w:left="108" w:right="83"/>
              <w:jc w:val="both"/>
              <w:rPr>
                <w:i/>
                <w:sz w:val="21"/>
              </w:rPr>
            </w:pPr>
            <w:r>
              <w:rPr>
                <w:sz w:val="21"/>
              </w:rPr>
              <w:t>6.2.1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i/>
                <w:sz w:val="21"/>
              </w:rPr>
              <w:t>材料的选择应符舍下列规定：施工应选用绿色、环保</w:t>
            </w:r>
            <w:r>
              <w:rPr>
                <w:i/>
                <w:spacing w:val="-2"/>
                <w:sz w:val="21"/>
              </w:rPr>
              <w:t>材料；临建设施应采用可拆迁、可回收材料；应利用粉煤灰、</w:t>
            </w:r>
            <w:r>
              <w:rPr>
                <w:i/>
                <w:spacing w:val="-2"/>
                <w:sz w:val="21"/>
              </w:rPr>
              <w:t>矿渣、外加剂等新材料降低混凝土和砂浆中的水泥用量；粉煤</w:t>
            </w:r>
            <w:r>
              <w:rPr>
                <w:i/>
                <w:spacing w:val="-3"/>
                <w:sz w:val="21"/>
              </w:rPr>
              <w:t>灰、矿渣、外加剂等新材料掺量应按供货单位推荐掺量、使用</w:t>
            </w:r>
          </w:p>
          <w:p>
            <w:pPr>
              <w:pStyle w:val="TableParagraph"/>
              <w:spacing w:line="268" w:lineRule="exact"/>
              <w:ind w:left="108"/>
              <w:rPr>
                <w:i/>
                <w:sz w:val="21"/>
              </w:rPr>
            </w:pPr>
            <w:r>
              <w:rPr>
                <w:i/>
                <w:spacing w:val="-1"/>
                <w:sz w:val="21"/>
              </w:rPr>
              <w:t>要求、施工条件、原材料等因素通过试验确定。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4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3"/>
          </w:tcPr>
          <w:p>
            <w:pPr>
              <w:pStyle w:val="TableParagraph"/>
              <w:spacing w:before="23" w:line="278" w:lineRule="auto"/>
              <w:ind w:left="108" w:right="83"/>
              <w:jc w:val="both"/>
              <w:rPr>
                <w:i/>
                <w:sz w:val="21"/>
              </w:rPr>
            </w:pPr>
            <w:r>
              <w:rPr>
                <w:spacing w:val="-4"/>
                <w:sz w:val="21"/>
              </w:rPr>
              <w:t>6</w:t>
            </w:r>
            <w:r>
              <w:rPr>
                <w:i/>
                <w:spacing w:val="-4"/>
                <w:sz w:val="21"/>
              </w:rPr>
              <w:t>．</w:t>
            </w:r>
            <w:r>
              <w:rPr>
                <w:spacing w:val="-4"/>
                <w:sz w:val="21"/>
              </w:rPr>
              <w:t>2.2</w:t>
            </w:r>
            <w:r>
              <w:rPr>
                <w:spacing w:val="-23"/>
                <w:sz w:val="21"/>
              </w:rPr>
              <w:t xml:space="preserve"> </w:t>
            </w:r>
            <w:r>
              <w:rPr>
                <w:i/>
                <w:spacing w:val="-4"/>
                <w:sz w:val="21"/>
              </w:rPr>
              <w:t>材料节约应符合下列规定：应采用管件合一的脚手架和</w:t>
            </w:r>
            <w:r>
              <w:rPr>
                <w:i/>
                <w:spacing w:val="-2"/>
                <w:sz w:val="21"/>
              </w:rPr>
              <w:t>支撑体系；应采用工具式模板和新型模板材料，如铝台金、塑</w:t>
            </w:r>
            <w:r>
              <w:rPr>
                <w:i/>
                <w:spacing w:val="-2"/>
                <w:sz w:val="21"/>
              </w:rPr>
              <w:t>料、玻璃钢和其他可再生材质的大模板和钢框壤边模板；材料</w:t>
            </w:r>
            <w:r>
              <w:rPr>
                <w:i/>
                <w:spacing w:val="-2"/>
                <w:sz w:val="21"/>
              </w:rPr>
              <w:t>运输方法应科学，应降低运输损耗率；应优化线材下料方案；</w:t>
            </w:r>
            <w:r>
              <w:rPr>
                <w:i/>
                <w:spacing w:val="-2"/>
                <w:sz w:val="21"/>
              </w:rPr>
              <w:t>面材、块材壤贴，应做到预先总体排版；应因地制宜，采用新</w:t>
            </w:r>
            <w:r>
              <w:rPr>
                <w:i/>
                <w:spacing w:val="-3"/>
                <w:sz w:val="21"/>
              </w:rPr>
              <w:t>技术、新工艺、新设备、新材料。应提高模板、脚手架体系的</w:t>
            </w:r>
          </w:p>
          <w:p>
            <w:pPr>
              <w:pStyle w:val="TableParagraph"/>
              <w:spacing w:line="268" w:lineRule="exact"/>
              <w:ind w:left="108"/>
              <w:rPr>
                <w:i/>
                <w:sz w:val="21"/>
              </w:rPr>
            </w:pPr>
            <w:r>
              <w:rPr>
                <w:i/>
                <w:spacing w:val="-4"/>
                <w:sz w:val="21"/>
              </w:rPr>
              <w:t>周转率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4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3"/>
          </w:tcPr>
          <w:p>
            <w:pPr>
              <w:pStyle w:val="TableParagraph"/>
              <w:spacing w:before="23" w:line="278" w:lineRule="auto"/>
              <w:ind w:left="108" w:right="96"/>
              <w:jc w:val="both"/>
              <w:rPr>
                <w:i/>
                <w:sz w:val="21"/>
              </w:rPr>
            </w:pPr>
            <w:r>
              <w:rPr>
                <w:sz w:val="21"/>
              </w:rPr>
              <w:t>6.2.3</w:t>
            </w:r>
            <w:r>
              <w:rPr>
                <w:spacing w:val="-27"/>
                <w:sz w:val="21"/>
              </w:rPr>
              <w:t xml:space="preserve"> </w:t>
            </w:r>
            <w:r>
              <w:rPr>
                <w:i/>
                <w:sz w:val="21"/>
              </w:rPr>
              <w:t>资源再生利用应符合下列规定：建筑余料应合理使用；板材、块材等下脚料和撒落混凝土及砂浆应科学利用； 临建</w:t>
            </w:r>
            <w:r>
              <w:rPr>
                <w:i/>
                <w:spacing w:val="-3"/>
                <w:sz w:val="21"/>
              </w:rPr>
              <w:t>设施应充分利用既有建筑物、市政设施和周边道路；现场办公</w:t>
            </w:r>
          </w:p>
          <w:p>
            <w:pPr>
              <w:pStyle w:val="TableParagraph"/>
              <w:spacing w:line="269" w:lineRule="exact"/>
              <w:ind w:left="108"/>
              <w:rPr>
                <w:i/>
                <w:sz w:val="21"/>
              </w:rPr>
            </w:pPr>
            <w:r>
              <w:rPr>
                <w:i/>
                <w:spacing w:val="-1"/>
                <w:sz w:val="21"/>
              </w:rPr>
              <w:t>用纸应分类摆放，纸张应两面使用，废纸应回收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7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278" w:lineRule="auto"/>
              <w:ind w:left="108" w:right="128"/>
              <w:jc w:val="both"/>
              <w:rPr>
                <w:i/>
                <w:sz w:val="21"/>
              </w:rPr>
            </w:pPr>
            <w:r>
              <w:rPr>
                <w:i/>
                <w:spacing w:val="-10"/>
                <w:sz w:val="21"/>
              </w:rPr>
              <w:t>优</w:t>
            </w:r>
            <w:r>
              <w:rPr>
                <w:i/>
                <w:spacing w:val="-10"/>
                <w:sz w:val="21"/>
              </w:rPr>
              <w:t>选</w:t>
            </w:r>
            <w:r>
              <w:rPr>
                <w:i/>
                <w:spacing w:val="-10"/>
                <w:sz w:val="21"/>
              </w:rPr>
              <w:t>项</w:t>
            </w:r>
          </w:p>
        </w:tc>
        <w:tc>
          <w:tcPr>
            <w:tcW w:w="5872" w:type="dxa"/>
            <w:gridSpan w:val="3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sz w:val="21"/>
              </w:rPr>
              <w:t>6.3.1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应编制材料计划，应合理使用材料。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4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3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sz w:val="21"/>
              </w:rPr>
              <w:t>6.3.2</w:t>
            </w:r>
            <w:r>
              <w:rPr>
                <w:spacing w:val="-30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应采用建筑配件整体化或建筑构件装配化安装的施工方</w:t>
            </w:r>
          </w:p>
          <w:p>
            <w:pPr>
              <w:pStyle w:val="TableParagraph"/>
              <w:spacing w:before="43"/>
              <w:ind w:left="108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法。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3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sz w:val="21"/>
              </w:rPr>
              <w:t>6.3.3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主体结构施工应选择自动提升、顶升模架或工作平台。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3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sz w:val="21"/>
              </w:rPr>
              <w:t>6.3.4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4"/>
                <w:sz w:val="21"/>
              </w:rPr>
              <w:t xml:space="preserve">建筑材料包装物回收率应达到 </w:t>
            </w:r>
            <w:r>
              <w:rPr>
                <w:sz w:val="21"/>
              </w:rPr>
              <w:t>lOO%</w:t>
            </w:r>
            <w:r>
              <w:rPr>
                <w:i/>
                <w:spacing w:val="-10"/>
                <w:sz w:val="21"/>
              </w:rPr>
              <w:t>。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3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sz w:val="21"/>
              </w:rPr>
              <w:t>6.3.5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2"/>
                <w:sz w:val="21"/>
              </w:rPr>
              <w:t>现场应使用预拌砂浆。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3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sz w:val="21"/>
              </w:rPr>
              <w:t>6.3.6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水平承重模板应采用早拆支撑体系。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4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2" w:type="dxa"/>
            <w:gridSpan w:val="3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sz w:val="21"/>
              </w:rPr>
              <w:t>6.3.7</w:t>
            </w:r>
            <w:r>
              <w:rPr>
                <w:spacing w:val="-30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现场临建设施、安全防护设施应定型化、工具化、标准</w:t>
            </w:r>
          </w:p>
          <w:p>
            <w:pPr>
              <w:pStyle w:val="TableParagraph"/>
              <w:spacing w:before="43"/>
              <w:ind w:left="108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化。节水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5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457" w:type="dxa"/>
          </w:tcPr>
          <w:p>
            <w:pPr>
              <w:pStyle w:val="TableParagraph"/>
              <w:spacing w:before="23" w:line="278" w:lineRule="auto"/>
              <w:ind w:left="108" w:right="128"/>
              <w:jc w:val="both"/>
              <w:rPr>
                <w:i/>
                <w:sz w:val="21"/>
              </w:rPr>
            </w:pPr>
            <w:r>
              <w:rPr>
                <w:i/>
                <w:spacing w:val="-10"/>
                <w:sz w:val="21"/>
              </w:rPr>
              <w:t>评</w:t>
            </w:r>
            <w:r>
              <w:rPr>
                <w:i/>
                <w:spacing w:val="-10"/>
                <w:sz w:val="21"/>
              </w:rPr>
              <w:t>价</w:t>
            </w:r>
            <w:r>
              <w:rPr>
                <w:i/>
                <w:spacing w:val="-10"/>
                <w:sz w:val="21"/>
              </w:rPr>
              <w:t>结</w:t>
            </w:r>
          </w:p>
          <w:p>
            <w:pPr>
              <w:pStyle w:val="TableParagraph"/>
              <w:spacing w:line="269" w:lineRule="exact"/>
              <w:ind w:left="108"/>
              <w:rPr>
                <w:i/>
                <w:sz w:val="21"/>
              </w:rPr>
            </w:pPr>
            <w:r>
              <w:rPr>
                <w:i/>
                <w:sz w:val="21"/>
              </w:rPr>
              <w:t>果</w:t>
            </w:r>
          </w:p>
        </w:tc>
        <w:tc>
          <w:tcPr>
            <w:tcW w:w="8659" w:type="dxa"/>
            <w:gridSpan w:val="6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8"/>
          <w:jc w:val="left"/>
        </w:trPr>
        <w:tc>
          <w:tcPr>
            <w:tcW w:w="457" w:type="dxa"/>
            <w:vMerge w:val="restart"/>
          </w:tcPr>
          <w:p>
            <w:pPr>
              <w:pStyle w:val="TableParagraph"/>
              <w:spacing w:before="10"/>
              <w:rPr>
                <w:sz w:val="25"/>
              </w:rPr>
            </w:pPr>
          </w:p>
          <w:p>
            <w:pPr>
              <w:pStyle w:val="TableParagraph"/>
              <w:spacing w:line="278" w:lineRule="auto"/>
              <w:ind w:left="108" w:right="128"/>
              <w:jc w:val="both"/>
              <w:rPr>
                <w:i/>
                <w:sz w:val="21"/>
              </w:rPr>
            </w:pPr>
            <w:r>
              <w:rPr>
                <w:i/>
                <w:spacing w:val="-10"/>
                <w:sz w:val="21"/>
              </w:rPr>
              <w:t>签</w:t>
            </w:r>
            <w:r>
              <w:rPr>
                <w:i/>
                <w:spacing w:val="-10"/>
                <w:sz w:val="21"/>
              </w:rPr>
              <w:t>字</w:t>
            </w:r>
            <w:r>
              <w:rPr>
                <w:i/>
                <w:spacing w:val="-10"/>
                <w:sz w:val="21"/>
              </w:rPr>
              <w:t>栏</w:t>
            </w:r>
          </w:p>
        </w:tc>
        <w:tc>
          <w:tcPr>
            <w:tcW w:w="3274" w:type="dxa"/>
            <w:gridSpan w:val="2"/>
          </w:tcPr>
          <w:p>
            <w:pPr>
              <w:pStyle w:val="TableParagraph"/>
              <w:spacing w:before="146"/>
              <w:ind w:left="1203" w:right="1193"/>
              <w:jc w:val="center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建设单位</w:t>
            </w:r>
          </w:p>
        </w:tc>
        <w:tc>
          <w:tcPr>
            <w:tcW w:w="2598" w:type="dxa"/>
          </w:tcPr>
          <w:p>
            <w:pPr>
              <w:pStyle w:val="TableParagraph"/>
              <w:spacing w:before="146"/>
              <w:ind w:left="865" w:right="855"/>
              <w:jc w:val="center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监理单位</w:t>
            </w:r>
          </w:p>
        </w:tc>
        <w:tc>
          <w:tcPr>
            <w:tcW w:w="2787" w:type="dxa"/>
            <w:gridSpan w:val="3"/>
          </w:tcPr>
          <w:p>
            <w:pPr>
              <w:pStyle w:val="TableParagraph"/>
              <w:spacing w:before="146"/>
              <w:ind w:left="959" w:right="949"/>
              <w:jc w:val="center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施工单位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83"/>
          <w:jc w:val="left"/>
        </w:trPr>
        <w:tc>
          <w:tcPr>
            <w:tcW w:w="45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74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9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87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headerReference w:type="default" r:id="rId22"/>
          <w:footerReference w:type="default" r:id="rId23"/>
          <w:pgSz w:w="11910" w:h="16840"/>
          <w:pgMar w:top="1120" w:right="1140" w:bottom="1380" w:left="1140" w:header="934" w:footer="1198"/>
          <w:pgNumType w:start="10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5"/>
        </w:rPr>
      </w:pPr>
    </w:p>
    <w:tbl>
      <w:tblPr>
        <w:tblStyle w:val="TableNormal5"/>
        <w:tblW w:w="0" w:type="auto"/>
        <w:jc w:val="left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5"/>
        <w:gridCol w:w="1293"/>
        <w:gridCol w:w="1745"/>
        <w:gridCol w:w="2620"/>
        <w:gridCol w:w="215"/>
        <w:gridCol w:w="1212"/>
        <w:gridCol w:w="706"/>
        <w:gridCol w:w="870"/>
      </w:tblGrid>
      <w:tr>
        <w:tblPrEx>
          <w:tblW w:w="0" w:type="auto"/>
          <w:jc w:val="left"/>
          <w:tblInd w:w="34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1748" w:type="dxa"/>
            <w:gridSpan w:val="2"/>
            <w:vMerge w:val="restart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453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工程名称</w:t>
            </w:r>
          </w:p>
        </w:tc>
        <w:tc>
          <w:tcPr>
            <w:tcW w:w="4580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2" w:type="dxa"/>
          </w:tcPr>
          <w:p>
            <w:pPr>
              <w:pStyle w:val="TableParagraph"/>
              <w:spacing w:before="23"/>
              <w:ind w:left="171" w:right="162"/>
              <w:jc w:val="center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编号</w:t>
            </w:r>
          </w:p>
        </w:tc>
        <w:tc>
          <w:tcPr>
            <w:tcW w:w="1576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174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80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12" w:type="dxa"/>
          </w:tcPr>
          <w:p>
            <w:pPr>
              <w:pStyle w:val="TableParagraph"/>
              <w:spacing w:before="23"/>
              <w:ind w:left="171" w:right="162"/>
              <w:jc w:val="center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日期</w:t>
            </w:r>
          </w:p>
        </w:tc>
        <w:tc>
          <w:tcPr>
            <w:tcW w:w="1576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1748" w:type="dxa"/>
            <w:gridSpan w:val="2"/>
          </w:tcPr>
          <w:p>
            <w:pPr>
              <w:pStyle w:val="TableParagraph"/>
              <w:spacing w:before="23"/>
              <w:ind w:left="453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施工单位</w:t>
            </w:r>
          </w:p>
        </w:tc>
        <w:tc>
          <w:tcPr>
            <w:tcW w:w="4580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2" w:type="dxa"/>
          </w:tcPr>
          <w:p>
            <w:pPr>
              <w:pStyle w:val="TableParagraph"/>
              <w:spacing w:before="23"/>
              <w:ind w:left="171" w:right="162"/>
              <w:jc w:val="center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施工阶段</w:t>
            </w:r>
          </w:p>
        </w:tc>
        <w:tc>
          <w:tcPr>
            <w:tcW w:w="1576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1748" w:type="dxa"/>
            <w:gridSpan w:val="2"/>
          </w:tcPr>
          <w:p>
            <w:pPr>
              <w:pStyle w:val="TableParagraph"/>
              <w:spacing w:before="23"/>
              <w:ind w:left="453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评价指标</w:t>
            </w:r>
          </w:p>
        </w:tc>
        <w:tc>
          <w:tcPr>
            <w:tcW w:w="4580" w:type="dxa"/>
            <w:gridSpan w:val="3"/>
          </w:tcPr>
          <w:p>
            <w:pPr>
              <w:pStyle w:val="TableParagraph"/>
              <w:spacing w:before="23"/>
              <w:ind w:left="1030"/>
              <w:rPr>
                <w:i/>
                <w:sz w:val="21"/>
              </w:rPr>
            </w:pPr>
            <w:r>
              <w:rPr>
                <w:i/>
                <w:spacing w:val="-1"/>
                <w:sz w:val="21"/>
              </w:rPr>
              <w:t>节水与水资源利用评价指标</w:t>
            </w:r>
          </w:p>
        </w:tc>
        <w:tc>
          <w:tcPr>
            <w:tcW w:w="1212" w:type="dxa"/>
          </w:tcPr>
          <w:p>
            <w:pPr>
              <w:pStyle w:val="TableParagraph"/>
              <w:spacing w:before="23"/>
              <w:ind w:left="171" w:right="162"/>
              <w:jc w:val="center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施工日期</w:t>
            </w:r>
          </w:p>
        </w:tc>
        <w:tc>
          <w:tcPr>
            <w:tcW w:w="1576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455" w:type="dxa"/>
            <w:vMerge w:val="restart"/>
          </w:tcPr>
          <w:p>
            <w:pPr>
              <w:pStyle w:val="TableParagraph"/>
              <w:spacing w:before="33" w:line="278" w:lineRule="auto"/>
              <w:ind w:left="108" w:right="126"/>
              <w:rPr>
                <w:i/>
                <w:sz w:val="21"/>
              </w:rPr>
            </w:pPr>
            <w:r>
              <w:rPr>
                <w:i/>
                <w:spacing w:val="-10"/>
                <w:sz w:val="21"/>
              </w:rPr>
              <w:t>控</w:t>
            </w:r>
            <w:r>
              <w:rPr>
                <w:i/>
                <w:spacing w:val="-10"/>
                <w:sz w:val="21"/>
              </w:rPr>
              <w:t>制</w:t>
            </w:r>
          </w:p>
          <w:p>
            <w:pPr>
              <w:pStyle w:val="TableParagraph"/>
              <w:spacing w:line="269" w:lineRule="exact"/>
              <w:ind w:left="108"/>
              <w:rPr>
                <w:i/>
                <w:sz w:val="21"/>
              </w:rPr>
            </w:pPr>
            <w:r>
              <w:rPr>
                <w:i/>
                <w:sz w:val="21"/>
              </w:rPr>
              <w:t>项</w:t>
            </w:r>
          </w:p>
        </w:tc>
        <w:tc>
          <w:tcPr>
            <w:tcW w:w="7085" w:type="dxa"/>
            <w:gridSpan w:val="5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标准编号及标准要求</w:t>
            </w:r>
          </w:p>
        </w:tc>
        <w:tc>
          <w:tcPr>
            <w:tcW w:w="1576" w:type="dxa"/>
            <w:gridSpan w:val="2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评价结论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4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5" w:type="dxa"/>
            <w:gridSpan w:val="5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sz w:val="21"/>
              </w:rPr>
              <w:t>7.1.1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签订标段分包或劳务合同时，应将节水指标纳八合同条款。</w:t>
            </w:r>
          </w:p>
        </w:tc>
        <w:tc>
          <w:tcPr>
            <w:tcW w:w="1576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4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5" w:type="dxa"/>
            <w:gridSpan w:val="5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sz w:val="21"/>
              </w:rPr>
              <w:t>7.1.2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2"/>
                <w:sz w:val="21"/>
              </w:rPr>
              <w:t>应有计量考核记录。</w:t>
            </w:r>
          </w:p>
        </w:tc>
        <w:tc>
          <w:tcPr>
            <w:tcW w:w="1576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455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0"/>
              <w:rPr>
                <w:sz w:val="27"/>
              </w:rPr>
            </w:pPr>
          </w:p>
          <w:p>
            <w:pPr>
              <w:pStyle w:val="TableParagraph"/>
              <w:spacing w:line="278" w:lineRule="auto"/>
              <w:ind w:left="108" w:right="126"/>
              <w:jc w:val="both"/>
              <w:rPr>
                <w:i/>
                <w:sz w:val="21"/>
              </w:rPr>
            </w:pPr>
            <w:r>
              <w:rPr>
                <w:i/>
                <w:spacing w:val="-10"/>
                <w:sz w:val="21"/>
              </w:rPr>
              <w:t>—</w:t>
            </w:r>
            <w:r>
              <w:rPr>
                <w:i/>
                <w:spacing w:val="-10"/>
                <w:sz w:val="21"/>
              </w:rPr>
              <w:t>般</w:t>
            </w:r>
            <w:r>
              <w:rPr>
                <w:i/>
                <w:spacing w:val="-10"/>
                <w:sz w:val="21"/>
              </w:rPr>
              <w:t>项</w:t>
            </w:r>
          </w:p>
        </w:tc>
        <w:tc>
          <w:tcPr>
            <w:tcW w:w="5873" w:type="dxa"/>
            <w:gridSpan w:val="4"/>
          </w:tcPr>
          <w:p>
            <w:pPr>
              <w:pStyle w:val="TableParagraph"/>
              <w:spacing w:before="179"/>
              <w:ind w:left="1980" w:right="1970"/>
              <w:jc w:val="center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标准编号及标准要求</w:t>
            </w:r>
          </w:p>
        </w:tc>
        <w:tc>
          <w:tcPr>
            <w:tcW w:w="1212" w:type="dxa"/>
          </w:tcPr>
          <w:p>
            <w:pPr>
              <w:pStyle w:val="TableParagraph"/>
              <w:spacing w:before="179"/>
              <w:ind w:left="171" w:right="162"/>
              <w:jc w:val="center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计分标准</w:t>
            </w:r>
          </w:p>
        </w:tc>
        <w:tc>
          <w:tcPr>
            <w:tcW w:w="706" w:type="dxa"/>
          </w:tcPr>
          <w:p>
            <w:pPr>
              <w:pStyle w:val="TableParagraph"/>
              <w:spacing w:before="23"/>
              <w:ind w:left="143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应得</w:t>
            </w:r>
          </w:p>
          <w:p>
            <w:pPr>
              <w:pStyle w:val="TableParagraph"/>
              <w:spacing w:before="43"/>
              <w:ind w:left="143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分数</w:t>
            </w:r>
          </w:p>
        </w:tc>
        <w:tc>
          <w:tcPr>
            <w:tcW w:w="870" w:type="dxa"/>
          </w:tcPr>
          <w:p>
            <w:pPr>
              <w:pStyle w:val="TableParagraph"/>
              <w:spacing w:before="23"/>
              <w:ind w:left="105" w:right="96"/>
              <w:jc w:val="center"/>
              <w:rPr>
                <w:i/>
                <w:sz w:val="21"/>
              </w:rPr>
            </w:pPr>
            <w:r>
              <w:rPr>
                <w:i/>
                <w:spacing w:val="-4"/>
                <w:sz w:val="21"/>
              </w:rPr>
              <w:t>实得分</w:t>
            </w:r>
          </w:p>
          <w:p>
            <w:pPr>
              <w:pStyle w:val="TableParagraph"/>
              <w:spacing w:before="43"/>
              <w:ind w:left="9"/>
              <w:jc w:val="center"/>
              <w:rPr>
                <w:i/>
                <w:sz w:val="21"/>
              </w:rPr>
            </w:pPr>
            <w:r>
              <w:rPr>
                <w:i/>
                <w:sz w:val="21"/>
              </w:rPr>
              <w:t>数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4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3" w:type="dxa"/>
            <w:gridSpan w:val="4"/>
          </w:tcPr>
          <w:p>
            <w:pPr>
              <w:pStyle w:val="TableParagraph"/>
              <w:tabs>
                <w:tab w:val="left" w:pos="1052"/>
              </w:tabs>
              <w:spacing w:before="23" w:line="278" w:lineRule="auto"/>
              <w:ind w:left="108" w:right="-29"/>
              <w:rPr>
                <w:i/>
                <w:sz w:val="21"/>
              </w:rPr>
            </w:pPr>
            <w:r>
              <w:rPr>
                <w:sz w:val="21"/>
              </w:rPr>
              <w:t>7</w:t>
            </w:r>
            <w:r>
              <w:rPr>
                <w:i/>
                <w:sz w:val="21"/>
              </w:rPr>
              <w:t>．</w:t>
            </w:r>
            <w:r>
              <w:rPr>
                <w:sz w:val="21"/>
              </w:rPr>
              <w:t>2</w:t>
            </w:r>
            <w:r>
              <w:rPr>
                <w:i/>
                <w:sz w:val="21"/>
              </w:rPr>
              <w:t>．</w:t>
            </w:r>
            <w:r>
              <w:rPr>
                <w:sz w:val="21"/>
              </w:rPr>
              <w:t>1</w:t>
              <w:tab/>
            </w:r>
            <w:r>
              <w:rPr>
                <w:i/>
                <w:spacing w:val="-2"/>
                <w:sz w:val="21"/>
              </w:rPr>
              <w:t>节约用水应符合下列规定： 应根据工程特点，制定</w:t>
            </w:r>
            <w:r>
              <w:rPr>
                <w:i/>
                <w:spacing w:val="-4"/>
                <w:sz w:val="21"/>
              </w:rPr>
              <w:t>用水定额</w:t>
            </w:r>
            <w:r>
              <w:rPr>
                <w:sz w:val="21"/>
              </w:rPr>
              <w:t>;</w:t>
            </w:r>
            <w:r>
              <w:rPr>
                <w:i/>
                <w:spacing w:val="-11"/>
                <w:sz w:val="21"/>
              </w:rPr>
              <w:t>施工现场供、排水系统应合理适用</w:t>
            </w:r>
            <w:r>
              <w:rPr>
                <w:sz w:val="21"/>
              </w:rPr>
              <w:t>;</w:t>
            </w:r>
            <w:r>
              <w:rPr>
                <w:i/>
                <w:sz w:val="21"/>
              </w:rPr>
              <w:t>施工现场办公医、</w:t>
            </w:r>
            <w:r>
              <w:rPr>
                <w:i/>
                <w:spacing w:val="4"/>
                <w:sz w:val="21"/>
              </w:rPr>
              <w:t xml:space="preserve">生活区的生活用水应采用节水器具，节水器具配置牢应达到 </w:t>
            </w:r>
            <w:r>
              <w:rPr>
                <w:spacing w:val="4"/>
                <w:sz w:val="21"/>
              </w:rPr>
              <w:t>l00%;</w:t>
            </w:r>
            <w:r>
              <w:rPr>
                <w:i/>
                <w:spacing w:val="2"/>
                <w:sz w:val="21"/>
              </w:rPr>
              <w:t>施工现场的生活用水与工程用水应分别计量；施工中应</w:t>
            </w:r>
            <w:r>
              <w:rPr>
                <w:i/>
                <w:spacing w:val="-9"/>
                <w:sz w:val="21"/>
              </w:rPr>
              <w:t>采用先进的节水施工工艺；混凝土养护和砂浆搅拌用水应合理，</w:t>
            </w:r>
          </w:p>
          <w:p>
            <w:pPr>
              <w:pStyle w:val="TableParagraph"/>
              <w:spacing w:line="268" w:lineRule="exact"/>
              <w:ind w:left="108"/>
              <w:rPr>
                <w:i/>
                <w:sz w:val="21"/>
              </w:rPr>
            </w:pPr>
            <w:r>
              <w:rPr>
                <w:i/>
                <w:spacing w:val="-1"/>
                <w:sz w:val="21"/>
              </w:rPr>
              <w:t>应有节水措施；管网和用水器具不应有渗漏。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4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3" w:type="dxa"/>
            <w:gridSpan w:val="4"/>
          </w:tcPr>
          <w:p>
            <w:pPr>
              <w:pStyle w:val="TableParagraph"/>
              <w:tabs>
                <w:tab w:val="left" w:pos="842"/>
              </w:tabs>
              <w:spacing w:before="23"/>
              <w:ind w:left="108" w:right="-15"/>
              <w:rPr>
                <w:i/>
                <w:sz w:val="21"/>
              </w:rPr>
            </w:pPr>
            <w:r>
              <w:rPr>
                <w:spacing w:val="-2"/>
                <w:sz w:val="21"/>
              </w:rPr>
              <w:t>7.2.2</w:t>
            </w:r>
            <w:r>
              <w:rPr>
                <w:sz w:val="21"/>
              </w:rPr>
              <w:tab/>
            </w:r>
            <w:r>
              <w:rPr>
                <w:i/>
                <w:spacing w:val="-3"/>
                <w:sz w:val="21"/>
              </w:rPr>
              <w:t>水资源的利用应符合下列规定：基坑降水应储存使用；</w:t>
            </w:r>
          </w:p>
          <w:p>
            <w:pPr>
              <w:pStyle w:val="TableParagraph"/>
              <w:spacing w:before="43"/>
              <w:ind w:left="108"/>
              <w:rPr>
                <w:i/>
                <w:sz w:val="21"/>
              </w:rPr>
            </w:pPr>
            <w:r>
              <w:rPr>
                <w:i/>
                <w:spacing w:val="-1"/>
                <w:sz w:val="21"/>
              </w:rPr>
              <w:t>冲洗现场机具、设备、车辆用水，应设立循环用水装置；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5" w:type="dxa"/>
            <w:vMerge w:val="restart"/>
          </w:tcPr>
          <w:p>
            <w:pPr>
              <w:pStyle w:val="TableParagraph"/>
              <w:spacing w:before="9"/>
              <w:rPr>
                <w:sz w:val="27"/>
              </w:rPr>
            </w:pPr>
          </w:p>
          <w:p>
            <w:pPr>
              <w:pStyle w:val="TableParagraph"/>
              <w:spacing w:line="278" w:lineRule="auto"/>
              <w:ind w:left="108" w:right="126"/>
              <w:jc w:val="both"/>
              <w:rPr>
                <w:i/>
                <w:sz w:val="21"/>
              </w:rPr>
            </w:pPr>
            <w:r>
              <w:rPr>
                <w:i/>
                <w:spacing w:val="-10"/>
                <w:sz w:val="21"/>
              </w:rPr>
              <w:t>优</w:t>
            </w:r>
            <w:r>
              <w:rPr>
                <w:i/>
                <w:spacing w:val="-10"/>
                <w:sz w:val="21"/>
              </w:rPr>
              <w:t>选</w:t>
            </w:r>
            <w:r>
              <w:rPr>
                <w:i/>
                <w:spacing w:val="-10"/>
                <w:sz w:val="21"/>
              </w:rPr>
              <w:t>项</w:t>
            </w:r>
          </w:p>
        </w:tc>
        <w:tc>
          <w:tcPr>
            <w:tcW w:w="5873" w:type="dxa"/>
            <w:gridSpan w:val="4"/>
          </w:tcPr>
          <w:p>
            <w:pPr>
              <w:pStyle w:val="TableParagraph"/>
              <w:tabs>
                <w:tab w:val="left" w:pos="842"/>
              </w:tabs>
              <w:spacing w:before="23"/>
              <w:ind w:left="108"/>
              <w:rPr>
                <w:i/>
                <w:sz w:val="21"/>
              </w:rPr>
            </w:pPr>
            <w:r>
              <w:rPr>
                <w:spacing w:val="-2"/>
                <w:sz w:val="21"/>
              </w:rPr>
              <w:t>7.3.1</w:t>
            </w:r>
            <w:r>
              <w:rPr>
                <w:sz w:val="21"/>
              </w:rPr>
              <w:tab/>
            </w:r>
            <w:r>
              <w:rPr>
                <w:i/>
                <w:spacing w:val="-1"/>
                <w:sz w:val="21"/>
              </w:rPr>
              <w:t>施工现场应建立基坑降水再利用的收集处理系统。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3" w:type="dxa"/>
            <w:gridSpan w:val="4"/>
          </w:tcPr>
          <w:p>
            <w:pPr>
              <w:pStyle w:val="TableParagraph"/>
              <w:tabs>
                <w:tab w:val="left" w:pos="947"/>
              </w:tabs>
              <w:spacing w:before="23"/>
              <w:ind w:left="108"/>
              <w:rPr>
                <w:i/>
                <w:sz w:val="21"/>
              </w:rPr>
            </w:pPr>
            <w:r>
              <w:rPr>
                <w:spacing w:val="-2"/>
                <w:sz w:val="21"/>
              </w:rPr>
              <w:t>7</w:t>
            </w:r>
            <w:r>
              <w:rPr>
                <w:i/>
                <w:spacing w:val="-2"/>
                <w:sz w:val="21"/>
              </w:rPr>
              <w:t>．</w:t>
            </w:r>
            <w:r>
              <w:rPr>
                <w:spacing w:val="-2"/>
                <w:sz w:val="21"/>
              </w:rPr>
              <w:t>3.2</w:t>
            </w:r>
            <w:r>
              <w:rPr>
                <w:sz w:val="21"/>
              </w:rPr>
              <w:tab/>
            </w:r>
            <w:r>
              <w:rPr>
                <w:i/>
                <w:spacing w:val="-1"/>
                <w:sz w:val="21"/>
              </w:rPr>
              <w:t>施工现场应有雨水收集利用的设施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3" w:type="dxa"/>
            <w:gridSpan w:val="4"/>
          </w:tcPr>
          <w:p>
            <w:pPr>
              <w:pStyle w:val="TableParagraph"/>
              <w:tabs>
                <w:tab w:val="left" w:pos="842"/>
              </w:tabs>
              <w:spacing w:before="23"/>
              <w:ind w:left="108"/>
              <w:rPr>
                <w:i/>
                <w:sz w:val="21"/>
              </w:rPr>
            </w:pPr>
            <w:r>
              <w:rPr>
                <w:spacing w:val="-2"/>
                <w:sz w:val="21"/>
              </w:rPr>
              <w:t>7.3.3</w:t>
            </w:r>
            <w:r>
              <w:rPr>
                <w:sz w:val="21"/>
              </w:rPr>
              <w:tab/>
            </w:r>
            <w:r>
              <w:rPr>
                <w:i/>
                <w:spacing w:val="-1"/>
                <w:sz w:val="21"/>
              </w:rPr>
              <w:t>喷洒路面、绿化浇灌不应使用自来水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3" w:type="dxa"/>
            <w:gridSpan w:val="4"/>
          </w:tcPr>
          <w:p>
            <w:pPr>
              <w:pStyle w:val="TableParagraph"/>
              <w:tabs>
                <w:tab w:val="left" w:pos="842"/>
              </w:tabs>
              <w:spacing w:before="23"/>
              <w:ind w:left="108"/>
              <w:rPr>
                <w:i/>
                <w:sz w:val="21"/>
              </w:rPr>
            </w:pPr>
            <w:r>
              <w:rPr>
                <w:spacing w:val="-2"/>
                <w:sz w:val="21"/>
              </w:rPr>
              <w:t>7.3.4</w:t>
            </w:r>
            <w:r>
              <w:rPr>
                <w:sz w:val="21"/>
              </w:rPr>
              <w:tab/>
            </w:r>
            <w:r>
              <w:rPr>
                <w:i/>
                <w:spacing w:val="-1"/>
                <w:sz w:val="21"/>
              </w:rPr>
              <w:t>生活、生产污水应处理并使用。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73" w:type="dxa"/>
            <w:gridSpan w:val="4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sz w:val="21"/>
              </w:rPr>
              <w:t xml:space="preserve">7.3.5 </w:t>
            </w:r>
            <w:r>
              <w:rPr>
                <w:i/>
                <w:spacing w:val="-1"/>
                <w:sz w:val="21"/>
              </w:rPr>
              <w:t>现场应使用经检验合格的非传统水源。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082"/>
          <w:jc w:val="left"/>
        </w:trPr>
        <w:tc>
          <w:tcPr>
            <w:tcW w:w="45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 w:line="278" w:lineRule="auto"/>
              <w:ind w:left="108" w:right="126"/>
              <w:jc w:val="both"/>
              <w:rPr>
                <w:i/>
                <w:sz w:val="21"/>
              </w:rPr>
            </w:pPr>
            <w:r>
              <w:rPr>
                <w:i/>
                <w:spacing w:val="-10"/>
                <w:sz w:val="21"/>
              </w:rPr>
              <w:t>评</w:t>
            </w:r>
            <w:r>
              <w:rPr>
                <w:i/>
                <w:spacing w:val="-10"/>
                <w:sz w:val="21"/>
              </w:rPr>
              <w:t>价</w:t>
            </w:r>
            <w:r>
              <w:rPr>
                <w:i/>
                <w:spacing w:val="-10"/>
                <w:sz w:val="21"/>
              </w:rPr>
              <w:t>结</w:t>
            </w:r>
            <w:r>
              <w:rPr>
                <w:i/>
                <w:spacing w:val="-10"/>
                <w:sz w:val="21"/>
              </w:rPr>
              <w:t>果</w:t>
            </w:r>
          </w:p>
        </w:tc>
        <w:tc>
          <w:tcPr>
            <w:tcW w:w="8661" w:type="dxa"/>
            <w:gridSpan w:val="7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455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2"/>
              </w:rPr>
            </w:pPr>
          </w:p>
          <w:p>
            <w:pPr>
              <w:pStyle w:val="TableParagraph"/>
              <w:spacing w:before="1" w:line="278" w:lineRule="auto"/>
              <w:ind w:left="108" w:right="126"/>
              <w:jc w:val="both"/>
              <w:rPr>
                <w:i/>
                <w:sz w:val="21"/>
              </w:rPr>
            </w:pPr>
            <w:r>
              <w:rPr>
                <w:i/>
                <w:spacing w:val="-10"/>
                <w:sz w:val="21"/>
              </w:rPr>
              <w:t>签</w:t>
            </w:r>
            <w:r>
              <w:rPr>
                <w:i/>
                <w:spacing w:val="-10"/>
                <w:sz w:val="21"/>
              </w:rPr>
              <w:t>字</w:t>
            </w:r>
            <w:r>
              <w:rPr>
                <w:i/>
                <w:spacing w:val="-10"/>
                <w:sz w:val="21"/>
              </w:rPr>
              <w:t>栏</w:t>
            </w:r>
          </w:p>
        </w:tc>
        <w:tc>
          <w:tcPr>
            <w:tcW w:w="3038" w:type="dxa"/>
            <w:gridSpan w:val="2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建设单位</w:t>
            </w:r>
          </w:p>
        </w:tc>
        <w:tc>
          <w:tcPr>
            <w:tcW w:w="2620" w:type="dxa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监理单位</w:t>
            </w:r>
          </w:p>
        </w:tc>
        <w:tc>
          <w:tcPr>
            <w:tcW w:w="3003" w:type="dxa"/>
            <w:gridSpan w:val="4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施工单位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63"/>
          <w:jc w:val="left"/>
        </w:trPr>
        <w:tc>
          <w:tcPr>
            <w:tcW w:w="4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38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3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headerReference w:type="default" r:id="rId24"/>
          <w:footerReference w:type="default" r:id="rId25"/>
          <w:pgSz w:w="11910" w:h="16840"/>
          <w:pgMar w:top="1120" w:right="1140" w:bottom="1380" w:left="1140" w:header="934" w:footer="1198"/>
          <w:pgNumType w:start="11"/>
          <w:cols w:space="708"/>
        </w:sectPr>
      </w:pPr>
    </w:p>
    <w:p>
      <w:pPr>
        <w:pStyle w:val="BodyText"/>
        <w:spacing w:before="1"/>
        <w:rPr>
          <w:sz w:val="22"/>
        </w:rPr>
      </w:pPr>
    </w:p>
    <w:tbl>
      <w:tblPr>
        <w:tblStyle w:val="TableNormal6"/>
        <w:tblW w:w="0" w:type="auto"/>
        <w:jc w:val="left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1481"/>
        <w:gridCol w:w="1502"/>
        <w:gridCol w:w="2252"/>
        <w:gridCol w:w="709"/>
        <w:gridCol w:w="974"/>
        <w:gridCol w:w="777"/>
        <w:gridCol w:w="746"/>
      </w:tblGrid>
      <w:tr>
        <w:tblPrEx>
          <w:tblW w:w="0" w:type="auto"/>
          <w:jc w:val="left"/>
          <w:tblInd w:w="34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156" w:type="dxa"/>
            <w:gridSpan w:val="2"/>
            <w:vMerge w:val="restart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ind w:left="108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工程名称</w:t>
            </w:r>
          </w:p>
        </w:tc>
        <w:tc>
          <w:tcPr>
            <w:tcW w:w="3754" w:type="dxa"/>
            <w:gridSpan w:val="2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3" w:type="dxa"/>
            <w:gridSpan w:val="2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编号</w:t>
            </w:r>
          </w:p>
        </w:tc>
        <w:tc>
          <w:tcPr>
            <w:tcW w:w="152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15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54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83" w:type="dxa"/>
            <w:gridSpan w:val="2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日期</w:t>
            </w:r>
          </w:p>
        </w:tc>
        <w:tc>
          <w:tcPr>
            <w:tcW w:w="152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156" w:type="dxa"/>
            <w:gridSpan w:val="2"/>
          </w:tcPr>
          <w:p>
            <w:pPr>
              <w:pStyle w:val="TableParagraph"/>
              <w:spacing w:before="23"/>
              <w:ind w:left="658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施工单位</w:t>
            </w:r>
          </w:p>
        </w:tc>
        <w:tc>
          <w:tcPr>
            <w:tcW w:w="3754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3" w:type="dxa"/>
            <w:gridSpan w:val="2"/>
          </w:tcPr>
          <w:p>
            <w:pPr>
              <w:pStyle w:val="TableParagraph"/>
              <w:spacing w:before="23"/>
              <w:ind w:left="421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施工阶段</w:t>
            </w:r>
          </w:p>
        </w:tc>
        <w:tc>
          <w:tcPr>
            <w:tcW w:w="152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156" w:type="dxa"/>
            <w:gridSpan w:val="2"/>
          </w:tcPr>
          <w:p>
            <w:pPr>
              <w:pStyle w:val="TableParagraph"/>
              <w:spacing w:before="23"/>
              <w:ind w:left="658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评价指标</w:t>
            </w:r>
          </w:p>
        </w:tc>
        <w:tc>
          <w:tcPr>
            <w:tcW w:w="3754" w:type="dxa"/>
            <w:gridSpan w:val="2"/>
          </w:tcPr>
          <w:p>
            <w:pPr>
              <w:pStyle w:val="TableParagraph"/>
              <w:spacing w:before="23"/>
              <w:ind w:left="722"/>
              <w:rPr>
                <w:i/>
                <w:sz w:val="21"/>
              </w:rPr>
            </w:pPr>
            <w:r>
              <w:rPr>
                <w:i/>
                <w:spacing w:val="-1"/>
                <w:sz w:val="21"/>
              </w:rPr>
              <w:t>节能与能源利用评价指标</w:t>
            </w:r>
          </w:p>
        </w:tc>
        <w:tc>
          <w:tcPr>
            <w:tcW w:w="1683" w:type="dxa"/>
            <w:gridSpan w:val="2"/>
          </w:tcPr>
          <w:p>
            <w:pPr>
              <w:pStyle w:val="TableParagraph"/>
              <w:spacing w:before="23"/>
              <w:ind w:left="421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施工日期</w:t>
            </w:r>
          </w:p>
        </w:tc>
        <w:tc>
          <w:tcPr>
            <w:tcW w:w="152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675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49" w:line="278" w:lineRule="auto"/>
              <w:ind w:left="108" w:right="95"/>
              <w:rPr>
                <w:i/>
                <w:sz w:val="21"/>
              </w:rPr>
            </w:pPr>
            <w:r>
              <w:rPr>
                <w:i/>
                <w:spacing w:val="14"/>
                <w:sz w:val="21"/>
              </w:rPr>
              <w:t>控制</w:t>
            </w:r>
            <w:r>
              <w:rPr>
                <w:i/>
                <w:spacing w:val="-10"/>
                <w:sz w:val="21"/>
              </w:rPr>
              <w:t>项</w:t>
            </w:r>
          </w:p>
        </w:tc>
        <w:tc>
          <w:tcPr>
            <w:tcW w:w="6918" w:type="dxa"/>
            <w:gridSpan w:val="5"/>
          </w:tcPr>
          <w:p>
            <w:pPr>
              <w:pStyle w:val="TableParagraph"/>
              <w:spacing w:before="23"/>
              <w:ind w:left="2503" w:right="2493"/>
              <w:jc w:val="center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标准编号及标准要求</w:t>
            </w:r>
          </w:p>
        </w:tc>
        <w:tc>
          <w:tcPr>
            <w:tcW w:w="1523" w:type="dxa"/>
            <w:gridSpan w:val="2"/>
          </w:tcPr>
          <w:p>
            <w:pPr>
              <w:pStyle w:val="TableParagraph"/>
              <w:spacing w:before="23"/>
              <w:ind w:left="341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评价结论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8" w:type="dxa"/>
            <w:gridSpan w:val="5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sz w:val="21"/>
              </w:rPr>
              <w:t>8.1.1</w:t>
            </w:r>
            <w:r>
              <w:rPr>
                <w:spacing w:val="-25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对施工现场的生产、生活、办公和主要耗能施工设备应设有节能的</w:t>
            </w:r>
          </w:p>
          <w:p>
            <w:pPr>
              <w:pStyle w:val="TableParagraph"/>
              <w:spacing w:before="43"/>
              <w:ind w:left="108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控制措施。</w:t>
            </w:r>
          </w:p>
        </w:tc>
        <w:tc>
          <w:tcPr>
            <w:tcW w:w="152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8" w:type="dxa"/>
            <w:gridSpan w:val="5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sz w:val="21"/>
              </w:rPr>
              <w:t>8.1.2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对主要耗能施工设备应定期进行耗能计量核算。</w:t>
            </w:r>
          </w:p>
        </w:tc>
        <w:tc>
          <w:tcPr>
            <w:tcW w:w="152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8" w:type="dxa"/>
            <w:gridSpan w:val="5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sz w:val="21"/>
              </w:rPr>
              <w:t>8.1.3</w:t>
            </w:r>
            <w:r>
              <w:rPr>
                <w:spacing w:val="33"/>
                <w:sz w:val="21"/>
              </w:rPr>
              <w:t xml:space="preserve">  </w:t>
            </w:r>
            <w:r>
              <w:rPr>
                <w:i/>
                <w:spacing w:val="-1"/>
                <w:sz w:val="21"/>
              </w:rPr>
              <w:t>国家、行业、地方政府明令淘汰的施工设备、机具和产品不应使</w:t>
            </w:r>
          </w:p>
          <w:p>
            <w:pPr>
              <w:pStyle w:val="TableParagraph"/>
              <w:spacing w:before="43"/>
              <w:ind w:left="108"/>
              <w:rPr>
                <w:i/>
                <w:sz w:val="21"/>
              </w:rPr>
            </w:pPr>
            <w:r>
              <w:rPr>
                <w:i/>
                <w:spacing w:val="-5"/>
                <w:sz w:val="21"/>
              </w:rPr>
              <w:t>用。</w:t>
            </w:r>
          </w:p>
        </w:tc>
        <w:tc>
          <w:tcPr>
            <w:tcW w:w="152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675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spacing w:line="278" w:lineRule="auto"/>
              <w:ind w:left="108" w:right="95"/>
              <w:rPr>
                <w:i/>
                <w:sz w:val="21"/>
              </w:rPr>
            </w:pPr>
            <w:r>
              <w:rPr>
                <w:i/>
                <w:spacing w:val="-25"/>
                <w:sz w:val="21"/>
              </w:rPr>
              <w:t>— 般</w:t>
            </w:r>
            <w:r>
              <w:rPr>
                <w:i/>
                <w:spacing w:val="-10"/>
                <w:sz w:val="21"/>
              </w:rPr>
              <w:t>项</w:t>
            </w:r>
          </w:p>
        </w:tc>
        <w:tc>
          <w:tcPr>
            <w:tcW w:w="5944" w:type="dxa"/>
            <w:gridSpan w:val="4"/>
          </w:tcPr>
          <w:p>
            <w:pPr>
              <w:pStyle w:val="TableParagraph"/>
              <w:spacing w:before="179"/>
              <w:ind w:left="108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标准编号及标准要求</w:t>
            </w:r>
          </w:p>
        </w:tc>
        <w:tc>
          <w:tcPr>
            <w:tcW w:w="974" w:type="dxa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i/>
                <w:spacing w:val="-19"/>
                <w:sz w:val="21"/>
              </w:rPr>
              <w:t>计 分 标</w:t>
            </w:r>
          </w:p>
          <w:p>
            <w:pPr>
              <w:pStyle w:val="TableParagraph"/>
              <w:spacing w:before="43"/>
              <w:ind w:left="108"/>
              <w:rPr>
                <w:i/>
                <w:sz w:val="21"/>
              </w:rPr>
            </w:pPr>
            <w:r>
              <w:rPr>
                <w:i/>
                <w:sz w:val="21"/>
              </w:rPr>
              <w:t>准</w:t>
            </w:r>
          </w:p>
        </w:tc>
        <w:tc>
          <w:tcPr>
            <w:tcW w:w="777" w:type="dxa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i/>
                <w:spacing w:val="8"/>
                <w:sz w:val="21"/>
              </w:rPr>
              <w:t>应 得</w:t>
            </w:r>
          </w:p>
          <w:p>
            <w:pPr>
              <w:pStyle w:val="TableParagraph"/>
              <w:spacing w:before="43"/>
              <w:ind w:left="107"/>
              <w:rPr>
                <w:i/>
                <w:sz w:val="21"/>
              </w:rPr>
            </w:pPr>
            <w:r>
              <w:rPr>
                <w:i/>
                <w:sz w:val="21"/>
              </w:rPr>
              <w:t>分</w:t>
            </w:r>
          </w:p>
        </w:tc>
        <w:tc>
          <w:tcPr>
            <w:tcW w:w="746" w:type="dxa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实 得</w:t>
            </w:r>
          </w:p>
          <w:p>
            <w:pPr>
              <w:pStyle w:val="TableParagraph"/>
              <w:spacing w:before="43"/>
              <w:ind w:left="108"/>
              <w:rPr>
                <w:i/>
                <w:sz w:val="21"/>
              </w:rPr>
            </w:pPr>
            <w:r>
              <w:rPr>
                <w:i/>
                <w:sz w:val="21"/>
              </w:rPr>
              <w:t>分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44" w:type="dxa"/>
            <w:gridSpan w:val="4"/>
          </w:tcPr>
          <w:p>
            <w:pPr>
              <w:pStyle w:val="TableParagraph"/>
              <w:spacing w:before="23" w:line="278" w:lineRule="auto"/>
              <w:ind w:left="108" w:right="-15"/>
              <w:jc w:val="both"/>
              <w:rPr>
                <w:i/>
                <w:sz w:val="21"/>
              </w:rPr>
            </w:pPr>
            <w:r>
              <w:rPr>
                <w:sz w:val="21"/>
              </w:rPr>
              <w:t>8.2.1</w:t>
            </w:r>
            <w:r>
              <w:rPr>
                <w:spacing w:val="6"/>
                <w:sz w:val="21"/>
              </w:rPr>
              <w:t xml:space="preserve">  </w:t>
            </w:r>
            <w:r>
              <w:rPr>
                <w:i/>
                <w:spacing w:val="5"/>
                <w:sz w:val="21"/>
              </w:rPr>
              <w:t>临时用电设施应符合下列规定：应采用节能型设施；</w:t>
            </w:r>
            <w:r>
              <w:rPr>
                <w:i/>
                <w:spacing w:val="1"/>
                <w:sz w:val="21"/>
              </w:rPr>
              <w:t>临时用电应设置合理，管理制度应齐全并应落实到位；现场照</w:t>
            </w:r>
            <w:r>
              <w:rPr>
                <w:i/>
                <w:spacing w:val="-5"/>
                <w:sz w:val="21"/>
              </w:rPr>
              <w:t>明设计应符合国家现行标准《施工现场临时用电安全技术规范》</w:t>
            </w:r>
          </w:p>
          <w:p>
            <w:pPr>
              <w:pStyle w:val="TableParagraph"/>
              <w:spacing w:line="269" w:lineRule="exact"/>
              <w:ind w:left="108"/>
              <w:rPr>
                <w:i/>
                <w:sz w:val="21"/>
              </w:rPr>
            </w:pPr>
            <w:r>
              <w:rPr>
                <w:sz w:val="21"/>
              </w:rPr>
              <w:t>JGJ46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3"/>
                <w:sz w:val="21"/>
              </w:rPr>
              <w:t>的规定。</w:t>
            </w:r>
          </w:p>
        </w:tc>
        <w:tc>
          <w:tcPr>
            <w:tcW w:w="9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44" w:type="dxa"/>
            <w:gridSpan w:val="4"/>
          </w:tcPr>
          <w:p>
            <w:pPr>
              <w:pStyle w:val="TableParagraph"/>
              <w:spacing w:before="23" w:line="278" w:lineRule="auto"/>
              <w:ind w:left="108" w:right="96"/>
              <w:jc w:val="both"/>
              <w:rPr>
                <w:i/>
                <w:sz w:val="21"/>
              </w:rPr>
            </w:pPr>
            <w:r>
              <w:rPr>
                <w:sz w:val="21"/>
              </w:rPr>
              <w:t xml:space="preserve">8.2.2 </w:t>
            </w:r>
            <w:r>
              <w:rPr>
                <w:i/>
                <w:sz w:val="21"/>
              </w:rPr>
              <w:t>机械设备成符合下列规定：应采用能源利用效率高的施</w:t>
            </w:r>
            <w:r>
              <w:rPr>
                <w:i/>
                <w:spacing w:val="-2"/>
                <w:sz w:val="21"/>
              </w:rPr>
              <w:t>工机械设备</w:t>
            </w:r>
            <w:r>
              <w:rPr>
                <w:spacing w:val="-2"/>
                <w:sz w:val="21"/>
              </w:rPr>
              <w:t>;</w:t>
            </w:r>
            <w:r>
              <w:rPr>
                <w:i/>
                <w:spacing w:val="-2"/>
                <w:sz w:val="21"/>
              </w:rPr>
              <w:t>施工机具资源应共享</w:t>
            </w:r>
            <w:r>
              <w:rPr>
                <w:spacing w:val="-2"/>
                <w:sz w:val="21"/>
              </w:rPr>
              <w:t>;</w:t>
            </w:r>
            <w:r>
              <w:rPr>
                <w:i/>
                <w:spacing w:val="-2"/>
                <w:sz w:val="21"/>
              </w:rPr>
              <w:t>应定期监控重点耗能设备的</w:t>
            </w:r>
            <w:r>
              <w:rPr>
                <w:i/>
                <w:spacing w:val="-2"/>
                <w:sz w:val="21"/>
              </w:rPr>
              <w:t>能源利用情况，并有记录</w:t>
            </w:r>
            <w:r>
              <w:rPr>
                <w:spacing w:val="-2"/>
                <w:sz w:val="21"/>
              </w:rPr>
              <w:t>;</w:t>
            </w:r>
            <w:r>
              <w:rPr>
                <w:i/>
                <w:spacing w:val="-3"/>
                <w:sz w:val="21"/>
              </w:rPr>
              <w:t>应建立设备技术档案，并应定期进行</w:t>
            </w:r>
          </w:p>
          <w:p>
            <w:pPr>
              <w:pStyle w:val="TableParagraph"/>
              <w:spacing w:line="269" w:lineRule="exact"/>
              <w:ind w:left="108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设备维护，保养。</w:t>
            </w:r>
          </w:p>
        </w:tc>
        <w:tc>
          <w:tcPr>
            <w:tcW w:w="9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44" w:type="dxa"/>
            <w:gridSpan w:val="4"/>
          </w:tcPr>
          <w:p>
            <w:pPr>
              <w:pStyle w:val="TableParagraph"/>
              <w:spacing w:before="23" w:line="278" w:lineRule="auto"/>
              <w:ind w:left="108" w:right="96"/>
              <w:jc w:val="both"/>
              <w:rPr>
                <w:i/>
                <w:sz w:val="21"/>
              </w:rPr>
            </w:pPr>
            <w:r>
              <w:rPr>
                <w:sz w:val="21"/>
              </w:rPr>
              <w:t>8.2.3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i/>
                <w:sz w:val="21"/>
              </w:rPr>
              <w:t>临时设施应符合下列规定： 施工临时设施应结合日照</w:t>
            </w:r>
            <w:r>
              <w:rPr>
                <w:i/>
                <w:spacing w:val="-2"/>
                <w:sz w:val="21"/>
              </w:rPr>
              <w:t>和风向等自然条件，合理采用自然采光、通风和外窗遮阳设施</w:t>
            </w:r>
            <w:r>
              <w:rPr>
                <w:spacing w:val="-2"/>
                <w:sz w:val="21"/>
              </w:rPr>
              <w:t>;</w:t>
            </w:r>
            <w:r>
              <w:rPr>
                <w:i/>
                <w:spacing w:val="-1"/>
                <w:sz w:val="21"/>
              </w:rPr>
              <w:t>临时施工用房应使用热工性能达标的复合墙体和屋面板，顶棚</w:t>
            </w:r>
          </w:p>
          <w:p>
            <w:pPr>
              <w:pStyle w:val="TableParagraph"/>
              <w:spacing w:line="269" w:lineRule="exact"/>
              <w:ind w:left="108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宜采用吊顶。</w:t>
            </w:r>
          </w:p>
        </w:tc>
        <w:tc>
          <w:tcPr>
            <w:tcW w:w="9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44" w:type="dxa"/>
            <w:gridSpan w:val="4"/>
          </w:tcPr>
          <w:p>
            <w:pPr>
              <w:pStyle w:val="TableParagraph"/>
              <w:spacing w:before="23" w:line="278" w:lineRule="auto"/>
              <w:ind w:left="108" w:right="96"/>
              <w:jc w:val="both"/>
              <w:rPr>
                <w:i/>
                <w:sz w:val="21"/>
              </w:rPr>
            </w:pPr>
            <w:r>
              <w:rPr>
                <w:sz w:val="21"/>
              </w:rPr>
              <w:t xml:space="preserve">8.2.4 </w:t>
            </w:r>
            <w:r>
              <w:rPr>
                <w:i/>
                <w:sz w:val="21"/>
              </w:rPr>
              <w:t>材料运输与施工应符合下列规定；建筑材料的选用应缩</w:t>
            </w:r>
            <w:r>
              <w:rPr>
                <w:i/>
                <w:spacing w:val="-2"/>
                <w:sz w:val="21"/>
              </w:rPr>
              <w:t>短运输距离，减少能源消耗；应采用能耗少的施工工艺；应合</w:t>
            </w:r>
            <w:r>
              <w:rPr>
                <w:i/>
                <w:spacing w:val="-1"/>
                <w:sz w:val="21"/>
              </w:rPr>
              <w:t>理安排施工工序和施工进度；应尽量减少夜间作业和冬期施工</w:t>
            </w:r>
          </w:p>
          <w:p>
            <w:pPr>
              <w:pStyle w:val="TableParagraph"/>
              <w:spacing w:line="269" w:lineRule="exact"/>
              <w:ind w:left="108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的时间。</w:t>
            </w:r>
          </w:p>
        </w:tc>
        <w:tc>
          <w:tcPr>
            <w:tcW w:w="9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675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278" w:lineRule="auto"/>
              <w:ind w:left="108" w:right="95"/>
              <w:rPr>
                <w:i/>
                <w:sz w:val="21"/>
              </w:rPr>
            </w:pPr>
            <w:r>
              <w:rPr>
                <w:i/>
                <w:spacing w:val="14"/>
                <w:sz w:val="21"/>
              </w:rPr>
              <w:t>优选</w:t>
            </w:r>
            <w:r>
              <w:rPr>
                <w:i/>
                <w:spacing w:val="-10"/>
                <w:sz w:val="21"/>
              </w:rPr>
              <w:t>项</w:t>
            </w:r>
          </w:p>
        </w:tc>
        <w:tc>
          <w:tcPr>
            <w:tcW w:w="5944" w:type="dxa"/>
            <w:gridSpan w:val="4"/>
          </w:tcPr>
          <w:p>
            <w:pPr>
              <w:pStyle w:val="TableParagraph"/>
              <w:tabs>
                <w:tab w:val="left" w:pos="842"/>
              </w:tabs>
              <w:spacing w:before="23"/>
              <w:ind w:left="108"/>
              <w:rPr>
                <w:i/>
                <w:sz w:val="21"/>
              </w:rPr>
            </w:pPr>
            <w:r>
              <w:rPr>
                <w:spacing w:val="-2"/>
                <w:sz w:val="21"/>
              </w:rPr>
              <w:t>8.3.1</w:t>
            </w:r>
            <w:r>
              <w:rPr>
                <w:sz w:val="21"/>
              </w:rPr>
              <w:tab/>
            </w:r>
            <w:r>
              <w:rPr>
                <w:i/>
                <w:spacing w:val="-5"/>
                <w:sz w:val="21"/>
              </w:rPr>
              <w:t>根据当地气候和自然资源条件，应合理利用太阳能或其</w:t>
            </w:r>
          </w:p>
          <w:p>
            <w:pPr>
              <w:pStyle w:val="TableParagraph"/>
              <w:spacing w:before="43"/>
              <w:ind w:left="108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他可再生能源。</w:t>
            </w:r>
          </w:p>
        </w:tc>
        <w:tc>
          <w:tcPr>
            <w:tcW w:w="9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44" w:type="dxa"/>
            <w:gridSpan w:val="4"/>
          </w:tcPr>
          <w:p>
            <w:pPr>
              <w:pStyle w:val="TableParagraph"/>
              <w:tabs>
                <w:tab w:val="left" w:pos="947"/>
              </w:tabs>
              <w:spacing w:before="23"/>
              <w:ind w:left="108"/>
              <w:rPr>
                <w:i/>
                <w:sz w:val="21"/>
              </w:rPr>
            </w:pPr>
            <w:r>
              <w:rPr>
                <w:spacing w:val="-2"/>
                <w:sz w:val="21"/>
              </w:rPr>
              <w:t>8.3</w:t>
            </w:r>
            <w:r>
              <w:rPr>
                <w:i/>
                <w:spacing w:val="-2"/>
                <w:sz w:val="21"/>
              </w:rPr>
              <w:t>．</w:t>
            </w:r>
            <w:r>
              <w:rPr>
                <w:spacing w:val="-2"/>
                <w:sz w:val="21"/>
              </w:rPr>
              <w:t>2</w:t>
            </w:r>
            <w:r>
              <w:rPr>
                <w:sz w:val="21"/>
              </w:rPr>
              <w:tab/>
            </w:r>
            <w:r>
              <w:rPr>
                <w:i/>
                <w:spacing w:val="-1"/>
                <w:sz w:val="21"/>
              </w:rPr>
              <w:t>临时用电设备应采用自动控制装置。</w:t>
            </w:r>
          </w:p>
        </w:tc>
        <w:tc>
          <w:tcPr>
            <w:tcW w:w="9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44" w:type="dxa"/>
            <w:gridSpan w:val="4"/>
          </w:tcPr>
          <w:p>
            <w:pPr>
              <w:pStyle w:val="TableParagraph"/>
              <w:tabs>
                <w:tab w:val="left" w:pos="842"/>
              </w:tabs>
              <w:spacing w:before="23"/>
              <w:ind w:left="108"/>
              <w:rPr>
                <w:i/>
                <w:sz w:val="21"/>
              </w:rPr>
            </w:pPr>
            <w:r>
              <w:rPr>
                <w:spacing w:val="-2"/>
                <w:sz w:val="21"/>
              </w:rPr>
              <w:t>8.3.3</w:t>
            </w:r>
            <w:r>
              <w:rPr>
                <w:sz w:val="21"/>
              </w:rPr>
              <w:tab/>
            </w:r>
            <w:r>
              <w:rPr>
                <w:i/>
                <w:spacing w:val="-5"/>
                <w:sz w:val="21"/>
              </w:rPr>
              <w:t>使用的施工设备和机具应符合国家、行业有关节能、高</w:t>
            </w:r>
          </w:p>
          <w:p>
            <w:pPr>
              <w:pStyle w:val="TableParagraph"/>
              <w:spacing w:before="43"/>
              <w:ind w:left="108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效、环保的规定。</w:t>
            </w:r>
          </w:p>
        </w:tc>
        <w:tc>
          <w:tcPr>
            <w:tcW w:w="9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675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44" w:type="dxa"/>
            <w:gridSpan w:val="4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sz w:val="21"/>
              </w:rPr>
              <w:t>8.3</w:t>
            </w:r>
            <w:r>
              <w:rPr>
                <w:i/>
                <w:sz w:val="21"/>
              </w:rPr>
              <w:t>．</w:t>
            </w:r>
            <w:r>
              <w:rPr>
                <w:sz w:val="21"/>
              </w:rPr>
              <w:t>4</w:t>
            </w:r>
            <w:r>
              <w:rPr>
                <w:spacing w:val="23"/>
                <w:sz w:val="21"/>
              </w:rPr>
              <w:t xml:space="preserve">  </w:t>
            </w:r>
            <w:r>
              <w:rPr>
                <w:i/>
                <w:spacing w:val="-1"/>
                <w:sz w:val="21"/>
              </w:rPr>
              <w:t>办公，生活和施工现场，采用节能照明灯具的数量应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i/>
                <w:spacing w:val="-18"/>
                <w:sz w:val="21"/>
              </w:rPr>
              <w:t xml:space="preserve">大于 </w:t>
            </w:r>
            <w:r>
              <w:rPr>
                <w:spacing w:val="-5"/>
                <w:sz w:val="21"/>
              </w:rPr>
              <w:t>80%</w:t>
            </w:r>
          </w:p>
        </w:tc>
        <w:tc>
          <w:tcPr>
            <w:tcW w:w="9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44" w:type="dxa"/>
            <w:gridSpan w:val="4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sz w:val="21"/>
              </w:rPr>
              <w:t>8.3.5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i/>
                <w:spacing w:val="-1"/>
                <w:sz w:val="21"/>
              </w:rPr>
              <w:t>办公、生活和施工现场用电应分别计量</w:t>
            </w:r>
          </w:p>
        </w:tc>
        <w:tc>
          <w:tcPr>
            <w:tcW w:w="9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0"/>
          <w:jc w:val="left"/>
        </w:trPr>
        <w:tc>
          <w:tcPr>
            <w:tcW w:w="675" w:type="dxa"/>
          </w:tcPr>
          <w:p>
            <w:pPr>
              <w:pStyle w:val="TableParagraph"/>
              <w:spacing w:before="96" w:line="278" w:lineRule="auto"/>
              <w:ind w:left="108" w:right="95"/>
              <w:rPr>
                <w:i/>
                <w:sz w:val="21"/>
              </w:rPr>
            </w:pPr>
            <w:r>
              <w:rPr>
                <w:i/>
                <w:spacing w:val="14"/>
                <w:sz w:val="21"/>
              </w:rPr>
              <w:t>评价</w:t>
            </w:r>
            <w:r>
              <w:rPr>
                <w:i/>
                <w:spacing w:val="-5"/>
                <w:sz w:val="21"/>
              </w:rPr>
              <w:t>结果</w:t>
            </w:r>
          </w:p>
        </w:tc>
        <w:tc>
          <w:tcPr>
            <w:tcW w:w="8441" w:type="dxa"/>
            <w:gridSpan w:val="7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675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spacing w:line="278" w:lineRule="auto"/>
              <w:ind w:left="108" w:right="95"/>
              <w:rPr>
                <w:i/>
                <w:sz w:val="21"/>
              </w:rPr>
            </w:pPr>
            <w:r>
              <w:rPr>
                <w:i/>
                <w:spacing w:val="14"/>
                <w:sz w:val="21"/>
              </w:rPr>
              <w:t>签字</w:t>
            </w:r>
            <w:r>
              <w:rPr>
                <w:i/>
                <w:spacing w:val="-10"/>
                <w:sz w:val="21"/>
              </w:rPr>
              <w:t>栏</w:t>
            </w:r>
          </w:p>
        </w:tc>
        <w:tc>
          <w:tcPr>
            <w:tcW w:w="2983" w:type="dxa"/>
            <w:gridSpan w:val="2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建设单位</w:t>
            </w:r>
          </w:p>
        </w:tc>
        <w:tc>
          <w:tcPr>
            <w:tcW w:w="2252" w:type="dxa"/>
          </w:tcPr>
          <w:p>
            <w:pPr>
              <w:pStyle w:val="TableParagraph"/>
              <w:spacing w:before="23"/>
              <w:ind w:left="107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监理单位</w:t>
            </w:r>
          </w:p>
        </w:tc>
        <w:tc>
          <w:tcPr>
            <w:tcW w:w="3206" w:type="dxa"/>
            <w:gridSpan w:val="4"/>
          </w:tcPr>
          <w:p>
            <w:pPr>
              <w:pStyle w:val="TableParagraph"/>
              <w:spacing w:before="23"/>
              <w:ind w:left="108"/>
              <w:rPr>
                <w:i/>
                <w:sz w:val="21"/>
              </w:rPr>
            </w:pPr>
            <w:r>
              <w:rPr>
                <w:i/>
                <w:spacing w:val="-3"/>
                <w:sz w:val="21"/>
              </w:rPr>
              <w:t>施工单位</w:t>
            </w:r>
          </w:p>
        </w:tc>
      </w:tr>
      <w:tr>
        <w:tblPrEx>
          <w:tblW w:w="0" w:type="auto"/>
          <w:jc w:val="left"/>
          <w:tblInd w:w="345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45"/>
          <w:jc w:val="left"/>
        </w:trPr>
        <w:tc>
          <w:tcPr>
            <w:tcW w:w="6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83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6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</w:pP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https://d.book118.com/067054006103006050</w:t>
        </w:r>
      </w:hyperlink>
    </w:p>
    <w:p>
      <w:pPr>
        <w:spacing w:after="0"/>
        <w:rPr>
          <w:rFonts w:ascii="Times New Roman"/>
          <w:sz w:val="20"/>
        </w:rPr>
      </w:pPr>
    </w:p>
    <w:sectPr>
      <w:headerReference w:type="default" r:id="rId27"/>
      <w:footerReference w:type="default" r:id="rId28"/>
      <w:pgSz w:w="11910" w:h="16840"/>
      <w:pgMar w:top="1120" w:right="1140" w:bottom="1380" w:left="1140" w:header="934" w:footer="1198"/>
      <w:pgNumType w:start="1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Microsoft YaHei UI">
    <w:altName w:val="Microsoft YaHei UI"/>
    <w:charset w:val="86"/>
    <w:family w:val="swiss"/>
    <w:pitch w:val="variable"/>
    <w:sig w:usb0="00000000" w:usb1="00000000" w:usb2="00000000" w:usb3="00000000" w:csb0="00040000" w:csb1="00000000"/>
  </w:font>
  <w:font w:name="Malgun Gothic">
    <w:altName w:val="Malgun Gothic"/>
    <w:charset w:val="00"/>
    <w:family w:val="swiss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1.5pt;height:12pt;margin-top:770.98pt;margin-left:292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1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1.5pt;height:12pt;margin-top:770.98pt;margin-left:292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2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1.5pt;height:12pt;margin-top:770.98pt;margin-left:292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3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1.5pt;height:12pt;margin-top:770.98pt;margin-left:292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4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1.5pt;height:12pt;margin-top:770.98pt;margin-left:292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5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1.5pt;height:12pt;margin-top:770.98pt;margin-left:292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6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1.5pt;height:12pt;margin-top:770.98pt;margin-left:292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z w:val="18"/>
                  </w:rP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z w:val="18"/>
                  </w:rPr>
                  <w:fldChar w:fldCharType="separate"/>
                </w:r>
                <w:r>
                  <w:rPr>
                    <w:rFonts w:ascii="Times New Roman"/>
                    <w:sz w:val="18"/>
                  </w:rPr>
                  <w:t>7</w:t>
                </w:r>
                <w:r>
                  <w:rPr>
                    <w:rFonts w:ascii="Times New Roman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6pt;height:12pt;margin-top:770.98pt;margin-left:29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8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16pt;height:12pt;margin-top:770.98pt;margin-left:29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9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6pt;height:12pt;margin-top:770.98pt;margin-left:29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16pt;height:12pt;margin-top:770.98pt;margin-left:29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11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16pt;height:12pt;margin-top:770.98pt;margin-left:29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49" style="mso-position-horizontal-relative:page;mso-position-vertical-relative:page;position:absolute;z-index:-251658240" from="73.95pt,56.45pt" to="521.35pt,56.45pt" stroked="t" strokecolor="black" strokeweight="0.5pt">
          <v:stroke dashstyle="solid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1" style="mso-position-horizontal-relative:page;mso-position-vertical-relative:page;position:absolute;z-index:-251657216" from="73.95pt,56.45pt" to="521.35pt,56.45pt" stroked="t" strokecolor="black" strokeweight="0.5pt">
          <v:stroke dashstyle="solid"/>
        </v:lin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3" style="mso-position-horizontal-relative:page;mso-position-vertical-relative:page;position:absolute;z-index:-251656192" from="73.95pt,56.45pt" to="521.35pt,56.45pt" stroked="t" strokecolor="black" strokeweight="0.5pt">
          <v:stroke dashstyle="solid"/>
        </v:lin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5" style="mso-position-horizontal-relative:page;mso-position-vertical-relative:page;position:absolute;z-index:-251655168" from="73.95pt,56.45pt" to="521.35pt,56.45pt" stroked="t" strokecolor="black" strokeweight="0.5pt">
          <v:stroke dashstyle="solid"/>
        </v:lin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7" style="mso-position-horizontal-relative:page;mso-position-vertical-relative:page;position:absolute;z-index:-251654144" from="73.95pt,56.45pt" to="521.35pt,56.45pt" stroked="t" strokecolor="black" strokeweight="0.5pt">
          <v:stroke dashstyle="solid"/>
        </v:lin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59" style="mso-position-horizontal-relative:page;mso-position-vertical-relative:page;position:absolute;z-index:-251653120" from="73.95pt,56.45pt" to="521.35pt,56.45pt" stroked="t" strokecolor="black" strokeweight="0.5pt">
          <v:stroke dashstyle="solid"/>
        </v:lin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61" style="mso-position-horizontal-relative:page;mso-position-vertical-relative:page;position:absolute;z-index:-251652096" from="73.95pt,56.45pt" to="521.35pt,56.45pt" stroked="t" strokecolor="black" strokeweight="0.5pt">
          <v:stroke dashstyle="solid"/>
        </v:lin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63" style="mso-position-horizontal-relative:page;mso-position-vertical-relative:page;position:absolute;z-index:-251651072" from="73.95pt,56.45pt" to="529.85pt,56.45pt" stroked="t" strokecolor="black" strokeweight="0.5pt">
          <v:stroke dashstyle="solid"/>
        </v:lin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65" style="mso-position-horizontal-relative:page;mso-position-vertical-relative:page;position:absolute;z-index:-251650048" from="73.95pt,56.45pt" to="529.85pt,56.45pt" stroked="t" strokecolor="black" strokeweight="0.5pt">
          <v:stroke dashstyle="solid"/>
        </v:lin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67" style="mso-position-horizontal-relative:page;mso-position-vertical-relative:page;position:absolute;z-index:-251649024" from="73.95pt,56.45pt" to="529.85pt,56.45pt" stroked="t" strokecolor="black" strokeweight="0.5pt">
          <v:stroke dashstyle="solid"/>
        </v:lin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69" style="mso-position-horizontal-relative:page;mso-position-vertical-relative:page;position:absolute;z-index:-251648000" from="73.95pt,56.45pt" to="529.85pt,56.45pt" stroked="t" strokecolor="black" strokeweight="0.5pt">
          <v:stroke dashstyle="solid"/>
        </v:lin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line id="_x0000_s2071" style="mso-position-horizontal-relative:page;mso-position-vertical-relative:page;position:absolute;z-index:-251646976" from="73.95pt,56.45pt" to="529.85pt,56.45pt" stroked="t" strokecolor="black" strokeweight="0.5pt">
          <v:stroke dashstyle="solid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A51B9"/>
    <w:multiLevelType w:val="hybridMultilevel"/>
    <w:tmpl w:val="00000000"/>
    <w:lvl w:ilvl="0">
      <w:start w:val="1"/>
      <w:numFmt w:val="decimal"/>
      <w:lvlText w:val="%1）"/>
      <w:lvlJc w:val="left"/>
      <w:pPr>
        <w:ind w:left="448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58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7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9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5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7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88" w:hanging="560"/>
      </w:pPr>
      <w:rPr>
        <w:rFonts w:hint="default"/>
        <w:lang w:val="en-US" w:eastAsia="zh-CN" w:bidi="ar-SA"/>
      </w:rPr>
    </w:lvl>
  </w:abstractNum>
  <w:abstractNum w:abstractNumId="1">
    <w:nsid w:val="010F9CFB"/>
    <w:multiLevelType w:val="hybridMultilevel"/>
    <w:tmpl w:val="00000000"/>
    <w:lvl w:ilvl="0">
      <w:start w:val="7"/>
      <w:numFmt w:val="decimal"/>
      <w:lvlText w:val="%1."/>
      <w:lvlJc w:val="left"/>
      <w:pPr>
        <w:ind w:left="750" w:hanging="30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1"/>
        <w:w w:val="83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938" w:hanging="49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218" w:hanging="770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%4）"/>
      <w:lvlJc w:val="left"/>
      <w:pPr>
        <w:ind w:left="1429" w:hanging="4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592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764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936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09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81" w:hanging="421"/>
      </w:pPr>
      <w:rPr>
        <w:rFonts w:hint="default"/>
        <w:lang w:val="en-US" w:eastAsia="zh-CN" w:bidi="ar-SA"/>
      </w:rPr>
    </w:lvl>
  </w:abstractNum>
  <w:abstractNum w:abstractNumId="2">
    <w:nsid w:val="0145403E"/>
    <w:multiLevelType w:val="hybridMultilevel"/>
    <w:tmpl w:val="00000000"/>
    <w:lvl w:ilvl="0">
      <w:start w:val="1"/>
      <w:numFmt w:val="decimal"/>
      <w:lvlText w:val="%1."/>
      <w:lvlJc w:val="left"/>
      <w:pPr>
        <w:ind w:left="449" w:hanging="3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58" w:hanging="31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77" w:hanging="31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95" w:hanging="31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4" w:hanging="31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31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51" w:hanging="31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70" w:hanging="31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88" w:hanging="318"/>
      </w:pPr>
      <w:rPr>
        <w:rFonts w:hint="default"/>
        <w:lang w:val="en-US" w:eastAsia="zh-CN" w:bidi="ar-SA"/>
      </w:rPr>
    </w:lvl>
  </w:abstractNum>
  <w:abstractNum w:abstractNumId="3">
    <w:nsid w:val="0735FDF9"/>
    <w:multiLevelType w:val="hybridMultilevel"/>
    <w:tmpl w:val="00000000"/>
    <w:lvl w:ilvl="0">
      <w:start w:val="1"/>
      <w:numFmt w:val="decimal"/>
      <w:lvlText w:val="%1"/>
      <w:lvlJc w:val="left"/>
      <w:pPr>
        <w:ind w:left="1194" w:hanging="327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042" w:hanging="32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85" w:hanging="32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27" w:hanging="32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70" w:hanging="32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13" w:hanging="32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55" w:hanging="32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98" w:hanging="32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40" w:hanging="327"/>
      </w:pPr>
      <w:rPr>
        <w:rFonts w:hint="default"/>
        <w:lang w:val="en-US" w:eastAsia="zh-CN" w:bidi="ar-SA"/>
      </w:rPr>
    </w:lvl>
  </w:abstractNum>
  <w:abstractNum w:abstractNumId="4">
    <w:nsid w:val="0A1125D8"/>
    <w:multiLevelType w:val="hybridMultilevel"/>
    <w:tmpl w:val="00000000"/>
    <w:lvl w:ilvl="0">
      <w:start w:val="1"/>
      <w:numFmt w:val="decimal"/>
      <w:lvlText w:val="%1"/>
      <w:lvlJc w:val="left"/>
      <w:pPr>
        <w:ind w:left="676" w:hanging="2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1421" w:hanging="52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1" w:hanging="52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43" w:hanging="52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55" w:hanging="52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67" w:hanging="52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78" w:hanging="52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90" w:hanging="52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02" w:hanging="524"/>
      </w:pPr>
      <w:rPr>
        <w:rFonts w:hint="default"/>
        <w:lang w:val="en-US" w:eastAsia="zh-CN" w:bidi="ar-SA"/>
      </w:rPr>
    </w:lvl>
  </w:abstractNum>
  <w:abstractNum w:abstractNumId="5">
    <w:nsid w:val="0B483206"/>
    <w:multiLevelType w:val="hybridMultilevel"/>
    <w:tmpl w:val="00000000"/>
    <w:lvl w:ilvl="0">
      <w:start w:val="1"/>
      <w:numFmt w:val="decimal"/>
      <w:lvlText w:val="%1."/>
      <w:lvlJc w:val="left"/>
      <w:pPr>
        <w:ind w:left="1434" w:hanging="6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1"/>
      <w:numFmt w:val="decimal"/>
      <w:lvlText w:val="%2"/>
      <w:lvlJc w:val="left"/>
      <w:pPr>
        <w:ind w:left="1235" w:hanging="186"/>
        <w:jc w:val="right"/>
      </w:pPr>
      <w:rPr>
        <w:rFonts w:ascii="Microsoft YaHei UI" w:eastAsia="Microsoft YaHei UI" w:hAnsi="Microsoft YaHei UI" w:cs="Microsoft YaHei UI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49" w:hanging="18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9" w:hanging="18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68" w:hanging="18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78" w:hanging="18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87" w:hanging="18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97" w:hanging="18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06" w:hanging="186"/>
      </w:pPr>
      <w:rPr>
        <w:rFonts w:hint="default"/>
        <w:lang w:val="en-US" w:eastAsia="zh-CN" w:bidi="ar-SA"/>
      </w:rPr>
    </w:lvl>
  </w:abstractNum>
  <w:abstractNum w:abstractNumId="6">
    <w:nsid w:val="0CD3F30D"/>
    <w:multiLevelType w:val="hybridMultilevel"/>
    <w:tmpl w:val="00000000"/>
    <w:lvl w:ilvl="0">
      <w:start w:val="1"/>
      <w:numFmt w:val="decimal"/>
      <w:lvlText w:val="%1）"/>
      <w:lvlJc w:val="left"/>
      <w:pPr>
        <w:ind w:left="448" w:hanging="4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2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58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77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95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4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51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70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88" w:hanging="421"/>
      </w:pPr>
      <w:rPr>
        <w:rFonts w:hint="default"/>
        <w:lang w:val="en-US" w:eastAsia="zh-CN" w:bidi="ar-SA"/>
      </w:rPr>
    </w:lvl>
  </w:abstractNum>
  <w:abstractNum w:abstractNumId="7">
    <w:nsid w:val="13453293"/>
    <w:multiLevelType w:val="hybridMultilevel"/>
    <w:tmpl w:val="00000000"/>
    <w:lvl w:ilvl="0">
      <w:start w:val="3"/>
      <w:numFmt w:val="decimal"/>
      <w:lvlText w:val="%1."/>
      <w:lvlJc w:val="left"/>
      <w:pPr>
        <w:ind w:left="449" w:hanging="3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58" w:hanging="31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77" w:hanging="31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95" w:hanging="31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4" w:hanging="31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31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51" w:hanging="31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70" w:hanging="31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88" w:hanging="318"/>
      </w:pPr>
      <w:rPr>
        <w:rFonts w:hint="default"/>
        <w:lang w:val="en-US" w:eastAsia="zh-CN" w:bidi="ar-SA"/>
      </w:rPr>
    </w:lvl>
  </w:abstractNum>
  <w:abstractNum w:abstractNumId="8">
    <w:nsid w:val="144CBE14"/>
    <w:multiLevelType w:val="hybridMultilevel"/>
    <w:tmpl w:val="00000000"/>
    <w:lvl w:ilvl="0">
      <w:start w:val="1"/>
      <w:numFmt w:val="decimal"/>
      <w:lvlText w:val="%1."/>
      <w:lvlJc w:val="left"/>
      <w:pPr>
        <w:ind w:left="449" w:hanging="31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58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77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95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4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51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70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88" w:hanging="316"/>
      </w:pPr>
      <w:rPr>
        <w:rFonts w:hint="default"/>
        <w:lang w:val="en-US" w:eastAsia="zh-CN" w:bidi="ar-SA"/>
      </w:rPr>
    </w:lvl>
  </w:abstractNum>
  <w:abstractNum w:abstractNumId="9">
    <w:nsid w:val="18399A57"/>
    <w:multiLevelType w:val="hybridMultilevel"/>
    <w:tmpl w:val="00000000"/>
    <w:lvl w:ilvl="0">
      <w:start w:val="14"/>
      <w:numFmt w:val="decimal"/>
      <w:lvlText w:val="%1."/>
      <w:lvlJc w:val="left"/>
      <w:pPr>
        <w:ind w:left="449" w:hanging="42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449" w:hanging="3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77" w:hanging="31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95" w:hanging="31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4" w:hanging="31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31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51" w:hanging="31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70" w:hanging="31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88" w:hanging="318"/>
      </w:pPr>
      <w:rPr>
        <w:rFonts w:hint="default"/>
        <w:lang w:val="en-US" w:eastAsia="zh-CN" w:bidi="ar-SA"/>
      </w:rPr>
    </w:lvl>
  </w:abstractNum>
  <w:abstractNum w:abstractNumId="10">
    <w:nsid w:val="21090ED4"/>
    <w:multiLevelType w:val="hybridMultilevel"/>
    <w:tmpl w:val="00000000"/>
    <w:lvl w:ilvl="0">
      <w:start w:val="1"/>
      <w:numFmt w:val="decimal"/>
      <w:lvlText w:val="%1."/>
      <w:lvlJc w:val="left"/>
      <w:pPr>
        <w:ind w:left="1131" w:hanging="4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88" w:hanging="47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37" w:hanging="47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85" w:hanging="47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34" w:hanging="47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83" w:hanging="47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231" w:hanging="47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80" w:hanging="47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28" w:hanging="474"/>
      </w:pPr>
      <w:rPr>
        <w:rFonts w:hint="default"/>
        <w:lang w:val="en-US" w:eastAsia="zh-CN" w:bidi="ar-SA"/>
      </w:rPr>
    </w:lvl>
  </w:abstractNum>
  <w:abstractNum w:abstractNumId="11">
    <w:nsid w:val="2331C52A"/>
    <w:multiLevelType w:val="hybridMultilevel"/>
    <w:tmpl w:val="00000000"/>
    <w:lvl w:ilvl="0">
      <w:start w:val="1"/>
      <w:numFmt w:val="decimal"/>
      <w:lvlText w:val="%1）"/>
      <w:lvlJc w:val="left"/>
      <w:pPr>
        <w:ind w:left="1429" w:hanging="4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240" w:hanging="4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061" w:hanging="4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81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702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23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43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164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84" w:hanging="421"/>
      </w:pPr>
      <w:rPr>
        <w:rFonts w:hint="default"/>
        <w:lang w:val="en-US" w:eastAsia="zh-CN" w:bidi="ar-SA"/>
      </w:rPr>
    </w:lvl>
  </w:abstractNum>
  <w:abstractNum w:abstractNumId="12">
    <w:nsid w:val="2A00492A"/>
    <w:multiLevelType w:val="hybridMultilevel"/>
    <w:tmpl w:val="00000000"/>
    <w:lvl w:ilvl="0">
      <w:start w:val="6"/>
      <w:numFmt w:val="decimal"/>
      <w:lvlText w:val="%1"/>
      <w:lvlJc w:val="left"/>
      <w:pPr>
        <w:ind w:left="941" w:hanging="282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w w:val="83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640" w:hanging="56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2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14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302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89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76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64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51" w:hanging="560"/>
      </w:pPr>
      <w:rPr>
        <w:rFonts w:hint="default"/>
        <w:lang w:val="en-US" w:eastAsia="zh-CN" w:bidi="ar-SA"/>
      </w:rPr>
    </w:lvl>
  </w:abstractNum>
  <w:abstractNum w:abstractNumId="13">
    <w:nsid w:val="323F128E"/>
    <w:multiLevelType w:val="hybridMultilevel"/>
    <w:tmpl w:val="00000000"/>
    <w:lvl w:ilvl="0">
      <w:start w:val="6"/>
      <w:numFmt w:val="decimal"/>
      <w:lvlText w:val="%1"/>
      <w:lvlJc w:val="left"/>
      <w:pPr>
        <w:ind w:left="1570" w:hanging="490"/>
        <w:jc w:val="left"/>
      </w:pPr>
      <w:rPr>
        <w:rFonts w:hint="default"/>
        <w:lang w:val="en-US" w:eastAsia="zh-CN" w:bidi="ar-SA"/>
      </w:rPr>
    </w:lvl>
    <w:lvl w:ilvl="1">
      <w:start w:val="2"/>
      <w:numFmt w:val="decimal"/>
      <w:lvlText w:val="%1.%2"/>
      <w:lvlJc w:val="left"/>
      <w:pPr>
        <w:ind w:left="1570" w:hanging="49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89" w:hanging="49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993" w:hanging="49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798" w:hanging="49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03" w:hanging="49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07" w:hanging="49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12" w:hanging="49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16" w:hanging="490"/>
      </w:pPr>
      <w:rPr>
        <w:rFonts w:hint="default"/>
        <w:lang w:val="en-US" w:eastAsia="zh-CN" w:bidi="ar-SA"/>
      </w:rPr>
    </w:lvl>
  </w:abstractNum>
  <w:abstractNum w:abstractNumId="14">
    <w:nsid w:val="368B0F45"/>
    <w:multiLevelType w:val="hybridMultilevel"/>
    <w:tmpl w:val="00000000"/>
    <w:lvl w:ilvl="0">
      <w:start w:val="2"/>
      <w:numFmt w:val="decimal"/>
      <w:lvlText w:val="%1."/>
      <w:lvlJc w:val="left"/>
      <w:pPr>
        <w:ind w:left="942" w:hanging="28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1"/>
        <w:w w:val="83"/>
        <w:sz w:val="26"/>
        <w:szCs w:val="26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570" w:hanging="49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74" w:hanging="49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68" w:hanging="49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49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56" w:hanging="49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50" w:hanging="49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44" w:hanging="49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38" w:hanging="490"/>
      </w:pPr>
      <w:rPr>
        <w:rFonts w:hint="default"/>
        <w:lang w:val="en-US" w:eastAsia="zh-CN" w:bidi="ar-SA"/>
      </w:rPr>
    </w:lvl>
  </w:abstractNum>
  <w:abstractNum w:abstractNumId="15">
    <w:nsid w:val="39DB3A0E"/>
    <w:multiLevelType w:val="hybridMultilevel"/>
    <w:tmpl w:val="00000000"/>
    <w:lvl w:ilvl="0">
      <w:start w:val="1"/>
      <w:numFmt w:val="decimal"/>
      <w:lvlText w:val="%1."/>
      <w:lvlJc w:val="left"/>
      <w:pPr>
        <w:ind w:left="449" w:hanging="3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58" w:hanging="31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77" w:hanging="31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95" w:hanging="31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4" w:hanging="31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31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51" w:hanging="31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70" w:hanging="31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88" w:hanging="318"/>
      </w:pPr>
      <w:rPr>
        <w:rFonts w:hint="default"/>
        <w:lang w:val="en-US" w:eastAsia="zh-CN" w:bidi="ar-SA"/>
      </w:rPr>
    </w:lvl>
  </w:abstractNum>
  <w:abstractNum w:abstractNumId="16">
    <w:nsid w:val="4048E43D"/>
    <w:multiLevelType w:val="hybridMultilevel"/>
    <w:tmpl w:val="00000000"/>
    <w:lvl w:ilvl="0">
      <w:start w:val="1"/>
      <w:numFmt w:val="decimal"/>
      <w:lvlText w:val="（%1）"/>
      <w:lvlJc w:val="left"/>
      <w:pPr>
        <w:ind w:left="1709" w:hanging="70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49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28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07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6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5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4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40" w:hanging="701"/>
      </w:pPr>
      <w:rPr>
        <w:rFonts w:hint="default"/>
        <w:lang w:val="en-US" w:eastAsia="zh-CN" w:bidi="ar-SA"/>
      </w:rPr>
    </w:lvl>
  </w:abstractNum>
  <w:abstractNum w:abstractNumId="17">
    <w:nsid w:val="43D13AD6"/>
    <w:multiLevelType w:val="hybridMultilevel"/>
    <w:tmpl w:val="00000000"/>
    <w:lvl w:ilvl="0">
      <w:start w:val="1"/>
      <w:numFmt w:val="decimal"/>
      <w:lvlText w:val="%1"/>
      <w:lvlJc w:val="left"/>
      <w:pPr>
        <w:ind w:left="65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56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5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49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4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43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39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36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32" w:hanging="210"/>
      </w:pPr>
      <w:rPr>
        <w:rFonts w:hint="default"/>
        <w:lang w:val="en-US" w:eastAsia="zh-CN" w:bidi="ar-SA"/>
      </w:rPr>
    </w:lvl>
  </w:abstractNum>
  <w:abstractNum w:abstractNumId="18">
    <w:nsid w:val="4421B481"/>
    <w:multiLevelType w:val="hybridMultilevel"/>
    <w:tmpl w:val="00000000"/>
    <w:lvl w:ilvl="0">
      <w:start w:val="1"/>
      <w:numFmt w:val="decimal"/>
      <w:lvlText w:val="%1."/>
      <w:lvlJc w:val="left"/>
      <w:pPr>
        <w:ind w:left="92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79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6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3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0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73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43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1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84" w:hanging="263"/>
      </w:pPr>
      <w:rPr>
        <w:rFonts w:hint="default"/>
        <w:lang w:val="en-US" w:eastAsia="zh-CN" w:bidi="ar-SA"/>
      </w:rPr>
    </w:lvl>
  </w:abstractNum>
  <w:abstractNum w:abstractNumId="19">
    <w:nsid w:val="52A180F4"/>
    <w:multiLevelType w:val="hybridMultilevel"/>
    <w:tmpl w:val="00000000"/>
    <w:lvl w:ilvl="0">
      <w:start w:val="1"/>
      <w:numFmt w:val="decimal"/>
      <w:lvlText w:val="%1."/>
      <w:lvlJc w:val="left"/>
      <w:pPr>
        <w:ind w:left="978" w:hanging="3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44" w:hanging="32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09" w:hanging="32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73" w:hanging="3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38" w:hanging="3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03" w:hanging="3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67" w:hanging="3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32" w:hanging="3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96" w:hanging="321"/>
      </w:pPr>
      <w:rPr>
        <w:rFonts w:hint="default"/>
        <w:lang w:val="en-US" w:eastAsia="zh-CN" w:bidi="ar-SA"/>
      </w:rPr>
    </w:lvl>
  </w:abstractNum>
  <w:abstractNum w:abstractNumId="20">
    <w:nsid w:val="560F1C30"/>
    <w:multiLevelType w:val="hybridMultilevel"/>
    <w:tmpl w:val="00000000"/>
    <w:lvl w:ilvl="0">
      <w:start w:val="1"/>
      <w:numFmt w:val="decimal"/>
      <w:lvlText w:val="%1."/>
      <w:lvlJc w:val="left"/>
      <w:pPr>
        <w:ind w:left="1026" w:hanging="3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80" w:hanging="369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41" w:hanging="3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01" w:hanging="3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62" w:hanging="3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23" w:hanging="3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183" w:hanging="3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044" w:hanging="3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04" w:hanging="369"/>
      </w:pPr>
      <w:rPr>
        <w:rFonts w:hint="default"/>
        <w:lang w:val="en-US" w:eastAsia="zh-CN" w:bidi="ar-SA"/>
      </w:rPr>
    </w:lvl>
  </w:abstractNum>
  <w:abstractNum w:abstractNumId="21">
    <w:nsid w:val="5F608F53"/>
    <w:multiLevelType w:val="hybridMultilevel"/>
    <w:tmpl w:val="00000000"/>
    <w:lvl w:ilvl="0">
      <w:start w:val="1"/>
      <w:numFmt w:val="decimal"/>
      <w:lvlText w:val="%1."/>
      <w:lvlJc w:val="left"/>
      <w:pPr>
        <w:ind w:left="807" w:hanging="182"/>
        <w:jc w:val="left"/>
      </w:pPr>
      <w:rPr>
        <w:rFonts w:ascii="Microsoft YaHei UI" w:eastAsia="Microsoft YaHei UI" w:hAnsi="Microsoft YaHei UI" w:cs="Microsoft YaHei UI" w:hint="default"/>
        <w:b w:val="0"/>
        <w:bCs w:val="0"/>
        <w:i w:val="0"/>
        <w:iCs w:val="0"/>
        <w:spacing w:val="-1"/>
        <w:w w:val="100"/>
        <w:sz w:val="19"/>
        <w:szCs w:val="19"/>
        <w:lang w:val="en-US" w:eastAsia="zh-CN" w:bidi="ar-SA"/>
      </w:rPr>
    </w:lvl>
    <w:lvl w:ilvl="1">
      <w:start w:val="1"/>
      <w:numFmt w:val="decimal"/>
      <w:lvlText w:val="%2"/>
      <w:lvlJc w:val="left"/>
      <w:pPr>
        <w:ind w:left="1053" w:hanging="186"/>
        <w:jc w:val="left"/>
      </w:pPr>
      <w:rPr>
        <w:rFonts w:ascii="Microsoft YaHei UI" w:eastAsia="Microsoft YaHei UI" w:hAnsi="Microsoft YaHei UI" w:cs="Microsoft YaHei UI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11" w:hanging="18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963" w:hanging="18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15" w:hanging="18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67" w:hanging="18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818" w:hanging="18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70" w:hanging="18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22" w:hanging="186"/>
      </w:pPr>
      <w:rPr>
        <w:rFonts w:hint="default"/>
        <w:lang w:val="en-US" w:eastAsia="zh-CN" w:bidi="ar-SA"/>
      </w:rPr>
    </w:lvl>
  </w:abstractNum>
  <w:abstractNum w:abstractNumId="22">
    <w:nsid w:val="69147544"/>
    <w:multiLevelType w:val="hybridMultilevel"/>
    <w:tmpl w:val="00000000"/>
    <w:lvl w:ilvl="0">
      <w:start w:val="1"/>
      <w:numFmt w:val="decimal"/>
      <w:lvlText w:val="%1."/>
      <w:lvlJc w:val="left"/>
      <w:pPr>
        <w:ind w:left="449" w:hanging="31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9"/>
        <w:szCs w:val="19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58" w:hanging="31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77" w:hanging="31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95" w:hanging="31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4" w:hanging="31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31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51" w:hanging="31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70" w:hanging="31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88" w:hanging="316"/>
      </w:pPr>
      <w:rPr>
        <w:rFonts w:hint="default"/>
        <w:lang w:val="en-US" w:eastAsia="zh-CN" w:bidi="ar-SA"/>
      </w:rPr>
    </w:lvl>
  </w:abstractNum>
  <w:abstractNum w:abstractNumId="23">
    <w:nsid w:val="6A779170"/>
    <w:multiLevelType w:val="hybridMultilevel"/>
    <w:tmpl w:val="00000000"/>
    <w:lvl w:ilvl="0">
      <w:start w:val="6"/>
      <w:numFmt w:val="decimal"/>
      <w:lvlText w:val="%1"/>
      <w:lvlJc w:val="left"/>
      <w:pPr>
        <w:ind w:left="941" w:hanging="494"/>
        <w:jc w:val="left"/>
      </w:pPr>
      <w:rPr>
        <w:rFonts w:hint="default"/>
        <w:lang w:val="en-US" w:eastAsia="zh-CN" w:bidi="ar-SA"/>
      </w:rPr>
    </w:lvl>
    <w:lvl w:ilvl="1">
      <w:start w:val="2"/>
      <w:numFmt w:val="decimal"/>
      <w:lvlText w:val="%1.%2"/>
      <w:lvlJc w:val="left"/>
      <w:pPr>
        <w:ind w:left="941" w:hanging="494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0"/>
        <w:w w:val="83"/>
        <w:sz w:val="28"/>
        <w:szCs w:val="28"/>
        <w:lang w:val="en-US" w:eastAsia="zh-CN" w:bidi="ar-SA"/>
      </w:rPr>
    </w:lvl>
    <w:lvl w:ilvl="2">
      <w:start w:val="1"/>
      <w:numFmt w:val="decimal"/>
      <w:lvlText w:val="%3）"/>
      <w:lvlJc w:val="left"/>
      <w:pPr>
        <w:ind w:left="1429" w:hanging="421"/>
        <w:jc w:val="left"/>
      </w:pPr>
      <w:rPr>
        <w:rFonts w:hint="default"/>
        <w:w w:val="100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43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55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67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78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90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02" w:hanging="421"/>
      </w:pPr>
      <w:rPr>
        <w:rFonts w:hint="default"/>
        <w:lang w:val="en-US" w:eastAsia="zh-CN" w:bidi="ar-SA"/>
      </w:rPr>
    </w:lvl>
  </w:abstractNum>
  <w:abstractNum w:abstractNumId="24">
    <w:nsid w:val="6B535AC6"/>
    <w:multiLevelType w:val="hybridMultilevel"/>
    <w:tmpl w:val="00000000"/>
    <w:lvl w:ilvl="0">
      <w:start w:val="6"/>
      <w:numFmt w:val="decimal"/>
      <w:lvlText w:val="%1"/>
      <w:lvlJc w:val="left"/>
      <w:pPr>
        <w:ind w:left="749" w:hanging="302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w w:val="83"/>
        <w:sz w:val="30"/>
        <w:szCs w:val="30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011" w:hanging="564"/>
        <w:jc w:val="righ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0"/>
        <w:w w:val="83"/>
        <w:sz w:val="28"/>
        <w:szCs w:val="28"/>
        <w:lang w:val="en-US" w:eastAsia="zh-CN" w:bidi="ar-SA"/>
      </w:rPr>
    </w:lvl>
    <w:lvl w:ilvl="2">
      <w:start w:val="1"/>
      <w:numFmt w:val="decimal"/>
      <w:lvlText w:val="%3）"/>
      <w:lvlJc w:val="left"/>
      <w:pPr>
        <w:ind w:left="448" w:hanging="421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-7"/>
        <w:w w:val="100"/>
        <w:sz w:val="26"/>
        <w:szCs w:val="26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95" w:hanging="42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171" w:hanging="42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47" w:hanging="42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23" w:hanging="42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98" w:hanging="42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474" w:hanging="421"/>
      </w:pPr>
      <w:rPr>
        <w:rFonts w:hint="default"/>
        <w:lang w:val="en-US" w:eastAsia="zh-CN" w:bidi="ar-SA"/>
      </w:rPr>
    </w:lvl>
  </w:abstractNum>
  <w:abstractNum w:abstractNumId="25">
    <w:nsid w:val="725F633F"/>
    <w:multiLevelType w:val="hybridMultilevel"/>
    <w:tmpl w:val="00000000"/>
    <w:lvl w:ilvl="0">
      <w:start w:val="8"/>
      <w:numFmt w:val="decimal"/>
      <w:lvlText w:val="%1."/>
      <w:lvlJc w:val="left"/>
      <w:pPr>
        <w:ind w:left="1610" w:hanging="5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420" w:hanging="52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221" w:hanging="52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021" w:hanging="52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22" w:hanging="52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23" w:hanging="52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23" w:hanging="52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224" w:hanging="52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024" w:hanging="528"/>
      </w:pPr>
      <w:rPr>
        <w:rFonts w:hint="default"/>
        <w:lang w:val="en-US" w:eastAsia="zh-CN" w:bidi="ar-SA"/>
      </w:rPr>
    </w:lvl>
  </w:abstractNum>
  <w:abstractNum w:abstractNumId="26">
    <w:nsid w:val="74C4BF3C"/>
    <w:multiLevelType w:val="hybridMultilevel"/>
    <w:tmpl w:val="00000000"/>
    <w:lvl w:ilvl="0">
      <w:start w:val="7"/>
      <w:numFmt w:val="decimal"/>
      <w:lvlText w:val="%1."/>
      <w:lvlJc w:val="left"/>
      <w:pPr>
        <w:ind w:left="942" w:hanging="28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1"/>
        <w:w w:val="83"/>
        <w:sz w:val="26"/>
        <w:szCs w:val="26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570" w:hanging="49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74" w:hanging="49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368" w:hanging="49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62" w:hanging="49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156" w:hanging="49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050" w:hanging="49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944" w:hanging="49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838" w:hanging="490"/>
      </w:pPr>
      <w:rPr>
        <w:rFonts w:hint="default"/>
        <w:lang w:val="en-US" w:eastAsia="zh-CN" w:bidi="ar-SA"/>
      </w:rPr>
    </w:lvl>
  </w:abstractNum>
  <w:abstractNum w:abstractNumId="27">
    <w:nsid w:val="7790D13E"/>
    <w:multiLevelType w:val="hybridMultilevel"/>
    <w:tmpl w:val="00000000"/>
    <w:lvl w:ilvl="0">
      <w:start w:val="2"/>
      <w:numFmt w:val="decimal"/>
      <w:lvlText w:val="%1."/>
      <w:lvlJc w:val="left"/>
      <w:pPr>
        <w:ind w:left="750" w:hanging="303"/>
        <w:jc w:val="left"/>
      </w:pPr>
      <w:rPr>
        <w:rFonts w:ascii="Microsoft JhengHei" w:eastAsia="Microsoft JhengHei" w:hAnsi="Microsoft JhengHei" w:cs="Microsoft JhengHei" w:hint="default"/>
        <w:b/>
        <w:bCs/>
        <w:i w:val="0"/>
        <w:iCs w:val="0"/>
        <w:spacing w:val="1"/>
        <w:w w:val="83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951" w:hanging="504"/>
        <w:jc w:val="left"/>
      </w:pPr>
      <w:rPr>
        <w:rFonts w:hint="default"/>
        <w:spacing w:val="0"/>
        <w:w w:val="83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218" w:hanging="770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448" w:hanging="70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spacing w:val="-46"/>
        <w:w w:val="100"/>
        <w:sz w:val="26"/>
        <w:szCs w:val="26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2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21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22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23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24" w:hanging="701"/>
      </w:pPr>
      <w:rPr>
        <w:rFonts w:hint="default"/>
        <w:lang w:val="en-US" w:eastAsia="zh-CN" w:bidi="ar-SA"/>
      </w:rPr>
    </w:lvl>
  </w:abstractNum>
  <w:abstractNum w:abstractNumId="28">
    <w:nsid w:val="7EAAFB87"/>
    <w:multiLevelType w:val="hybridMultilevel"/>
    <w:tmpl w:val="00000000"/>
    <w:lvl w:ilvl="0">
      <w:start w:val="12"/>
      <w:numFmt w:val="decimal"/>
      <w:lvlText w:val="（%1）"/>
      <w:lvlJc w:val="left"/>
      <w:pPr>
        <w:ind w:left="448" w:hanging="844"/>
        <w:jc w:val="left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58" w:hanging="84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77" w:hanging="84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95" w:hanging="84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114" w:hanging="84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033" w:hanging="84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951" w:hanging="84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870" w:hanging="84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788" w:hanging="844"/>
      </w:pPr>
      <w:rPr>
        <w:rFonts w:hint="default"/>
        <w:lang w:val="en-US" w:eastAsia="zh-CN" w:bidi="ar-SA"/>
      </w:rPr>
    </w:lvl>
  </w:abstractNum>
  <w:num w:numId="1">
    <w:abstractNumId w:val="3"/>
  </w:num>
  <w:num w:numId="2">
    <w:abstractNumId w:val="21"/>
  </w:num>
  <w:num w:numId="3">
    <w:abstractNumId w:val="18"/>
  </w:num>
  <w:num w:numId="4">
    <w:abstractNumId w:val="19"/>
  </w:num>
  <w:num w:numId="5">
    <w:abstractNumId w:val="10"/>
  </w:num>
  <w:num w:numId="6">
    <w:abstractNumId w:val="20"/>
  </w:num>
  <w:num w:numId="7">
    <w:abstractNumId w:val="5"/>
  </w:num>
  <w:num w:numId="8">
    <w:abstractNumId w:val="2"/>
  </w:num>
  <w:num w:numId="9">
    <w:abstractNumId w:val="22"/>
  </w:num>
  <w:num w:numId="10">
    <w:abstractNumId w:val="7"/>
  </w:num>
  <w:num w:numId="11">
    <w:abstractNumId w:val="15"/>
  </w:num>
  <w:num w:numId="12">
    <w:abstractNumId w:val="9"/>
  </w:num>
  <w:num w:numId="13">
    <w:abstractNumId w:val="25"/>
  </w:num>
  <w:num w:numId="14">
    <w:abstractNumId w:val="8"/>
  </w:num>
  <w:num w:numId="15">
    <w:abstractNumId w:val="4"/>
  </w:num>
  <w:num w:numId="16">
    <w:abstractNumId w:val="17"/>
  </w:num>
  <w:num w:numId="17">
    <w:abstractNumId w:val="0"/>
  </w:num>
  <w:num w:numId="18">
    <w:abstractNumId w:val="6"/>
  </w:num>
  <w:num w:numId="19">
    <w:abstractNumId w:val="1"/>
  </w:num>
  <w:num w:numId="20">
    <w:abstractNumId w:val="23"/>
  </w:num>
  <w:num w:numId="21">
    <w:abstractNumId w:val="24"/>
  </w:num>
  <w:num w:numId="22">
    <w:abstractNumId w:val="28"/>
  </w:num>
  <w:num w:numId="23">
    <w:abstractNumId w:val="11"/>
  </w:num>
  <w:num w:numId="24">
    <w:abstractNumId w:val="16"/>
  </w:num>
  <w:num w:numId="25">
    <w:abstractNumId w:val="27"/>
  </w:num>
  <w:num w:numId="26">
    <w:abstractNumId w:val="26"/>
  </w:num>
  <w:num w:numId="27">
    <w:abstractNumId w:val="13"/>
  </w:num>
  <w:num w:numId="28">
    <w:abstractNumId w:val="12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750" w:hanging="303"/>
      <w:outlineLvl w:val="0"/>
    </w:pPr>
    <w:rPr>
      <w:rFonts w:ascii="Microsoft JhengHei" w:eastAsia="Microsoft JhengHei" w:hAnsi="Microsoft JhengHei" w:cs="Microsoft JhengHei"/>
      <w:b/>
      <w:bCs/>
      <w:sz w:val="30"/>
      <w:szCs w:val="30"/>
      <w:lang w:val="en-US" w:eastAsia="zh-CN" w:bidi="ar-SA"/>
    </w:rPr>
  </w:style>
  <w:style w:type="paragraph" w:styleId="Heading2">
    <w:name w:val="heading 2"/>
    <w:basedOn w:val="Normal"/>
    <w:uiPriority w:val="1"/>
    <w:qFormat/>
    <w:pPr>
      <w:ind w:left="941" w:hanging="494"/>
      <w:outlineLvl w:val="1"/>
    </w:pPr>
    <w:rPr>
      <w:rFonts w:ascii="Microsoft JhengHei" w:eastAsia="Microsoft JhengHei" w:hAnsi="Microsoft JhengHei" w:cs="Microsoft JhengHei"/>
      <w:b/>
      <w:bCs/>
      <w:sz w:val="28"/>
      <w:szCs w:val="28"/>
      <w:lang w:val="en-US" w:eastAsia="zh-CN" w:bidi="ar-SA"/>
    </w:rPr>
  </w:style>
  <w:style w:type="paragraph" w:styleId="Heading3">
    <w:name w:val="heading 3"/>
    <w:basedOn w:val="Normal"/>
    <w:uiPriority w:val="1"/>
    <w:qFormat/>
    <w:pPr>
      <w:ind w:left="448" w:firstLine="560"/>
      <w:outlineLvl w:val="2"/>
    </w:pPr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Heading4">
    <w:name w:val="heading 4"/>
    <w:basedOn w:val="Normal"/>
    <w:uiPriority w:val="1"/>
    <w:qFormat/>
    <w:pPr>
      <w:spacing w:before="82"/>
      <w:ind w:left="2220"/>
      <w:outlineLvl w:val="3"/>
    </w:pPr>
    <w:rPr>
      <w:rFonts w:ascii="宋体" w:eastAsia="宋体" w:hAnsi="宋体" w:cs="宋体"/>
      <w:sz w:val="24"/>
      <w:szCs w:val="24"/>
      <w:lang w:val="en-US" w:eastAsia="zh-CN" w:bidi="ar-SA"/>
    </w:rPr>
  </w:style>
  <w:style w:type="paragraph" w:styleId="Heading5">
    <w:name w:val="heading 5"/>
    <w:basedOn w:val="Normal"/>
    <w:uiPriority w:val="1"/>
    <w:qFormat/>
    <w:pPr>
      <w:ind w:left="448"/>
      <w:outlineLvl w:val="4"/>
    </w:pPr>
    <w:rPr>
      <w:rFonts w:ascii="Microsoft JhengHei" w:eastAsia="Microsoft JhengHei" w:hAnsi="Microsoft JhengHei" w:cs="Microsoft JhengHei"/>
      <w:b/>
      <w:bCs/>
      <w:sz w:val="21"/>
      <w:szCs w:val="21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109"/>
      <w:ind w:left="942" w:hanging="283"/>
    </w:pPr>
    <w:rPr>
      <w:rFonts w:ascii="Microsoft JhengHei" w:eastAsia="Microsoft JhengHei" w:hAnsi="Microsoft JhengHei" w:cs="Microsoft JhengHei"/>
      <w:b/>
      <w:bCs/>
      <w:sz w:val="28"/>
      <w:szCs w:val="28"/>
      <w:lang w:val="en-US" w:eastAsia="zh-CN" w:bidi="ar-SA"/>
    </w:rPr>
  </w:style>
  <w:style w:type="paragraph" w:styleId="TOC2">
    <w:name w:val="toc 2"/>
    <w:basedOn w:val="Normal"/>
    <w:uiPriority w:val="1"/>
    <w:qFormat/>
    <w:pPr>
      <w:spacing w:before="265"/>
      <w:ind w:left="1570" w:hanging="490"/>
    </w:pPr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OC3">
    <w:name w:val="toc 3"/>
    <w:basedOn w:val="Normal"/>
    <w:uiPriority w:val="1"/>
    <w:qFormat/>
    <w:pPr>
      <w:spacing w:before="265"/>
      <w:ind w:left="1570" w:hanging="490"/>
    </w:pPr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1"/>
      <w:szCs w:val="21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448" w:firstLine="56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6705400610300605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numbering" Target="numbering.xml" /><Relationship Id="rId31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2024-03-04T13:28:05Z</dcterms:created>
  <dcterms:modified xsi:type="dcterms:W3CDTF">2024-03-04T13:28:05Z</dcterms:modified>
</cp:coreProperties>
</file>