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2018-2023年温州职业技术学院高职单招（数学／语文／英语）历年常考试题库含答案解析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中唐新乐府运动的倡导者是（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A.所操之术多异故也。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B.夫子欲之。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C.大军不知广所之。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D.今我睹子之难穷也。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《箱子岩》一文中所描写的跛脚什长是一个什么形象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A.兵痞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B.平民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C.打鱼人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D.桨手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《故都的秋》一文主要描绘了（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A.南国的秋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B.北京的秋色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C.北国的景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D.秋天的奇景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“瀚海阑干百丈冰，愁云惨淡万里凝”，诗句中所用的修辞格是（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下列关于作者艺术风格的评论，错误的是（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A.艾青在诗歌形式上追求节的匀称和句的均齐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B.冰心的散文文笔清丽，意蕴隽永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C.沈从文的小说具有鲜明的地方色彩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D.朱自清的散文结构严谨，笔触细致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“精神上的缺陷没有一种是不能由相当的学问来补救的”一语出自（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《郑伯克段于鄢》一文中，“亟请于武公”句中的“亟”字的意思是（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A.急忙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B.迅速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C.竭力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D.屡次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《炉中煤》中的“我年青的女郎”指的是（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A.心爱的姑娘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B.日本的妻子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C.诗人心目中的祖国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D.未实现的梦想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https://d.book118.com/067101101156006044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6710110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