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adjustRightInd w:val="0"/>
        <w:snapToGrid w:val="0"/>
        <w:spacing w:before="192" w:beforeLines="80"/>
        <w:jc w:val="center"/>
        <w:rPr>
          <w:rFonts w:eastAsia="方正小标宋_GBK"/>
          <w:bCs/>
          <w:color w:val="000000"/>
          <w:sz w:val="72"/>
          <w:szCs w:val="72"/>
        </w:rPr>
      </w:pPr>
      <w:bookmarkStart w:id="0" w:name="_Toc66887228"/>
    </w:p>
    <w:p>
      <w:pPr>
        <w:adjustRightInd w:val="0"/>
        <w:snapToGrid w:val="0"/>
        <w:spacing w:before="192" w:beforeLines="80"/>
        <w:jc w:val="center"/>
        <w:rPr>
          <w:rFonts w:ascii="楷体" w:eastAsia="楷体" w:hAnsi="楷体" w:cs="楷体"/>
          <w:bCs/>
          <w:color w:val="000000"/>
          <w:sz w:val="48"/>
          <w:szCs w:val="48"/>
        </w:rPr>
      </w:pPr>
      <w:r>
        <w:rPr>
          <w:rFonts w:ascii="楷体" w:eastAsia="楷体" w:hAnsi="楷体" w:cs="楷体" w:hint="eastAsia"/>
          <w:bCs/>
          <w:color w:val="000000"/>
          <w:sz w:val="72"/>
          <w:szCs w:val="72"/>
        </w:rPr>
        <w:t>建设项目环境影响报告表</w:t>
      </w:r>
      <w:bookmarkEnd w:id="0"/>
    </w:p>
    <w:p>
      <w:pPr>
        <w:adjustRightInd w:val="0"/>
        <w:snapToGrid w:val="0"/>
        <w:spacing w:before="192" w:beforeLines="80"/>
        <w:jc w:val="center"/>
        <w:rPr>
          <w:rFonts w:ascii="楷体" w:eastAsia="楷体" w:hAnsi="楷体" w:cs="楷体"/>
          <w:bCs/>
          <w:color w:val="000000"/>
          <w:sz w:val="48"/>
          <w:szCs w:val="48"/>
        </w:rPr>
      </w:pPr>
      <w:r>
        <w:rPr>
          <w:rFonts w:ascii="楷体" w:eastAsia="楷体" w:hAnsi="楷体" w:cs="楷体" w:hint="eastAsia"/>
          <w:bCs/>
          <w:color w:val="000000"/>
          <w:sz w:val="48"/>
          <w:szCs w:val="48"/>
        </w:rPr>
        <w:t>（污染影响类）</w:t>
      </w:r>
    </w:p>
    <w:p>
      <w:pPr>
        <w:adjustRightInd w:val="0"/>
        <w:snapToGrid w:val="0"/>
        <w:spacing w:line="288" w:lineRule="auto"/>
        <w:jc w:val="center"/>
        <w:outlineLvl w:val="0"/>
        <w:rPr>
          <w:rFonts w:ascii="楷体" w:eastAsia="楷体" w:hAnsi="楷体" w:cs="楷体"/>
          <w:color w:val="000000"/>
          <w:kern w:val="44"/>
          <w:sz w:val="44"/>
          <w:szCs w:val="44"/>
        </w:rPr>
      </w:pPr>
    </w:p>
    <w:p>
      <w:pPr>
        <w:jc w:val="center"/>
        <w:rPr>
          <w:rFonts w:ascii="楷体" w:eastAsia="楷体" w:hAnsi="楷体" w:cs="楷体"/>
          <w:color w:val="000000"/>
          <w:sz w:val="52"/>
          <w:szCs w:val="52"/>
        </w:rPr>
      </w:pPr>
    </w:p>
    <w:p>
      <w:pPr>
        <w:ind w:firstLine="1040"/>
        <w:rPr>
          <w:rFonts w:ascii="楷体" w:eastAsia="楷体" w:hAnsi="楷体" w:cs="楷体"/>
          <w:color w:val="000000"/>
          <w:sz w:val="44"/>
          <w:szCs w:val="44"/>
        </w:rPr>
      </w:pPr>
    </w:p>
    <w:p>
      <w:pPr>
        <w:ind w:firstLine="1040"/>
        <w:rPr>
          <w:rFonts w:ascii="楷体" w:eastAsia="楷体" w:hAnsi="楷体" w:cs="楷体"/>
          <w:color w:val="000000"/>
          <w:sz w:val="44"/>
          <w:szCs w:val="44"/>
        </w:rPr>
      </w:pPr>
    </w:p>
    <w:p>
      <w:pPr>
        <w:ind w:firstLine="1040"/>
        <w:rPr>
          <w:rFonts w:ascii="楷体" w:eastAsia="楷体" w:hAnsi="楷体" w:cs="楷体" w:hint="eastAsia"/>
          <w:color w:val="000000"/>
          <w:sz w:val="44"/>
          <w:szCs w:val="44"/>
        </w:rPr>
      </w:pPr>
      <w:bookmarkStart w:id="1" w:name="_Hlk57884087"/>
    </w:p>
    <w:p>
      <w:pPr>
        <w:adjustRightInd w:val="0"/>
        <w:snapToGrid w:val="0"/>
        <w:spacing w:line="480" w:lineRule="auto"/>
        <w:ind w:firstLine="960" w:firstLineChars="300"/>
        <w:rPr>
          <w:rFonts w:eastAsia="楷体"/>
          <w:b/>
          <w:bCs/>
          <w:color w:val="000000"/>
          <w:sz w:val="32"/>
          <w:szCs w:val="32"/>
          <w:u w:val="single"/>
        </w:rPr>
      </w:pPr>
      <w:r>
        <w:rPr>
          <w:rFonts w:eastAsia="楷体"/>
          <w:b/>
          <w:bCs/>
          <w:color w:val="000000"/>
          <w:sz w:val="32"/>
          <w:szCs w:val="32"/>
        </w:rPr>
        <w:t>项目名称：</w:t>
      </w:r>
      <w:r>
        <w:rPr>
          <w:rFonts w:eastAsia="楷体"/>
          <w:b/>
          <w:bCs/>
          <w:color w:val="000000"/>
          <w:sz w:val="32"/>
          <w:szCs w:val="32"/>
          <w:u w:val="single"/>
        </w:rPr>
        <w:t>年产</w:t>
      </w:r>
      <w:r>
        <w:rPr>
          <w:rFonts w:eastAsia="楷体" w:hint="eastAsia"/>
          <w:b/>
          <w:bCs/>
          <w:color w:val="000000"/>
          <w:sz w:val="32"/>
          <w:szCs w:val="32"/>
          <w:u w:val="single"/>
        </w:rPr>
        <w:t>3000吨医用级PET/PETG项目</w:t>
      </w:r>
    </w:p>
    <w:p>
      <w:pPr>
        <w:adjustRightInd w:val="0"/>
        <w:snapToGrid w:val="0"/>
        <w:spacing w:line="480" w:lineRule="auto"/>
        <w:ind w:firstLine="960" w:firstLineChars="300"/>
        <w:rPr>
          <w:rFonts w:eastAsia="楷体" w:hint="eastAsia"/>
          <w:b/>
          <w:bCs/>
          <w:color w:val="000000"/>
          <w:w w:val="95"/>
          <w:sz w:val="32"/>
          <w:szCs w:val="32"/>
          <w:u w:val="single"/>
        </w:rPr>
      </w:pPr>
      <w:r>
        <w:rPr>
          <w:rFonts w:eastAsia="楷体"/>
          <w:b/>
          <w:bCs/>
          <w:color w:val="000000"/>
          <w:w w:val="95"/>
          <w:sz w:val="32"/>
          <w:szCs w:val="32"/>
        </w:rPr>
        <w:t>建设单位（盖章）：</w:t>
      </w:r>
      <w:r>
        <w:rPr>
          <w:rFonts w:eastAsia="楷体" w:hint="eastAsia"/>
          <w:b/>
          <w:bCs/>
          <w:color w:val="000000"/>
          <w:sz w:val="32"/>
          <w:szCs w:val="32"/>
          <w:u w:val="single"/>
          <w:lang w:eastAsia="zh-CN"/>
        </w:rPr>
        <w:t>德州湘乾烽豪新材料技术有限公司</w:t>
      </w:r>
    </w:p>
    <w:p>
      <w:pPr>
        <w:adjustRightInd w:val="0"/>
        <w:snapToGrid w:val="0"/>
        <w:spacing w:line="480" w:lineRule="auto"/>
        <w:ind w:firstLine="960" w:firstLineChars="300"/>
        <w:rPr>
          <w:rFonts w:eastAsia="楷体"/>
          <w:b/>
          <w:bCs/>
          <w:color w:val="000000"/>
          <w:sz w:val="32"/>
          <w:szCs w:val="32"/>
          <w:u w:val="single"/>
        </w:rPr>
      </w:pPr>
      <w:r>
        <w:rPr>
          <w:rFonts w:eastAsia="楷体"/>
          <w:b/>
          <w:bCs/>
          <w:color w:val="000000"/>
          <w:sz w:val="32"/>
          <w:szCs w:val="32"/>
        </w:rPr>
        <w:t>编制日期：</w:t>
      </w:r>
      <w:r>
        <w:rPr>
          <w:rFonts w:eastAsia="楷体"/>
          <w:b/>
          <w:bCs/>
          <w:color w:val="000000"/>
          <w:sz w:val="32"/>
          <w:szCs w:val="32"/>
          <w:u w:val="single"/>
        </w:rPr>
        <w:t>2023年</w:t>
      </w:r>
      <w:r>
        <w:rPr>
          <w:rFonts w:eastAsia="楷体" w:hint="eastAsia"/>
          <w:b/>
          <w:bCs/>
          <w:color w:val="000000"/>
          <w:sz w:val="32"/>
          <w:szCs w:val="32"/>
          <w:u w:val="single"/>
          <w:lang w:val="en-US" w:eastAsia="zh-CN"/>
        </w:rPr>
        <w:t>12</w:t>
      </w:r>
      <w:r>
        <w:rPr>
          <w:rFonts w:eastAsia="楷体"/>
          <w:b/>
          <w:bCs/>
          <w:color w:val="000000"/>
          <w:sz w:val="32"/>
          <w:szCs w:val="32"/>
          <w:u w:val="single"/>
        </w:rPr>
        <w:t>月</w:t>
      </w:r>
    </w:p>
    <w:p>
      <w:pPr>
        <w:adjustRightInd w:val="0"/>
        <w:snapToGrid w:val="0"/>
        <w:spacing w:line="288" w:lineRule="auto"/>
        <w:ind w:firstLine="1040"/>
        <w:rPr>
          <w:rFonts w:ascii="楷体" w:eastAsia="楷体" w:hAnsi="楷体" w:cs="楷体"/>
          <w:b/>
          <w:bCs/>
          <w:color w:val="000000"/>
          <w:sz w:val="36"/>
          <w:szCs w:val="36"/>
          <w:u w:val="single"/>
        </w:rPr>
      </w:pPr>
    </w:p>
    <w:p>
      <w:pPr>
        <w:pStyle w:val="BodyTextFirstIndent2"/>
        <w:rPr>
          <w:color w:val="000000"/>
        </w:rPr>
      </w:pPr>
    </w:p>
    <w:p>
      <w:pPr>
        <w:adjustRightInd w:val="0"/>
        <w:snapToGrid w:val="0"/>
        <w:spacing w:line="288" w:lineRule="auto"/>
        <w:rPr>
          <w:rFonts w:ascii="楷体" w:eastAsia="楷体" w:hAnsi="楷体" w:cs="楷体"/>
          <w:color w:val="000000"/>
          <w:sz w:val="36"/>
          <w:szCs w:val="36"/>
        </w:rPr>
      </w:pPr>
    </w:p>
    <w:p>
      <w:pPr>
        <w:pStyle w:val="Default"/>
        <w:rPr>
          <w:rFonts w:ascii="楷体" w:eastAsia="楷体" w:hAnsi="楷体" w:cs="楷体"/>
          <w:sz w:val="36"/>
          <w:szCs w:val="36"/>
        </w:rPr>
      </w:pPr>
    </w:p>
    <w:p>
      <w:pPr>
        <w:pStyle w:val="Default"/>
        <w:rPr>
          <w:rFonts w:ascii="楷体" w:eastAsia="楷体" w:hAnsi="楷体" w:cs="楷体"/>
          <w:sz w:val="36"/>
          <w:szCs w:val="36"/>
        </w:rPr>
      </w:pPr>
    </w:p>
    <w:bookmarkEnd w:id="1"/>
    <w:p>
      <w:pPr>
        <w:adjustRightInd w:val="0"/>
        <w:snapToGrid w:val="0"/>
        <w:spacing w:line="360" w:lineRule="auto"/>
        <w:jc w:val="center"/>
        <w:rPr>
          <w:rFonts w:eastAsia="楷体_GB2312"/>
          <w:b/>
          <w:bCs/>
          <w:color w:val="000000"/>
          <w:sz w:val="36"/>
          <w:szCs w:val="36"/>
        </w:rPr>
      </w:pPr>
    </w:p>
    <w:p>
      <w:pPr>
        <w:adjustRightInd w:val="0"/>
        <w:snapToGrid w:val="0"/>
        <w:spacing w:line="288" w:lineRule="auto"/>
        <w:jc w:val="center"/>
        <w:rPr>
          <w:rFonts w:eastAsia="楷体_GB2312"/>
          <w:b/>
          <w:bCs/>
          <w:color w:val="000000"/>
          <w:sz w:val="36"/>
          <w:szCs w:val="36"/>
        </w:rPr>
      </w:pPr>
      <w:r>
        <w:rPr>
          <w:rFonts w:eastAsia="楷体_GB2312"/>
          <w:b/>
          <w:bCs/>
          <w:color w:val="000000"/>
          <w:sz w:val="36"/>
          <w:szCs w:val="36"/>
        </w:rPr>
        <w:t>中华人民共和国生态环境部制</w:t>
      </w:r>
    </w:p>
    <w:p>
      <w:pPr>
        <w:adjustRightInd w:val="0"/>
        <w:snapToGrid w:val="0"/>
        <w:spacing w:line="288" w:lineRule="auto"/>
        <w:jc w:val="center"/>
        <w:rPr>
          <w:rFonts w:eastAsia="楷体_GB2312"/>
          <w:b/>
          <w:bCs/>
          <w:color w:val="000000"/>
          <w:sz w:val="36"/>
          <w:szCs w:val="36"/>
        </w:rPr>
      </w:pPr>
    </w:p>
    <w:p>
      <w:pPr>
        <w:adjustRightInd w:val="0"/>
        <w:snapToGrid w:val="0"/>
        <w:spacing w:line="288" w:lineRule="auto"/>
        <w:jc w:val="center"/>
        <w:rPr>
          <w:rFonts w:eastAsia="楷体_GB2312"/>
          <w:b/>
          <w:bCs/>
          <w:color w:val="000000"/>
          <w:sz w:val="36"/>
          <w:szCs w:val="36"/>
        </w:rPr>
      </w:pPr>
    </w:p>
    <w:p>
      <w:pPr>
        <w:adjustRightInd w:val="0"/>
        <w:snapToGrid w:val="0"/>
        <w:spacing w:line="288" w:lineRule="auto"/>
        <w:jc w:val="center"/>
        <w:rPr>
          <w:rFonts w:eastAsia="楷体_GB2312"/>
          <w:b/>
          <w:bCs/>
          <w:color w:val="000000"/>
          <w:sz w:val="36"/>
          <w:szCs w:val="36"/>
        </w:rPr>
      </w:pPr>
    </w:p>
    <w:p>
      <w:pPr>
        <w:pStyle w:val="NormalWeb"/>
        <w:adjustRightInd w:val="0"/>
        <w:snapToGrid w:val="0"/>
        <w:spacing w:before="0" w:beforeAutospacing="0" w:after="0" w:afterAutospacing="0" w:line="360" w:lineRule="auto"/>
        <w:jc w:val="center"/>
        <w:outlineLvl w:val="0"/>
        <w:rPr>
          <w:rFonts w:ascii="Times New Roman" w:eastAsia="黑体" w:hAnsi="Times New Roman"/>
          <w:snapToGrid w:val="0"/>
          <w:color w:val="000000"/>
          <w:sz w:val="30"/>
          <w:szCs w:val="30"/>
        </w:rPr>
        <w:sectPr>
          <w:footerReference w:type="default" r:id="rId5"/>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
          <w:cols w:num="1" w:space="720"/>
          <w:docGrid w:linePitch="312" w:charSpace="0"/>
        </w:sectPr>
      </w:pPr>
      <w:bookmarkStart w:id="2" w:name="_Toc66887229"/>
    </w:p>
    <w:p>
      <w:pPr>
        <w:pStyle w:val="NormalWeb"/>
        <w:adjustRightInd w:val="0"/>
        <w:snapToGrid w:val="0"/>
        <w:spacing w:before="0" w:beforeAutospacing="0" w:after="0" w:afterAutospacing="0" w:line="360" w:lineRule="auto"/>
        <w:jc w:val="center"/>
        <w:outlineLvl w:val="0"/>
        <w:rPr>
          <w:rFonts w:ascii="Times New Roman" w:eastAsia="黑体" w:hAnsi="Times New Roman"/>
          <w:snapToGrid w:val="0"/>
          <w:color w:val="000000"/>
          <w:sz w:val="30"/>
          <w:szCs w:val="30"/>
        </w:rPr>
      </w:pPr>
      <w:r>
        <w:rPr>
          <w:rFonts w:ascii="Times New Roman" w:eastAsia="黑体" w:hAnsi="Times New Roman"/>
          <w:snapToGrid w:val="0"/>
          <w:color w:val="000000"/>
          <w:sz w:val="30"/>
          <w:szCs w:val="30"/>
        </w:rPr>
        <w:t>一、建设项目基本情况</w:t>
      </w: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0" w:type="dxa"/>
          <w:bottom w:w="0" w:type="dxa"/>
          <w:right w:w="0" w:type="dxa"/>
        </w:tblCellMar>
      </w:tblPr>
      <w:tblGrid>
        <w:gridCol w:w="925"/>
        <w:gridCol w:w="2250"/>
        <w:gridCol w:w="1731"/>
        <w:gridCol w:w="3964"/>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0" w:type="dxa"/>
            <w:bottom w:w="0" w:type="dxa"/>
            <w:right w:w="0" w:type="dxa"/>
          </w:tblCellMar>
        </w:tblPrEx>
        <w:trPr>
          <w:trHeight w:val="781"/>
          <w:jc w:val="center"/>
        </w:trPr>
        <w:tc>
          <w:tcPr>
            <w:tcW w:w="925" w:type="dxa"/>
            <w:tcMar>
              <w:top w:w="16" w:type="dxa"/>
              <w:left w:w="16" w:type="dxa"/>
              <w:right w:w="16" w:type="dxa"/>
            </w:tcMar>
            <w:vAlign w:val="center"/>
          </w:tcPr>
          <w:p>
            <w:pPr>
              <w:adjustRightInd w:val="0"/>
              <w:snapToGrid w:val="0"/>
              <w:jc w:val="center"/>
              <w:rPr>
                <w:color w:val="000000"/>
                <w:szCs w:val="21"/>
              </w:rPr>
            </w:pPr>
            <w:bookmarkEnd w:id="2"/>
            <w:r>
              <w:rPr>
                <w:color w:val="000000"/>
                <w:szCs w:val="21"/>
              </w:rPr>
              <w:t>建设项目名称</w:t>
            </w:r>
          </w:p>
        </w:tc>
        <w:tc>
          <w:tcPr>
            <w:tcW w:w="7945" w:type="dxa"/>
            <w:gridSpan w:val="3"/>
            <w:vAlign w:val="center"/>
          </w:tcPr>
          <w:p>
            <w:pPr>
              <w:adjustRightInd w:val="0"/>
              <w:snapToGrid w:val="0"/>
              <w:jc w:val="center"/>
              <w:rPr>
                <w:color w:val="000000"/>
                <w:szCs w:val="21"/>
              </w:rPr>
            </w:pPr>
            <w:r>
              <w:rPr>
                <w:rFonts w:hint="eastAsia"/>
                <w:color w:val="000000"/>
                <w:szCs w:val="21"/>
              </w:rPr>
              <w:t>年产3000吨医用级PET/PETG项目</w:t>
            </w:r>
          </w:p>
        </w:tc>
      </w:tr>
      <w:tr>
        <w:tblPrEx>
          <w:tblW w:w="8870" w:type="dxa"/>
          <w:jc w:val="center"/>
          <w:tblLayout w:type="fixed"/>
          <w:tblCellMar>
            <w:top w:w="0" w:type="dxa"/>
            <w:left w:w="0" w:type="dxa"/>
            <w:bottom w:w="0" w:type="dxa"/>
            <w:right w:w="0" w:type="dxa"/>
          </w:tblCellMar>
        </w:tblPrEx>
        <w:trPr>
          <w:trHeight w:val="612"/>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项目代码</w:t>
            </w:r>
          </w:p>
        </w:tc>
        <w:tc>
          <w:tcPr>
            <w:tcW w:w="7945" w:type="dxa"/>
            <w:gridSpan w:val="3"/>
            <w:vAlign w:val="center"/>
          </w:tcPr>
          <w:p>
            <w:pPr>
              <w:adjustRightInd w:val="0"/>
              <w:snapToGrid w:val="0"/>
              <w:jc w:val="center"/>
              <w:rPr>
                <w:rFonts w:hint="eastAsia"/>
                <w:color w:val="000000" w:themeColor="text1"/>
                <w:szCs w:val="21"/>
              </w:rPr>
            </w:pPr>
            <w:r>
              <w:rPr>
                <w:rFonts w:hint="eastAsia"/>
                <w:color w:val="000000" w:themeColor="text1"/>
                <w:spacing w:val="-8"/>
                <w:szCs w:val="21"/>
                <w:lang w:eastAsia="zh-CN"/>
              </w:rPr>
              <w:t>2312-371426-89-03-454700</w:t>
            </w:r>
          </w:p>
        </w:tc>
      </w:tr>
      <w:tr>
        <w:tblPrEx>
          <w:tblW w:w="8870" w:type="dxa"/>
          <w:jc w:val="center"/>
          <w:tblLayout w:type="fixed"/>
          <w:tblCellMar>
            <w:top w:w="0" w:type="dxa"/>
            <w:left w:w="0" w:type="dxa"/>
            <w:bottom w:w="0" w:type="dxa"/>
            <w:right w:w="0" w:type="dxa"/>
          </w:tblCellMar>
        </w:tblPrEx>
        <w:trPr>
          <w:trHeight w:val="744"/>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建设单位联系人</w:t>
            </w:r>
          </w:p>
        </w:tc>
        <w:tc>
          <w:tcPr>
            <w:tcW w:w="2250" w:type="dxa"/>
            <w:vAlign w:val="center"/>
          </w:tcPr>
          <w:p>
            <w:pPr>
              <w:widowControl/>
              <w:jc w:val="center"/>
              <w:rPr>
                <w:color w:val="000000" w:themeColor="text1"/>
                <w:szCs w:val="21"/>
              </w:rPr>
            </w:pPr>
          </w:p>
        </w:tc>
        <w:tc>
          <w:tcPr>
            <w:tcW w:w="1731" w:type="dxa"/>
            <w:vAlign w:val="center"/>
          </w:tcPr>
          <w:p>
            <w:pPr>
              <w:adjustRightInd w:val="0"/>
              <w:snapToGrid w:val="0"/>
              <w:jc w:val="center"/>
              <w:rPr>
                <w:color w:val="000000" w:themeColor="text1"/>
                <w:spacing w:val="-8"/>
                <w:szCs w:val="21"/>
              </w:rPr>
            </w:pPr>
            <w:r>
              <w:rPr>
                <w:rFonts w:hint="eastAsia"/>
                <w:color w:val="000000" w:themeColor="text1"/>
                <w:spacing w:val="-8"/>
                <w:szCs w:val="21"/>
              </w:rPr>
              <w:t>联系方式</w:t>
            </w:r>
          </w:p>
        </w:tc>
        <w:tc>
          <w:tcPr>
            <w:tcW w:w="3964" w:type="dxa"/>
            <w:vAlign w:val="center"/>
          </w:tcPr>
          <w:p>
            <w:pPr>
              <w:adjustRightInd w:val="0"/>
              <w:snapToGrid w:val="0"/>
              <w:jc w:val="center"/>
              <w:rPr>
                <w:color w:val="000000" w:themeColor="text1"/>
                <w:spacing w:val="-8"/>
                <w:szCs w:val="21"/>
              </w:rPr>
            </w:pPr>
          </w:p>
        </w:tc>
      </w:tr>
      <w:tr>
        <w:tblPrEx>
          <w:tblW w:w="8870" w:type="dxa"/>
          <w:jc w:val="center"/>
          <w:tblLayout w:type="fixed"/>
          <w:tblCellMar>
            <w:top w:w="0" w:type="dxa"/>
            <w:left w:w="0" w:type="dxa"/>
            <w:bottom w:w="0" w:type="dxa"/>
            <w:right w:w="0" w:type="dxa"/>
          </w:tblCellMar>
        </w:tblPrEx>
        <w:trPr>
          <w:trHeight w:val="640"/>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建设地点</w:t>
            </w:r>
          </w:p>
        </w:tc>
        <w:tc>
          <w:tcPr>
            <w:tcW w:w="7945" w:type="dxa"/>
            <w:gridSpan w:val="3"/>
            <w:vAlign w:val="center"/>
          </w:tcPr>
          <w:p>
            <w:pPr>
              <w:adjustRightInd w:val="0"/>
              <w:snapToGrid w:val="0"/>
              <w:jc w:val="center"/>
              <w:rPr>
                <w:rFonts w:hint="eastAsia"/>
                <w:color w:val="000000" w:themeColor="text1"/>
                <w:szCs w:val="21"/>
              </w:rPr>
            </w:pPr>
            <w:r>
              <w:rPr>
                <w:rFonts w:hint="eastAsia"/>
                <w:color w:val="000000" w:themeColor="text1"/>
                <w:szCs w:val="21"/>
                <w:lang w:eastAsia="zh-CN"/>
              </w:rPr>
              <w:t>山东省德州市平原经济开发区桃园北大道和北环路交叉口东南侧50米</w:t>
            </w:r>
          </w:p>
        </w:tc>
      </w:tr>
      <w:tr>
        <w:tblPrEx>
          <w:tblW w:w="8870" w:type="dxa"/>
          <w:jc w:val="center"/>
          <w:tblLayout w:type="fixed"/>
          <w:tblCellMar>
            <w:top w:w="0" w:type="dxa"/>
            <w:left w:w="0" w:type="dxa"/>
            <w:bottom w:w="0" w:type="dxa"/>
            <w:right w:w="0" w:type="dxa"/>
          </w:tblCellMar>
        </w:tblPrEx>
        <w:trPr>
          <w:trHeight w:val="628"/>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地理坐标</w:t>
            </w:r>
          </w:p>
        </w:tc>
        <w:tc>
          <w:tcPr>
            <w:tcW w:w="7945" w:type="dxa"/>
            <w:gridSpan w:val="3"/>
            <w:vAlign w:val="center"/>
          </w:tcPr>
          <w:p>
            <w:pPr>
              <w:jc w:val="center"/>
              <w:rPr>
                <w:color w:val="000000" w:themeColor="text1"/>
                <w:szCs w:val="21"/>
              </w:rPr>
            </w:pPr>
            <w:r>
              <w:rPr>
                <w:color w:val="000000" w:themeColor="text1"/>
                <w:szCs w:val="21"/>
              </w:rPr>
              <w:t>（</w:t>
            </w:r>
            <w:r>
              <w:rPr>
                <w:color w:val="000000" w:themeColor="text1"/>
                <w:szCs w:val="21"/>
                <w:u w:val="single"/>
              </w:rPr>
              <w:t>116</w:t>
            </w:r>
            <w:r>
              <w:rPr>
                <w:color w:val="000000" w:themeColor="text1"/>
                <w:szCs w:val="21"/>
              </w:rPr>
              <w:t>度</w:t>
            </w:r>
            <w:r>
              <w:rPr>
                <w:rFonts w:hint="eastAsia"/>
                <w:color w:val="000000" w:themeColor="text1"/>
                <w:szCs w:val="21"/>
                <w:u w:val="single"/>
                <w:lang w:val="en-US" w:eastAsia="zh-CN"/>
              </w:rPr>
              <w:t>27</w:t>
            </w:r>
            <w:r>
              <w:rPr>
                <w:color w:val="000000" w:themeColor="text1"/>
                <w:szCs w:val="21"/>
              </w:rPr>
              <w:t>分</w:t>
            </w:r>
            <w:r>
              <w:rPr>
                <w:rFonts w:hint="eastAsia"/>
                <w:color w:val="000000" w:themeColor="text1"/>
                <w:szCs w:val="21"/>
                <w:u w:val="single"/>
                <w:lang w:val="en-US" w:eastAsia="zh-CN"/>
              </w:rPr>
              <w:t>50.400</w:t>
            </w:r>
            <w:r>
              <w:rPr>
                <w:color w:val="000000" w:themeColor="text1"/>
                <w:szCs w:val="21"/>
              </w:rPr>
              <w:t>秒，</w:t>
            </w:r>
            <w:r>
              <w:rPr>
                <w:color w:val="000000" w:themeColor="text1"/>
                <w:szCs w:val="21"/>
                <w:u w:val="single"/>
              </w:rPr>
              <w:t>37</w:t>
            </w:r>
            <w:r>
              <w:rPr>
                <w:color w:val="000000" w:themeColor="text1"/>
                <w:szCs w:val="21"/>
              </w:rPr>
              <w:t>度</w:t>
            </w:r>
            <w:r>
              <w:rPr>
                <w:rFonts w:hint="eastAsia"/>
                <w:color w:val="000000" w:themeColor="text1"/>
                <w:szCs w:val="21"/>
                <w:u w:val="single"/>
              </w:rPr>
              <w:t>1</w:t>
            </w:r>
            <w:r>
              <w:rPr>
                <w:rFonts w:hint="eastAsia"/>
                <w:color w:val="000000" w:themeColor="text1"/>
                <w:szCs w:val="21"/>
                <w:u w:val="single"/>
                <w:lang w:val="en-US" w:eastAsia="zh-CN"/>
              </w:rPr>
              <w:t>1</w:t>
            </w:r>
            <w:r>
              <w:rPr>
                <w:color w:val="000000" w:themeColor="text1"/>
                <w:szCs w:val="21"/>
              </w:rPr>
              <w:t>分</w:t>
            </w:r>
            <w:r>
              <w:rPr>
                <w:rFonts w:hint="eastAsia"/>
                <w:color w:val="000000" w:themeColor="text1"/>
                <w:szCs w:val="21"/>
                <w:lang w:val="en-US" w:eastAsia="zh-CN"/>
              </w:rPr>
              <w:t>3</w:t>
            </w:r>
            <w:r>
              <w:rPr>
                <w:rFonts w:hint="eastAsia"/>
                <w:color w:val="000000" w:themeColor="text1"/>
                <w:szCs w:val="21"/>
                <w:u w:val="single"/>
              </w:rPr>
              <w:t>8.400</w:t>
            </w:r>
            <w:r>
              <w:rPr>
                <w:color w:val="000000" w:themeColor="text1"/>
                <w:szCs w:val="21"/>
              </w:rPr>
              <w:t>秒）</w:t>
            </w:r>
          </w:p>
        </w:tc>
      </w:tr>
      <w:tr>
        <w:tblPrEx>
          <w:tblW w:w="8870" w:type="dxa"/>
          <w:jc w:val="center"/>
          <w:tblLayout w:type="fixed"/>
          <w:tblCellMar>
            <w:top w:w="0" w:type="dxa"/>
            <w:left w:w="0" w:type="dxa"/>
            <w:bottom w:w="0" w:type="dxa"/>
            <w:right w:w="0" w:type="dxa"/>
          </w:tblCellMar>
        </w:tblPrEx>
        <w:trPr>
          <w:trHeight w:val="960"/>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国民经济</w:t>
            </w:r>
          </w:p>
          <w:p>
            <w:pPr>
              <w:adjustRightInd w:val="0"/>
              <w:snapToGrid w:val="0"/>
              <w:jc w:val="center"/>
              <w:rPr>
                <w:color w:val="000000"/>
                <w:szCs w:val="21"/>
              </w:rPr>
            </w:pPr>
            <w:r>
              <w:rPr>
                <w:color w:val="000000"/>
                <w:szCs w:val="21"/>
              </w:rPr>
              <w:t>行业类别</w:t>
            </w:r>
          </w:p>
        </w:tc>
        <w:tc>
          <w:tcPr>
            <w:tcW w:w="2250" w:type="dxa"/>
            <w:vAlign w:val="center"/>
          </w:tcPr>
          <w:p>
            <w:pPr>
              <w:pStyle w:val="BodyText"/>
              <w:kinsoku w:val="0"/>
              <w:overflowPunct w:val="0"/>
              <w:adjustRightInd w:val="0"/>
              <w:spacing w:before="0" w:after="0" w:line="240" w:lineRule="auto"/>
              <w:ind w:right="0" w:rightChars="0"/>
              <w:jc w:val="center"/>
              <w:rPr>
                <w:color w:val="000000" w:themeColor="text1"/>
                <w:sz w:val="21"/>
                <w:szCs w:val="21"/>
              </w:rPr>
            </w:pPr>
            <w:r>
              <w:rPr>
                <w:rFonts w:ascii="Times New Roman" w:hAnsi="Times New Roman" w:cs="Times New Roman" w:hint="default"/>
                <w:color w:val="000000" w:themeColor="text1"/>
                <w:sz w:val="21"/>
                <w:szCs w:val="21"/>
              </w:rPr>
              <w:t>C292</w:t>
            </w:r>
            <w:r>
              <w:rPr>
                <w:rFonts w:ascii="Times New Roman" w:hAnsi="Times New Roman" w:cs="Times New Roman" w:hint="default"/>
                <w:color w:val="000000" w:themeColor="text1"/>
                <w:sz w:val="21"/>
                <w:szCs w:val="21"/>
                <w:lang w:val="en-US" w:eastAsia="zh-CN"/>
              </w:rPr>
              <w:t>2</w:t>
            </w:r>
            <w:r>
              <w:rPr>
                <w:rFonts w:ascii="Times New Roman" w:hAnsi="Times New Roman" w:cs="Times New Roman" w:hint="default"/>
                <w:color w:val="000000" w:themeColor="text1"/>
                <w:sz w:val="21"/>
                <w:szCs w:val="21"/>
              </w:rPr>
              <w:t>塑料板、管、型材制造</w:t>
            </w:r>
          </w:p>
        </w:tc>
        <w:tc>
          <w:tcPr>
            <w:tcW w:w="1731" w:type="dxa"/>
            <w:vAlign w:val="center"/>
          </w:tcPr>
          <w:p>
            <w:pPr>
              <w:adjustRightInd w:val="0"/>
              <w:snapToGrid w:val="0"/>
              <w:jc w:val="center"/>
              <w:rPr>
                <w:color w:val="000000" w:themeColor="text1"/>
                <w:szCs w:val="21"/>
              </w:rPr>
            </w:pPr>
            <w:r>
              <w:rPr>
                <w:color w:val="000000" w:themeColor="text1"/>
                <w:szCs w:val="21"/>
              </w:rPr>
              <w:t>建设项目</w:t>
            </w:r>
          </w:p>
          <w:p>
            <w:pPr>
              <w:adjustRightInd w:val="0"/>
              <w:snapToGrid w:val="0"/>
              <w:jc w:val="center"/>
              <w:rPr>
                <w:color w:val="000000" w:themeColor="text1"/>
                <w:szCs w:val="21"/>
              </w:rPr>
            </w:pPr>
            <w:r>
              <w:rPr>
                <w:color w:val="000000" w:themeColor="text1"/>
                <w:szCs w:val="21"/>
              </w:rPr>
              <w:t>行业类别</w:t>
            </w:r>
          </w:p>
        </w:tc>
        <w:tc>
          <w:tcPr>
            <w:tcW w:w="3964" w:type="dxa"/>
            <w:vAlign w:val="center"/>
          </w:tcPr>
          <w:p>
            <w:pPr>
              <w:adjustRightInd w:val="0"/>
              <w:snapToGrid w:val="0"/>
              <w:rPr>
                <w:color w:val="000000" w:themeColor="text1"/>
                <w:szCs w:val="21"/>
              </w:rPr>
            </w:pPr>
            <w:r>
              <w:rPr>
                <w:color w:val="000000" w:themeColor="text1"/>
                <w:szCs w:val="21"/>
              </w:rPr>
              <w:t>二十六、橡胶和塑料制品业29”中“53、塑料制品</w:t>
            </w:r>
            <w:r>
              <w:rPr>
                <w:rFonts w:hint="eastAsia"/>
                <w:color w:val="000000" w:themeColor="text1"/>
                <w:szCs w:val="21"/>
              </w:rPr>
              <w:t>业292</w:t>
            </w:r>
            <w:r>
              <w:rPr>
                <w:color w:val="000000" w:themeColor="text1"/>
                <w:szCs w:val="21"/>
              </w:rPr>
              <w:t>”</w:t>
            </w:r>
          </w:p>
        </w:tc>
      </w:tr>
      <w:tr>
        <w:tblPrEx>
          <w:tblW w:w="8870" w:type="dxa"/>
          <w:jc w:val="center"/>
          <w:tblLayout w:type="fixed"/>
          <w:tblCellMar>
            <w:top w:w="0" w:type="dxa"/>
            <w:left w:w="0" w:type="dxa"/>
            <w:bottom w:w="0" w:type="dxa"/>
            <w:right w:w="0" w:type="dxa"/>
          </w:tblCellMar>
        </w:tblPrEx>
        <w:trPr>
          <w:trHeight w:val="1271"/>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建设性质</w:t>
            </w:r>
          </w:p>
        </w:tc>
        <w:tc>
          <w:tcPr>
            <w:tcW w:w="2250" w:type="dxa"/>
            <w:vAlign w:val="center"/>
          </w:tcPr>
          <w:p>
            <w:pPr>
              <w:jc w:val="left"/>
              <w:rPr>
                <w:color w:val="000000" w:themeColor="text1"/>
                <w:szCs w:val="21"/>
              </w:rPr>
            </w:pPr>
            <w:r>
              <w:rPr>
                <w:rFonts w:hint="eastAsia"/>
                <w:color w:val="000000" w:themeColor="text1"/>
                <w:szCs w:val="21"/>
              </w:rPr>
              <w:t>√</w:t>
            </w:r>
            <w:r>
              <w:rPr>
                <w:color w:val="000000" w:themeColor="text1"/>
                <w:szCs w:val="21"/>
              </w:rPr>
              <w:t>新建（迁建）</w:t>
            </w:r>
          </w:p>
          <w:p>
            <w:pPr>
              <w:jc w:val="left"/>
              <w:rPr>
                <w:color w:val="000000" w:themeColor="text1"/>
                <w:szCs w:val="21"/>
              </w:rPr>
            </w:pPr>
            <w:r>
              <w:rPr>
                <w:color w:val="000000" w:themeColor="text1"/>
                <w:szCs w:val="21"/>
              </w:rPr>
              <w:t>□改建</w:t>
            </w:r>
          </w:p>
          <w:p>
            <w:pPr>
              <w:jc w:val="left"/>
              <w:rPr>
                <w:color w:val="000000" w:themeColor="text1"/>
                <w:szCs w:val="21"/>
              </w:rPr>
            </w:pPr>
            <w:r>
              <w:rPr>
                <w:color w:val="000000" w:themeColor="text1"/>
                <w:szCs w:val="21"/>
              </w:rPr>
              <w:t>□扩建</w:t>
            </w:r>
          </w:p>
          <w:p>
            <w:pPr>
              <w:jc w:val="left"/>
              <w:rPr>
                <w:color w:val="000000" w:themeColor="text1"/>
                <w:szCs w:val="21"/>
              </w:rPr>
            </w:pPr>
            <w:r>
              <w:rPr>
                <w:color w:val="000000" w:themeColor="text1"/>
                <w:szCs w:val="21"/>
              </w:rPr>
              <w:t>□技术改造</w:t>
            </w:r>
          </w:p>
        </w:tc>
        <w:tc>
          <w:tcPr>
            <w:tcW w:w="1731" w:type="dxa"/>
            <w:vAlign w:val="center"/>
          </w:tcPr>
          <w:p>
            <w:pPr>
              <w:adjustRightInd w:val="0"/>
              <w:snapToGrid w:val="0"/>
              <w:jc w:val="center"/>
              <w:rPr>
                <w:color w:val="000000" w:themeColor="text1"/>
                <w:szCs w:val="21"/>
              </w:rPr>
            </w:pPr>
            <w:r>
              <w:rPr>
                <w:color w:val="000000" w:themeColor="text1"/>
                <w:szCs w:val="21"/>
              </w:rPr>
              <w:t>建设项目</w:t>
            </w:r>
          </w:p>
          <w:p>
            <w:pPr>
              <w:adjustRightInd w:val="0"/>
              <w:snapToGrid w:val="0"/>
              <w:jc w:val="center"/>
              <w:rPr>
                <w:color w:val="000000" w:themeColor="text1"/>
                <w:szCs w:val="21"/>
              </w:rPr>
            </w:pPr>
            <w:r>
              <w:rPr>
                <w:color w:val="000000" w:themeColor="text1"/>
                <w:szCs w:val="21"/>
              </w:rPr>
              <w:t>申报情形</w:t>
            </w:r>
          </w:p>
        </w:tc>
        <w:tc>
          <w:tcPr>
            <w:tcW w:w="3964" w:type="dxa"/>
            <w:vAlign w:val="center"/>
          </w:tcPr>
          <w:p>
            <w:pPr>
              <w:jc w:val="left"/>
              <w:rPr>
                <w:color w:val="000000" w:themeColor="text1"/>
                <w:szCs w:val="21"/>
              </w:rPr>
            </w:pPr>
            <w:r>
              <w:rPr>
                <w:rFonts w:hint="eastAsia"/>
                <w:color w:val="000000" w:themeColor="text1"/>
                <w:szCs w:val="21"/>
              </w:rPr>
              <w:t>√</w:t>
            </w:r>
            <w:r>
              <w:rPr>
                <w:color w:val="000000" w:themeColor="text1"/>
                <w:szCs w:val="21"/>
              </w:rPr>
              <w:t xml:space="preserve">首次申报项目             </w:t>
            </w:r>
          </w:p>
          <w:p>
            <w:pPr>
              <w:jc w:val="left"/>
              <w:rPr>
                <w:color w:val="000000" w:themeColor="text1"/>
                <w:szCs w:val="21"/>
              </w:rPr>
            </w:pPr>
            <w:r>
              <w:rPr>
                <w:color w:val="000000" w:themeColor="text1"/>
                <w:szCs w:val="21"/>
              </w:rPr>
              <w:t>□不予批准后再次申报项目</w:t>
            </w:r>
          </w:p>
          <w:p>
            <w:pPr>
              <w:jc w:val="left"/>
              <w:rPr>
                <w:color w:val="000000" w:themeColor="text1"/>
                <w:szCs w:val="21"/>
              </w:rPr>
            </w:pPr>
            <w:r>
              <w:rPr>
                <w:color w:val="000000" w:themeColor="text1"/>
                <w:szCs w:val="21"/>
              </w:rPr>
              <w:t xml:space="preserve">□超五年重新审核项目     </w:t>
            </w:r>
          </w:p>
          <w:p>
            <w:pPr>
              <w:jc w:val="left"/>
              <w:rPr>
                <w:color w:val="000000" w:themeColor="text1"/>
                <w:szCs w:val="21"/>
              </w:rPr>
            </w:pPr>
            <w:r>
              <w:rPr>
                <w:color w:val="000000" w:themeColor="text1"/>
                <w:szCs w:val="21"/>
              </w:rPr>
              <w:t>□重大变动重新报批项目</w:t>
            </w:r>
          </w:p>
        </w:tc>
      </w:tr>
      <w:tr>
        <w:tblPrEx>
          <w:tblW w:w="8870" w:type="dxa"/>
          <w:jc w:val="center"/>
          <w:tblLayout w:type="fixed"/>
          <w:tblCellMar>
            <w:top w:w="0" w:type="dxa"/>
            <w:left w:w="0" w:type="dxa"/>
            <w:bottom w:w="0" w:type="dxa"/>
            <w:right w:w="0" w:type="dxa"/>
          </w:tblCellMar>
        </w:tblPrEx>
        <w:trPr>
          <w:trHeight w:val="1371"/>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项目审批（核准/备案）部门（选填）</w:t>
            </w:r>
          </w:p>
        </w:tc>
        <w:tc>
          <w:tcPr>
            <w:tcW w:w="2250" w:type="dxa"/>
            <w:vAlign w:val="center"/>
          </w:tcPr>
          <w:p>
            <w:pPr>
              <w:adjustRightInd w:val="0"/>
              <w:snapToGrid w:val="0"/>
              <w:jc w:val="center"/>
              <w:rPr>
                <w:color w:val="000000" w:themeColor="text1"/>
                <w:szCs w:val="21"/>
              </w:rPr>
            </w:pPr>
            <w:r>
              <w:rPr>
                <w:rFonts w:hint="eastAsia"/>
                <w:color w:val="000000" w:themeColor="text1"/>
                <w:szCs w:val="21"/>
              </w:rPr>
              <w:t>平原县</w:t>
            </w:r>
            <w:r>
              <w:rPr>
                <w:color w:val="000000" w:themeColor="text1"/>
                <w:szCs w:val="21"/>
              </w:rPr>
              <w:t>行政审批服务局</w:t>
            </w:r>
          </w:p>
        </w:tc>
        <w:tc>
          <w:tcPr>
            <w:tcW w:w="1731" w:type="dxa"/>
            <w:vAlign w:val="center"/>
          </w:tcPr>
          <w:p>
            <w:pPr>
              <w:adjustRightInd w:val="0"/>
              <w:snapToGrid w:val="0"/>
              <w:jc w:val="center"/>
              <w:rPr>
                <w:color w:val="000000" w:themeColor="text1"/>
                <w:szCs w:val="21"/>
              </w:rPr>
            </w:pPr>
            <w:r>
              <w:rPr>
                <w:color w:val="000000" w:themeColor="text1"/>
                <w:szCs w:val="21"/>
              </w:rPr>
              <w:t>项目审批（核准/</w:t>
            </w:r>
          </w:p>
          <w:p>
            <w:pPr>
              <w:adjustRightInd w:val="0"/>
              <w:snapToGrid w:val="0"/>
              <w:jc w:val="center"/>
              <w:rPr>
                <w:color w:val="000000" w:themeColor="text1"/>
                <w:szCs w:val="21"/>
              </w:rPr>
            </w:pPr>
            <w:r>
              <w:rPr>
                <w:color w:val="000000" w:themeColor="text1"/>
                <w:szCs w:val="21"/>
              </w:rPr>
              <w:t>备案）文号（选填）</w:t>
            </w:r>
          </w:p>
        </w:tc>
        <w:tc>
          <w:tcPr>
            <w:tcW w:w="3964" w:type="dxa"/>
            <w:vAlign w:val="center"/>
          </w:tcPr>
          <w:p>
            <w:pPr>
              <w:adjustRightInd w:val="0"/>
              <w:snapToGrid w:val="0"/>
              <w:jc w:val="center"/>
              <w:rPr>
                <w:rFonts w:hint="eastAsia"/>
                <w:color w:val="000000" w:themeColor="text1"/>
                <w:szCs w:val="21"/>
              </w:rPr>
            </w:pPr>
            <w:r>
              <w:rPr>
                <w:rFonts w:hint="eastAsia"/>
                <w:color w:val="000000" w:themeColor="text1"/>
                <w:spacing w:val="-8"/>
                <w:szCs w:val="21"/>
                <w:lang w:eastAsia="zh-CN"/>
              </w:rPr>
              <w:t>2312-371426-89-03-454700</w:t>
            </w:r>
          </w:p>
        </w:tc>
      </w:tr>
      <w:tr>
        <w:tblPrEx>
          <w:tblW w:w="8870" w:type="dxa"/>
          <w:jc w:val="center"/>
          <w:tblLayout w:type="fixed"/>
          <w:tblCellMar>
            <w:top w:w="0" w:type="dxa"/>
            <w:left w:w="0" w:type="dxa"/>
            <w:bottom w:w="0" w:type="dxa"/>
            <w:right w:w="0" w:type="dxa"/>
          </w:tblCellMar>
        </w:tblPrEx>
        <w:trPr>
          <w:trHeight w:val="720"/>
          <w:jc w:val="center"/>
        </w:trPr>
        <w:tc>
          <w:tcPr>
            <w:tcW w:w="925" w:type="dxa"/>
            <w:tcMar>
              <w:top w:w="16" w:type="dxa"/>
              <w:left w:w="16" w:type="dxa"/>
              <w:right w:w="16" w:type="dxa"/>
            </w:tcMar>
            <w:vAlign w:val="center"/>
          </w:tcPr>
          <w:p>
            <w:pPr>
              <w:adjustRightInd w:val="0"/>
              <w:snapToGrid w:val="0"/>
              <w:jc w:val="center"/>
              <w:rPr>
                <w:color w:val="000000" w:themeColor="text1"/>
                <w:szCs w:val="21"/>
              </w:rPr>
            </w:pPr>
            <w:r>
              <w:rPr>
                <w:color w:val="000000" w:themeColor="text1"/>
                <w:szCs w:val="21"/>
              </w:rPr>
              <w:t>总投资（万元）</w:t>
            </w:r>
          </w:p>
        </w:tc>
        <w:tc>
          <w:tcPr>
            <w:tcW w:w="2250" w:type="dxa"/>
            <w:vAlign w:val="center"/>
          </w:tcPr>
          <w:p>
            <w:pPr>
              <w:adjustRightInd w:val="0"/>
              <w:snapToGrid w:val="0"/>
              <w:jc w:val="center"/>
              <w:rPr>
                <w:color w:val="000000" w:themeColor="text1"/>
                <w:szCs w:val="21"/>
              </w:rPr>
            </w:pPr>
            <w:r>
              <w:rPr>
                <w:rFonts w:hint="eastAsia"/>
                <w:bCs/>
                <w:color w:val="000000" w:themeColor="text1"/>
                <w:szCs w:val="21"/>
                <w:lang w:val="en-US" w:eastAsia="zh-CN"/>
              </w:rPr>
              <w:t>5</w:t>
            </w:r>
            <w:r>
              <w:rPr>
                <w:rFonts w:hint="eastAsia"/>
                <w:bCs/>
                <w:color w:val="000000" w:themeColor="text1"/>
                <w:szCs w:val="21"/>
              </w:rPr>
              <w:t>000</w:t>
            </w:r>
          </w:p>
        </w:tc>
        <w:tc>
          <w:tcPr>
            <w:tcW w:w="1731" w:type="dxa"/>
            <w:tcMar>
              <w:top w:w="16" w:type="dxa"/>
              <w:left w:w="16" w:type="dxa"/>
              <w:right w:w="16" w:type="dxa"/>
            </w:tcMar>
            <w:vAlign w:val="center"/>
          </w:tcPr>
          <w:p>
            <w:pPr>
              <w:adjustRightInd w:val="0"/>
              <w:snapToGrid w:val="0"/>
              <w:jc w:val="center"/>
              <w:rPr>
                <w:color w:val="000000" w:themeColor="text1"/>
                <w:szCs w:val="21"/>
              </w:rPr>
            </w:pPr>
            <w:r>
              <w:rPr>
                <w:color w:val="000000" w:themeColor="text1"/>
                <w:szCs w:val="21"/>
              </w:rPr>
              <w:t>环保投资（万元）</w:t>
            </w:r>
          </w:p>
        </w:tc>
        <w:tc>
          <w:tcPr>
            <w:tcW w:w="3964" w:type="dxa"/>
            <w:vAlign w:val="center"/>
          </w:tcPr>
          <w:p>
            <w:pPr>
              <w:adjustRightInd w:val="0"/>
              <w:snapToGrid w:val="0"/>
              <w:jc w:val="center"/>
              <w:rPr>
                <w:rFonts w:hint="default"/>
                <w:color w:val="000000" w:themeColor="text1"/>
                <w:szCs w:val="21"/>
              </w:rPr>
            </w:pPr>
            <w:r>
              <w:rPr>
                <w:rFonts w:hint="eastAsia"/>
                <w:color w:val="000000" w:themeColor="text1"/>
                <w:szCs w:val="21"/>
                <w:lang w:val="en-US" w:eastAsia="zh-CN"/>
              </w:rPr>
              <w:t>10</w:t>
            </w:r>
          </w:p>
        </w:tc>
      </w:tr>
      <w:tr>
        <w:tblPrEx>
          <w:tblW w:w="8870" w:type="dxa"/>
          <w:jc w:val="center"/>
          <w:tblLayout w:type="fixed"/>
          <w:tblCellMar>
            <w:top w:w="0" w:type="dxa"/>
            <w:left w:w="0" w:type="dxa"/>
            <w:bottom w:w="0" w:type="dxa"/>
            <w:right w:w="0" w:type="dxa"/>
          </w:tblCellMar>
        </w:tblPrEx>
        <w:trPr>
          <w:trHeight w:val="770"/>
          <w:jc w:val="center"/>
        </w:trPr>
        <w:tc>
          <w:tcPr>
            <w:tcW w:w="925" w:type="dxa"/>
            <w:tcMar>
              <w:top w:w="16" w:type="dxa"/>
              <w:left w:w="16" w:type="dxa"/>
              <w:right w:w="16" w:type="dxa"/>
            </w:tcMar>
            <w:vAlign w:val="center"/>
          </w:tcPr>
          <w:p>
            <w:pPr>
              <w:adjustRightInd w:val="0"/>
              <w:snapToGrid w:val="0"/>
              <w:jc w:val="center"/>
              <w:rPr>
                <w:color w:val="000000" w:themeColor="text1"/>
                <w:szCs w:val="21"/>
              </w:rPr>
            </w:pPr>
            <w:r>
              <w:rPr>
                <w:color w:val="000000" w:themeColor="text1"/>
                <w:szCs w:val="21"/>
              </w:rPr>
              <w:t>环保投资占比（%）</w:t>
            </w:r>
          </w:p>
        </w:tc>
        <w:tc>
          <w:tcPr>
            <w:tcW w:w="2250" w:type="dxa"/>
            <w:vAlign w:val="center"/>
          </w:tcPr>
          <w:p>
            <w:pPr>
              <w:jc w:val="center"/>
              <w:rPr>
                <w:rFonts w:hint="default"/>
                <w:color w:val="000000" w:themeColor="text1"/>
                <w:spacing w:val="-20"/>
                <w:szCs w:val="21"/>
              </w:rPr>
            </w:pPr>
            <w:r>
              <w:rPr>
                <w:rFonts w:ascii="Times New Roman" w:eastAsia="宋体" w:hAnsi="Times New Roman" w:cs="Times New Roman" w:hint="eastAsia"/>
                <w:bCs/>
                <w:color w:val="000000" w:themeColor="text1"/>
                <w:szCs w:val="21"/>
                <w:lang w:val="en-US" w:eastAsia="zh-CN"/>
              </w:rPr>
              <w:t>0.2</w:t>
            </w:r>
          </w:p>
        </w:tc>
        <w:tc>
          <w:tcPr>
            <w:tcW w:w="1731" w:type="dxa"/>
            <w:tcMar>
              <w:top w:w="16" w:type="dxa"/>
              <w:left w:w="16" w:type="dxa"/>
              <w:right w:w="16" w:type="dxa"/>
            </w:tcMar>
            <w:vAlign w:val="center"/>
          </w:tcPr>
          <w:p>
            <w:pPr>
              <w:adjustRightInd w:val="0"/>
              <w:snapToGrid w:val="0"/>
              <w:jc w:val="center"/>
              <w:rPr>
                <w:color w:val="000000" w:themeColor="text1"/>
                <w:szCs w:val="21"/>
              </w:rPr>
            </w:pPr>
            <w:r>
              <w:rPr>
                <w:color w:val="000000" w:themeColor="text1"/>
                <w:szCs w:val="21"/>
              </w:rPr>
              <w:t>施工工期</w:t>
            </w:r>
          </w:p>
        </w:tc>
        <w:tc>
          <w:tcPr>
            <w:tcW w:w="3964" w:type="dxa"/>
            <w:vAlign w:val="center"/>
          </w:tcPr>
          <w:p>
            <w:pPr>
              <w:adjustRightInd w:val="0"/>
              <w:snapToGrid w:val="0"/>
              <w:jc w:val="center"/>
              <w:rPr>
                <w:color w:val="000000" w:themeColor="text1"/>
                <w:szCs w:val="21"/>
              </w:rPr>
            </w:pPr>
            <w:r>
              <w:rPr>
                <w:rFonts w:hint="eastAsia"/>
                <w:color w:val="000000" w:themeColor="text1"/>
                <w:szCs w:val="21"/>
                <w:lang w:val="en-US" w:eastAsia="zh-CN"/>
              </w:rPr>
              <w:t>3</w:t>
            </w:r>
            <w:r>
              <w:rPr>
                <w:color w:val="000000" w:themeColor="text1"/>
                <w:szCs w:val="21"/>
              </w:rPr>
              <w:t>个月</w:t>
            </w:r>
          </w:p>
        </w:tc>
      </w:tr>
      <w:tr>
        <w:tblPrEx>
          <w:tblW w:w="8870" w:type="dxa"/>
          <w:jc w:val="center"/>
          <w:tblLayout w:type="fixed"/>
          <w:tblCellMar>
            <w:top w:w="0" w:type="dxa"/>
            <w:left w:w="0" w:type="dxa"/>
            <w:bottom w:w="0" w:type="dxa"/>
            <w:right w:w="0" w:type="dxa"/>
          </w:tblCellMar>
        </w:tblPrEx>
        <w:trPr>
          <w:trHeight w:val="755"/>
          <w:jc w:val="center"/>
        </w:trPr>
        <w:tc>
          <w:tcPr>
            <w:tcW w:w="925" w:type="dxa"/>
            <w:tcMar>
              <w:top w:w="16" w:type="dxa"/>
              <w:left w:w="16" w:type="dxa"/>
              <w:right w:w="16" w:type="dxa"/>
            </w:tcMar>
            <w:vAlign w:val="center"/>
          </w:tcPr>
          <w:p>
            <w:pPr>
              <w:adjustRightInd w:val="0"/>
              <w:snapToGrid w:val="0"/>
              <w:jc w:val="center"/>
              <w:rPr>
                <w:color w:val="000000"/>
                <w:szCs w:val="21"/>
              </w:rPr>
            </w:pPr>
            <w:r>
              <w:rPr>
                <w:color w:val="000000"/>
                <w:szCs w:val="21"/>
              </w:rPr>
              <w:t>是否开工建设</w:t>
            </w:r>
          </w:p>
        </w:tc>
        <w:tc>
          <w:tcPr>
            <w:tcW w:w="2250" w:type="dxa"/>
            <w:vAlign w:val="center"/>
          </w:tcPr>
          <w:p>
            <w:pPr>
              <w:adjustRightInd w:val="0"/>
              <w:snapToGrid w:val="0"/>
              <w:rPr>
                <w:color w:val="000000"/>
                <w:szCs w:val="21"/>
              </w:rPr>
            </w:pPr>
            <w:r>
              <w:rPr>
                <w:rFonts w:hint="eastAsia"/>
                <w:color w:val="000000"/>
                <w:szCs w:val="21"/>
              </w:rPr>
              <w:t>√</w:t>
            </w:r>
            <w:r>
              <w:rPr>
                <w:color w:val="000000"/>
                <w:szCs w:val="21"/>
              </w:rPr>
              <w:t>否</w:t>
            </w:r>
          </w:p>
          <w:p>
            <w:pPr>
              <w:adjustRightInd w:val="0"/>
              <w:snapToGrid w:val="0"/>
              <w:rPr>
                <w:color w:val="000000"/>
                <w:szCs w:val="21"/>
              </w:rPr>
            </w:pPr>
            <w:r>
              <w:rPr>
                <w:color w:val="000000"/>
                <w:szCs w:val="21"/>
              </w:rPr>
              <w:t>□是：</w:t>
            </w:r>
            <w:r>
              <w:rPr>
                <w:color w:val="000000"/>
                <w:szCs w:val="21"/>
                <w:u w:val="single"/>
              </w:rPr>
              <w:t xml:space="preserve">             </w:t>
            </w:r>
          </w:p>
        </w:tc>
        <w:tc>
          <w:tcPr>
            <w:tcW w:w="1731" w:type="dxa"/>
            <w:tcMar>
              <w:top w:w="16" w:type="dxa"/>
              <w:left w:w="16" w:type="dxa"/>
              <w:right w:w="16" w:type="dxa"/>
            </w:tcMar>
            <w:vAlign w:val="center"/>
          </w:tcPr>
          <w:p>
            <w:pPr>
              <w:adjustRightInd w:val="0"/>
              <w:snapToGrid w:val="0"/>
              <w:jc w:val="center"/>
              <w:rPr>
                <w:color w:val="000000"/>
                <w:spacing w:val="-6"/>
                <w:szCs w:val="21"/>
              </w:rPr>
            </w:pPr>
            <w:r>
              <w:rPr>
                <w:color w:val="000000"/>
                <w:spacing w:val="-6"/>
                <w:szCs w:val="21"/>
              </w:rPr>
              <w:t>用地（用海）</w:t>
            </w:r>
          </w:p>
          <w:p>
            <w:pPr>
              <w:adjustRightInd w:val="0"/>
              <w:snapToGrid w:val="0"/>
              <w:jc w:val="center"/>
              <w:rPr>
                <w:color w:val="000000"/>
                <w:szCs w:val="21"/>
              </w:rPr>
            </w:pPr>
            <w:r>
              <w:rPr>
                <w:color w:val="000000"/>
                <w:spacing w:val="-6"/>
                <w:szCs w:val="21"/>
              </w:rPr>
              <w:t>面积（m</w:t>
            </w:r>
            <w:r>
              <w:rPr>
                <w:color w:val="000000"/>
                <w:spacing w:val="-6"/>
                <w:szCs w:val="21"/>
                <w:vertAlign w:val="superscript"/>
              </w:rPr>
              <w:t>2</w:t>
            </w:r>
            <w:r>
              <w:rPr>
                <w:color w:val="000000"/>
                <w:spacing w:val="-6"/>
                <w:szCs w:val="21"/>
              </w:rPr>
              <w:t>）</w:t>
            </w:r>
          </w:p>
        </w:tc>
        <w:tc>
          <w:tcPr>
            <w:tcW w:w="3964" w:type="dxa"/>
            <w:vAlign w:val="center"/>
          </w:tcPr>
          <w:p>
            <w:pPr>
              <w:adjustRightInd w:val="0"/>
              <w:snapToGrid w:val="0"/>
              <w:jc w:val="center"/>
              <w:rPr>
                <w:color w:val="000000"/>
                <w:szCs w:val="21"/>
              </w:rPr>
            </w:pPr>
            <w:r>
              <w:rPr>
                <w:rFonts w:ascii="Times New Roman" w:eastAsia="宋体" w:hAnsi="Times New Roman" w:cs="Times New Roman" w:hint="eastAsia"/>
                <w:color w:val="000000" w:themeColor="text1"/>
                <w:szCs w:val="21"/>
                <w:lang w:val="en-US" w:eastAsia="zh-CN"/>
              </w:rPr>
              <w:t>7071.68</w:t>
            </w:r>
          </w:p>
        </w:tc>
      </w:tr>
      <w:tr>
        <w:tblPrEx>
          <w:tblW w:w="8870" w:type="dxa"/>
          <w:jc w:val="center"/>
          <w:tblLayout w:type="fixed"/>
          <w:tblCellMar>
            <w:top w:w="0" w:type="dxa"/>
            <w:left w:w="108" w:type="dxa"/>
            <w:bottom w:w="0" w:type="dxa"/>
            <w:right w:w="108" w:type="dxa"/>
          </w:tblCellMar>
        </w:tblPrEx>
        <w:trPr>
          <w:trHeight w:val="937"/>
          <w:jc w:val="center"/>
        </w:trPr>
        <w:tc>
          <w:tcPr>
            <w:tcW w:w="925" w:type="dxa"/>
            <w:vAlign w:val="center"/>
          </w:tcPr>
          <w:p>
            <w:pPr>
              <w:autoSpaceDE w:val="0"/>
              <w:autoSpaceDN w:val="0"/>
              <w:adjustRightInd w:val="0"/>
              <w:snapToGrid w:val="0"/>
              <w:jc w:val="center"/>
              <w:rPr>
                <w:color w:val="000000"/>
                <w:kern w:val="0"/>
                <w:szCs w:val="21"/>
              </w:rPr>
            </w:pPr>
            <w:r>
              <w:rPr>
                <w:color w:val="000000"/>
                <w:kern w:val="0"/>
                <w:szCs w:val="21"/>
              </w:rPr>
              <w:t>专项评价设置情况</w:t>
            </w:r>
          </w:p>
        </w:tc>
        <w:tc>
          <w:tcPr>
            <w:tcW w:w="7945" w:type="dxa"/>
            <w:gridSpan w:val="3"/>
            <w:vAlign w:val="center"/>
          </w:tcPr>
          <w:p>
            <w:pPr>
              <w:autoSpaceDE w:val="0"/>
              <w:autoSpaceDN w:val="0"/>
              <w:adjustRightInd w:val="0"/>
              <w:snapToGrid w:val="0"/>
              <w:jc w:val="center"/>
              <w:rPr>
                <w:color w:val="000000"/>
                <w:kern w:val="0"/>
                <w:szCs w:val="21"/>
              </w:rPr>
            </w:pPr>
            <w:r>
              <w:rPr>
                <w:color w:val="000000"/>
                <w:kern w:val="0"/>
                <w:szCs w:val="21"/>
              </w:rPr>
              <w:t>无</w:t>
            </w:r>
          </w:p>
        </w:tc>
      </w:tr>
      <w:tr>
        <w:tblPrEx>
          <w:tblW w:w="8870" w:type="dxa"/>
          <w:jc w:val="center"/>
          <w:tblLayout w:type="fixed"/>
          <w:tblCellMar>
            <w:top w:w="0" w:type="dxa"/>
            <w:left w:w="108" w:type="dxa"/>
            <w:bottom w:w="0" w:type="dxa"/>
            <w:right w:w="108" w:type="dxa"/>
          </w:tblCellMar>
        </w:tblPrEx>
        <w:trPr>
          <w:trHeight w:val="728"/>
          <w:jc w:val="center"/>
        </w:trPr>
        <w:tc>
          <w:tcPr>
            <w:tcW w:w="925" w:type="dxa"/>
            <w:vAlign w:val="center"/>
          </w:tcPr>
          <w:p>
            <w:pPr>
              <w:autoSpaceDE w:val="0"/>
              <w:autoSpaceDN w:val="0"/>
              <w:adjustRightInd w:val="0"/>
              <w:snapToGrid w:val="0"/>
              <w:jc w:val="center"/>
              <w:rPr>
                <w:color w:val="000000"/>
                <w:kern w:val="0"/>
                <w:szCs w:val="21"/>
              </w:rPr>
            </w:pPr>
            <w:r>
              <w:rPr>
                <w:color w:val="000000"/>
                <w:szCs w:val="21"/>
              </w:rPr>
              <w:t>规划情况</w:t>
            </w:r>
          </w:p>
        </w:tc>
        <w:tc>
          <w:tcPr>
            <w:tcW w:w="7945" w:type="dxa"/>
            <w:gridSpan w:val="3"/>
            <w:vAlign w:val="center"/>
          </w:tcPr>
          <w:p>
            <w:pPr>
              <w:keepLines/>
              <w:autoSpaceDE w:val="0"/>
              <w:autoSpaceDN w:val="0"/>
              <w:adjustRightInd w:val="0"/>
              <w:snapToGrid w:val="0"/>
              <w:spacing w:line="360" w:lineRule="auto"/>
              <w:jc w:val="left"/>
              <w:rPr>
                <w:color w:val="000000"/>
                <w:szCs w:val="21"/>
              </w:rPr>
            </w:pPr>
            <w:r>
              <w:rPr>
                <w:rFonts w:hint="eastAsia"/>
                <w:color w:val="000000"/>
                <w:szCs w:val="21"/>
              </w:rPr>
              <w:t>规划文件：</w:t>
            </w:r>
            <w:r>
              <w:rPr>
                <w:color w:val="000000"/>
                <w:szCs w:val="21"/>
              </w:rPr>
              <w:t>山东平原经济开发区</w:t>
            </w:r>
            <w:r>
              <w:rPr>
                <w:rFonts w:hint="eastAsia"/>
                <w:color w:val="000000"/>
                <w:szCs w:val="21"/>
              </w:rPr>
              <w:t>发展规划（2020-2035年）</w:t>
            </w:r>
          </w:p>
        </w:tc>
      </w:tr>
      <w:tr>
        <w:tblPrEx>
          <w:tblW w:w="8870" w:type="dxa"/>
          <w:jc w:val="center"/>
          <w:tblLayout w:type="fixed"/>
          <w:tblCellMar>
            <w:top w:w="0" w:type="dxa"/>
            <w:left w:w="108" w:type="dxa"/>
            <w:bottom w:w="0" w:type="dxa"/>
            <w:right w:w="108" w:type="dxa"/>
          </w:tblCellMar>
        </w:tblPrEx>
        <w:trPr>
          <w:trHeight w:val="1921"/>
          <w:jc w:val="center"/>
        </w:trPr>
        <w:tc>
          <w:tcPr>
            <w:tcW w:w="925" w:type="dxa"/>
            <w:vAlign w:val="center"/>
          </w:tcPr>
          <w:p>
            <w:pPr>
              <w:adjustRightInd w:val="0"/>
              <w:snapToGrid w:val="0"/>
              <w:jc w:val="center"/>
              <w:rPr>
                <w:color w:val="000000"/>
                <w:kern w:val="0"/>
                <w:szCs w:val="21"/>
              </w:rPr>
            </w:pPr>
            <w:r>
              <w:rPr>
                <w:color w:val="000000"/>
                <w:szCs w:val="21"/>
              </w:rPr>
              <w:t>规划环境影响评价情况</w:t>
            </w:r>
          </w:p>
        </w:tc>
        <w:tc>
          <w:tcPr>
            <w:tcW w:w="7945" w:type="dxa"/>
            <w:gridSpan w:val="3"/>
            <w:vAlign w:val="center"/>
          </w:tcPr>
          <w:p>
            <w:pPr>
              <w:keepLines/>
              <w:autoSpaceDE w:val="0"/>
              <w:autoSpaceDN w:val="0"/>
              <w:adjustRightInd w:val="0"/>
              <w:snapToGrid w:val="0"/>
              <w:spacing w:line="400" w:lineRule="exact"/>
              <w:rPr>
                <w:color w:val="000000"/>
                <w:szCs w:val="21"/>
              </w:rPr>
            </w:pPr>
            <w:r>
              <w:rPr>
                <w:color w:val="000000"/>
                <w:szCs w:val="21"/>
              </w:rPr>
              <w:t>规划</w:t>
            </w:r>
            <w:r>
              <w:rPr>
                <w:rFonts w:hint="eastAsia"/>
                <w:color w:val="000000"/>
                <w:szCs w:val="21"/>
              </w:rPr>
              <w:t>环评：</w:t>
            </w:r>
            <w:r>
              <w:rPr>
                <w:color w:val="000000"/>
                <w:szCs w:val="21"/>
              </w:rPr>
              <w:t>山东平原经济开发区</w:t>
            </w:r>
            <w:r>
              <w:rPr>
                <w:rFonts w:hint="eastAsia"/>
                <w:color w:val="000000"/>
                <w:szCs w:val="21"/>
              </w:rPr>
              <w:t>发展规划（2020-2035年）</w:t>
            </w:r>
            <w:r>
              <w:rPr>
                <w:color w:val="000000"/>
                <w:szCs w:val="21"/>
              </w:rPr>
              <w:t>环境影响报告书</w:t>
            </w:r>
          </w:p>
          <w:p>
            <w:pPr>
              <w:keepLines/>
              <w:autoSpaceDE w:val="0"/>
              <w:autoSpaceDN w:val="0"/>
              <w:adjustRightInd w:val="0"/>
              <w:snapToGrid w:val="0"/>
              <w:spacing w:line="400" w:lineRule="exact"/>
              <w:rPr>
                <w:color w:val="000000"/>
                <w:szCs w:val="21"/>
              </w:rPr>
            </w:pPr>
            <w:r>
              <w:rPr>
                <w:color w:val="000000"/>
                <w:szCs w:val="21"/>
              </w:rPr>
              <w:t>审</w:t>
            </w:r>
            <w:r>
              <w:rPr>
                <w:rFonts w:hint="eastAsia"/>
                <w:color w:val="000000"/>
                <w:szCs w:val="21"/>
              </w:rPr>
              <w:t>查</w:t>
            </w:r>
            <w:r>
              <w:rPr>
                <w:color w:val="000000"/>
                <w:szCs w:val="21"/>
              </w:rPr>
              <w:t>机关</w:t>
            </w:r>
            <w:r>
              <w:rPr>
                <w:rFonts w:hint="eastAsia"/>
                <w:color w:val="000000"/>
                <w:szCs w:val="21"/>
              </w:rPr>
              <w:t>：</w:t>
            </w:r>
            <w:r>
              <w:rPr>
                <w:color w:val="000000"/>
                <w:szCs w:val="21"/>
              </w:rPr>
              <w:t>山东省环境保护厅</w:t>
            </w:r>
          </w:p>
          <w:p>
            <w:pPr>
              <w:keepLines/>
              <w:autoSpaceDE w:val="0"/>
              <w:autoSpaceDN w:val="0"/>
              <w:adjustRightInd w:val="0"/>
              <w:snapToGrid w:val="0"/>
              <w:spacing w:line="400" w:lineRule="exact"/>
              <w:rPr>
                <w:color w:val="000000"/>
                <w:szCs w:val="21"/>
              </w:rPr>
            </w:pPr>
            <w:r>
              <w:rPr>
                <w:color w:val="000000"/>
                <w:szCs w:val="21"/>
              </w:rPr>
              <w:t>审</w:t>
            </w:r>
            <w:r>
              <w:rPr>
                <w:rFonts w:hint="eastAsia"/>
                <w:color w:val="000000"/>
                <w:szCs w:val="21"/>
              </w:rPr>
              <w:t>查</w:t>
            </w:r>
            <w:r>
              <w:rPr>
                <w:color w:val="000000"/>
                <w:szCs w:val="21"/>
              </w:rPr>
              <w:t>文件名称及文号</w:t>
            </w:r>
            <w:r>
              <w:rPr>
                <w:rFonts w:hint="eastAsia"/>
                <w:color w:val="000000"/>
                <w:szCs w:val="21"/>
              </w:rPr>
              <w:t>：</w:t>
            </w:r>
            <w:r>
              <w:rPr>
                <w:color w:val="000000"/>
                <w:szCs w:val="21"/>
              </w:rPr>
              <w:t>山东省</w:t>
            </w:r>
            <w:r>
              <w:rPr>
                <w:rFonts w:hint="eastAsia"/>
                <w:color w:val="000000"/>
                <w:szCs w:val="21"/>
              </w:rPr>
              <w:t>生态环境</w:t>
            </w:r>
            <w:r>
              <w:rPr>
                <w:color w:val="000000"/>
                <w:szCs w:val="21"/>
              </w:rPr>
              <w:t>厅关于</w:t>
            </w:r>
            <w:r>
              <w:rPr>
                <w:rFonts w:hint="eastAsia"/>
                <w:color w:val="000000"/>
                <w:szCs w:val="21"/>
              </w:rPr>
              <w:t>《</w:t>
            </w:r>
            <w:r>
              <w:rPr>
                <w:color w:val="000000"/>
                <w:szCs w:val="21"/>
              </w:rPr>
              <w:t>山东平原经济开发区</w:t>
            </w:r>
            <w:r>
              <w:rPr>
                <w:rFonts w:hint="eastAsia"/>
                <w:color w:val="000000"/>
                <w:szCs w:val="21"/>
              </w:rPr>
              <w:t>发展规划（2020-2035年）</w:t>
            </w:r>
            <w:r>
              <w:rPr>
                <w:color w:val="000000"/>
                <w:szCs w:val="21"/>
              </w:rPr>
              <w:t>环境影响报告书</w:t>
            </w:r>
            <w:r>
              <w:rPr>
                <w:rFonts w:hint="eastAsia"/>
                <w:color w:val="000000"/>
                <w:szCs w:val="21"/>
              </w:rPr>
              <w:t>》</w:t>
            </w:r>
            <w:r>
              <w:rPr>
                <w:color w:val="000000"/>
                <w:szCs w:val="21"/>
              </w:rPr>
              <w:t>的审查意见(鲁</w:t>
            </w:r>
            <w:r>
              <w:rPr>
                <w:rFonts w:hint="eastAsia"/>
                <w:color w:val="000000"/>
                <w:szCs w:val="21"/>
              </w:rPr>
              <w:t>环审</w:t>
            </w:r>
            <w:r>
              <w:rPr>
                <w:color w:val="000000"/>
                <w:szCs w:val="21"/>
              </w:rPr>
              <w:t>[20</w:t>
            </w:r>
            <w:r>
              <w:rPr>
                <w:rFonts w:hint="eastAsia"/>
                <w:color w:val="000000"/>
                <w:szCs w:val="21"/>
              </w:rPr>
              <w:t>23</w:t>
            </w:r>
            <w:r>
              <w:rPr>
                <w:color w:val="000000"/>
                <w:szCs w:val="21"/>
              </w:rPr>
              <w:t>]</w:t>
            </w:r>
            <w:r>
              <w:rPr>
                <w:rFonts w:hint="eastAsia"/>
                <w:color w:val="000000"/>
                <w:szCs w:val="21"/>
              </w:rPr>
              <w:t>4</w:t>
            </w:r>
            <w:r>
              <w:rPr>
                <w:color w:val="000000"/>
                <w:szCs w:val="21"/>
              </w:rPr>
              <w:t>号)</w:t>
            </w:r>
          </w:p>
        </w:tc>
      </w:tr>
    </w:tbl>
    <w:p>
      <w:pPr>
        <w:sectPr>
          <w:footerReference w:type="default" r:id="rId6"/>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
          <w:cols w:num="1" w:space="72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925"/>
        <w:gridCol w:w="7945"/>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453"/>
          <w:jc w:val="center"/>
        </w:trPr>
        <w:tc>
          <w:tcPr>
            <w:tcW w:w="925" w:type="dxa"/>
            <w:vAlign w:val="center"/>
          </w:tcPr>
          <w:p>
            <w:pPr>
              <w:autoSpaceDE w:val="0"/>
              <w:autoSpaceDN w:val="0"/>
              <w:adjustRightInd w:val="0"/>
              <w:snapToGrid w:val="0"/>
              <w:jc w:val="center"/>
              <w:rPr>
                <w:color w:val="000000"/>
                <w:kern w:val="0"/>
                <w:szCs w:val="21"/>
              </w:rPr>
            </w:pPr>
            <w:r>
              <w:rPr>
                <w:color w:val="000000"/>
                <w:kern w:val="0"/>
                <w:szCs w:val="21"/>
              </w:rPr>
              <w:t>规划及规划环境影响评价符合性分析</w:t>
            </w:r>
          </w:p>
        </w:tc>
        <w:tc>
          <w:tcPr>
            <w:tcW w:w="7945" w:type="dxa"/>
            <w:vAlign w:val="top"/>
          </w:tcPr>
          <w:p>
            <w:pPr>
              <w:autoSpaceDE w:val="0"/>
              <w:autoSpaceDN w:val="0"/>
              <w:adjustRightInd w:val="0"/>
              <w:snapToGrid w:val="0"/>
              <w:spacing w:line="360" w:lineRule="auto"/>
              <w:ind w:firstLine="420" w:firstLineChars="200"/>
              <w:rPr>
                <w:color w:val="000000"/>
                <w:kern w:val="0"/>
                <w:szCs w:val="21"/>
              </w:rPr>
            </w:pPr>
            <w:r>
              <w:rPr>
                <w:color w:val="000000"/>
                <w:kern w:val="0"/>
                <w:szCs w:val="21"/>
              </w:rPr>
              <w:t>山东平原经济开发区</w:t>
            </w:r>
            <w:r>
              <w:rPr>
                <w:rFonts w:hint="eastAsia"/>
                <w:color w:val="000000"/>
                <w:kern w:val="0"/>
                <w:szCs w:val="21"/>
              </w:rPr>
              <w:t>发展规划（2020-2035年）环境影响</w:t>
            </w:r>
            <w:r>
              <w:rPr>
                <w:color w:val="000000"/>
                <w:kern w:val="0"/>
                <w:szCs w:val="21"/>
              </w:rPr>
              <w:t>报告书已</w:t>
            </w:r>
            <w:r>
              <w:rPr>
                <w:rFonts w:hint="eastAsia"/>
                <w:color w:val="000000"/>
                <w:kern w:val="0"/>
                <w:szCs w:val="21"/>
              </w:rPr>
              <w:t>取得</w:t>
            </w:r>
            <w:r>
              <w:rPr>
                <w:color w:val="000000"/>
                <w:kern w:val="0"/>
                <w:szCs w:val="21"/>
              </w:rPr>
              <w:t>山东省</w:t>
            </w:r>
            <w:r>
              <w:rPr>
                <w:rFonts w:hint="eastAsia"/>
                <w:color w:val="000000"/>
                <w:kern w:val="0"/>
                <w:szCs w:val="21"/>
              </w:rPr>
              <w:t>生态环境</w:t>
            </w:r>
            <w:r>
              <w:rPr>
                <w:color w:val="000000"/>
                <w:kern w:val="0"/>
                <w:szCs w:val="21"/>
              </w:rPr>
              <w:t>厅</w:t>
            </w:r>
            <w:r>
              <w:rPr>
                <w:color w:val="000000"/>
                <w:szCs w:val="21"/>
              </w:rPr>
              <w:t>审查意见(鲁</w:t>
            </w:r>
            <w:r>
              <w:rPr>
                <w:rFonts w:hint="eastAsia"/>
                <w:color w:val="000000"/>
                <w:szCs w:val="21"/>
              </w:rPr>
              <w:t>环审</w:t>
            </w:r>
            <w:r>
              <w:rPr>
                <w:color w:val="000000"/>
                <w:szCs w:val="21"/>
              </w:rPr>
              <w:t>[20</w:t>
            </w:r>
            <w:r>
              <w:rPr>
                <w:rFonts w:hint="eastAsia"/>
                <w:color w:val="000000"/>
                <w:szCs w:val="21"/>
              </w:rPr>
              <w:t>23</w:t>
            </w:r>
            <w:r>
              <w:rPr>
                <w:color w:val="000000"/>
                <w:szCs w:val="21"/>
              </w:rPr>
              <w:t>]</w:t>
            </w:r>
            <w:r>
              <w:rPr>
                <w:rFonts w:hint="eastAsia"/>
                <w:color w:val="000000"/>
                <w:szCs w:val="21"/>
              </w:rPr>
              <w:t>4</w:t>
            </w:r>
            <w:r>
              <w:rPr>
                <w:color w:val="000000"/>
                <w:szCs w:val="21"/>
              </w:rPr>
              <w:t>号)</w:t>
            </w:r>
            <w:r>
              <w:rPr>
                <w:color w:val="000000"/>
                <w:kern w:val="0"/>
                <w:szCs w:val="21"/>
              </w:rPr>
              <w:t>。根据</w:t>
            </w:r>
            <w:r>
              <w:rPr>
                <w:rFonts w:hint="eastAsia"/>
                <w:color w:val="000000"/>
                <w:kern w:val="0"/>
                <w:szCs w:val="21"/>
              </w:rPr>
              <w:t>山东</w:t>
            </w:r>
            <w:r>
              <w:rPr>
                <w:color w:val="000000"/>
                <w:kern w:val="0"/>
                <w:szCs w:val="21"/>
              </w:rPr>
              <w:t>平原经济开发区</w:t>
            </w:r>
            <w:r>
              <w:rPr>
                <w:rFonts w:hint="eastAsia"/>
                <w:color w:val="000000"/>
                <w:kern w:val="0"/>
                <w:szCs w:val="21"/>
              </w:rPr>
              <w:t>发展规划（2020-2035年）环境影响</w:t>
            </w:r>
            <w:r>
              <w:rPr>
                <w:color w:val="000000"/>
                <w:kern w:val="0"/>
                <w:szCs w:val="21"/>
              </w:rPr>
              <w:t>报告书可知</w:t>
            </w:r>
            <w:r>
              <w:rPr>
                <w:rFonts w:hint="eastAsia"/>
                <w:color w:val="000000"/>
                <w:kern w:val="0"/>
                <w:szCs w:val="21"/>
              </w:rPr>
              <w:t>，山东</w:t>
            </w:r>
            <w:r>
              <w:rPr>
                <w:color w:val="000000"/>
                <w:kern w:val="0"/>
                <w:szCs w:val="21"/>
              </w:rPr>
              <w:t>平原经济开发区开发区四至范围为</w:t>
            </w:r>
            <w:r>
              <w:rPr>
                <w:rFonts w:hint="eastAsia"/>
                <w:color w:val="000000"/>
                <w:kern w:val="0"/>
                <w:szCs w:val="21"/>
              </w:rPr>
              <w:t>：</w:t>
            </w:r>
            <w:r>
              <w:rPr>
                <w:color w:val="000000"/>
                <w:kern w:val="0"/>
                <w:szCs w:val="21"/>
              </w:rPr>
              <w:t>东至</w:t>
            </w:r>
            <w:r>
              <w:rPr>
                <w:rFonts w:hint="eastAsia"/>
                <w:color w:val="000000"/>
                <w:kern w:val="0"/>
                <w:szCs w:val="21"/>
              </w:rPr>
              <w:t>东三环路</w:t>
            </w:r>
            <w:r>
              <w:rPr>
                <w:color w:val="000000"/>
                <w:kern w:val="0"/>
                <w:szCs w:val="21"/>
              </w:rPr>
              <w:t>，南至</w:t>
            </w:r>
            <w:r>
              <w:rPr>
                <w:rFonts w:hint="eastAsia"/>
                <w:color w:val="000000"/>
                <w:kern w:val="0"/>
                <w:szCs w:val="21"/>
              </w:rPr>
              <w:t>平尹公路</w:t>
            </w:r>
            <w:r>
              <w:rPr>
                <w:color w:val="000000"/>
                <w:kern w:val="0"/>
                <w:szCs w:val="21"/>
              </w:rPr>
              <w:t>，西至</w:t>
            </w:r>
            <w:r>
              <w:rPr>
                <w:rFonts w:hint="eastAsia"/>
                <w:color w:val="000000"/>
                <w:kern w:val="0"/>
                <w:szCs w:val="21"/>
              </w:rPr>
              <w:t>福源北路</w:t>
            </w:r>
            <w:r>
              <w:rPr>
                <w:color w:val="000000"/>
                <w:kern w:val="0"/>
                <w:szCs w:val="21"/>
              </w:rPr>
              <w:t>，北至</w:t>
            </w:r>
            <w:r>
              <w:rPr>
                <w:rFonts w:hint="eastAsia"/>
                <w:color w:val="000000"/>
                <w:kern w:val="0"/>
                <w:szCs w:val="21"/>
              </w:rPr>
              <w:t>北三环路</w:t>
            </w:r>
            <w:r>
              <w:rPr>
                <w:color w:val="000000"/>
                <w:kern w:val="0"/>
                <w:szCs w:val="21"/>
              </w:rPr>
              <w:t>，总面积</w:t>
            </w:r>
            <w:r>
              <w:rPr>
                <w:rFonts w:hint="eastAsia"/>
                <w:color w:val="000000"/>
                <w:kern w:val="0"/>
                <w:szCs w:val="21"/>
              </w:rPr>
              <w:t>27.55</w:t>
            </w:r>
            <w:r>
              <w:rPr>
                <w:color w:val="000000"/>
                <w:kern w:val="0"/>
                <w:szCs w:val="21"/>
              </w:rPr>
              <w:t>平方公里。主导产业为</w:t>
            </w:r>
            <w:r>
              <w:rPr>
                <w:rFonts w:hint="eastAsia"/>
                <w:color w:val="000000"/>
                <w:kern w:val="0"/>
                <w:szCs w:val="21"/>
              </w:rPr>
              <w:t>机械制造、医药、新材料产业；辅助产业为食品加工、酒制造</w:t>
            </w:r>
            <w:r>
              <w:rPr>
                <w:color w:val="000000"/>
                <w:kern w:val="0"/>
                <w:szCs w:val="21"/>
              </w:rPr>
              <w:t>。</w:t>
            </w:r>
          </w:p>
          <w:p>
            <w:pPr>
              <w:autoSpaceDE w:val="0"/>
              <w:autoSpaceDN w:val="0"/>
              <w:adjustRightInd w:val="0"/>
              <w:snapToGrid w:val="0"/>
              <w:spacing w:line="360" w:lineRule="auto"/>
              <w:ind w:firstLine="420" w:firstLineChars="200"/>
              <w:rPr>
                <w:color w:val="000000"/>
                <w:kern w:val="0"/>
                <w:szCs w:val="21"/>
              </w:rPr>
            </w:pPr>
            <w:r>
              <w:rPr>
                <w:color w:val="000000"/>
                <w:kern w:val="0"/>
                <w:szCs w:val="21"/>
              </w:rPr>
              <w:t>(1)产业定位</w:t>
            </w:r>
            <w:r>
              <w:rPr>
                <w:rFonts w:hint="eastAsia"/>
                <w:color w:val="000000"/>
                <w:kern w:val="0"/>
                <w:szCs w:val="21"/>
              </w:rPr>
              <w:t>符合性分析</w:t>
            </w:r>
          </w:p>
          <w:p>
            <w:pPr>
              <w:autoSpaceDE w:val="0"/>
              <w:autoSpaceDN w:val="0"/>
              <w:adjustRightInd w:val="0"/>
              <w:snapToGrid w:val="0"/>
              <w:spacing w:line="360" w:lineRule="auto"/>
              <w:ind w:firstLine="420" w:firstLineChars="200"/>
              <w:rPr>
                <w:color w:val="000000"/>
                <w:szCs w:val="21"/>
              </w:rPr>
            </w:pPr>
            <w:r>
              <w:rPr>
                <w:color w:val="000000"/>
                <w:szCs w:val="21"/>
              </w:rPr>
              <w:t>项目产品为</w:t>
            </w:r>
            <w:r>
              <w:rPr>
                <w:rFonts w:hint="eastAsia"/>
                <w:color w:val="000000"/>
                <w:szCs w:val="21"/>
              </w:rPr>
              <w:t>医用级PET/PETG</w:t>
            </w:r>
            <w:r>
              <w:rPr>
                <w:color w:val="000000"/>
                <w:szCs w:val="21"/>
              </w:rPr>
              <w:t>，</w:t>
            </w:r>
            <w:r>
              <w:rPr>
                <w:rFonts w:hint="eastAsia"/>
                <w:color w:val="000000"/>
                <w:szCs w:val="21"/>
              </w:rPr>
              <w:t>主要用于医药行业包装，为</w:t>
            </w:r>
            <w:r>
              <w:rPr>
                <w:color w:val="000000"/>
                <w:kern w:val="0"/>
                <w:szCs w:val="21"/>
              </w:rPr>
              <w:t>平原经济开发区</w:t>
            </w:r>
            <w:r>
              <w:rPr>
                <w:rFonts w:hint="eastAsia"/>
                <w:color w:val="000000"/>
                <w:kern w:val="0"/>
                <w:szCs w:val="21"/>
              </w:rPr>
              <w:t>主导产业的新材料产业</w:t>
            </w:r>
            <w:r>
              <w:rPr>
                <w:color w:val="000000"/>
                <w:szCs w:val="21"/>
              </w:rPr>
              <w:t>，项目建设符合</w:t>
            </w:r>
            <w:r>
              <w:rPr>
                <w:color w:val="000000"/>
                <w:kern w:val="0"/>
                <w:szCs w:val="21"/>
              </w:rPr>
              <w:t>平原经济开发区</w:t>
            </w:r>
            <w:r>
              <w:rPr>
                <w:color w:val="000000"/>
                <w:szCs w:val="21"/>
              </w:rPr>
              <w:t>规划及环评批复要求。</w:t>
            </w:r>
          </w:p>
          <w:p>
            <w:pPr>
              <w:widowControl/>
              <w:spacing w:line="360" w:lineRule="auto"/>
              <w:ind w:firstLine="420" w:firstLineChars="200"/>
              <w:rPr>
                <w:color w:val="000000"/>
                <w:kern w:val="0"/>
                <w:szCs w:val="21"/>
              </w:rPr>
            </w:pPr>
            <w:r>
              <w:rPr>
                <w:color w:val="000000"/>
                <w:kern w:val="0"/>
                <w:szCs w:val="21"/>
              </w:rPr>
              <w:t>项目建设遵守“三同时”制度和环境影响评价制度，使用清洁的能源和原</w:t>
            </w:r>
            <w:r>
              <w:rPr>
                <w:rFonts w:hint="eastAsia"/>
                <w:color w:val="000000"/>
                <w:kern w:val="0"/>
                <w:szCs w:val="21"/>
              </w:rPr>
              <w:t>料</w:t>
            </w:r>
            <w:r>
              <w:rPr>
                <w:color w:val="000000"/>
                <w:kern w:val="0"/>
                <w:szCs w:val="21"/>
              </w:rPr>
              <w:t>、采用先进的工艺技术与设备，积极开展清洁生产。项目位于</w:t>
            </w:r>
            <w:r>
              <w:rPr>
                <w:rFonts w:hint="eastAsia"/>
                <w:color w:val="000000"/>
                <w:szCs w:val="21"/>
                <w:lang w:eastAsia="zh-CN"/>
              </w:rPr>
              <w:t>山东省德州市平原经济开发区桃园北大道和北环路交叉口东南侧50米</w:t>
            </w:r>
            <w:r>
              <w:rPr>
                <w:rFonts w:hint="eastAsia"/>
                <w:color w:val="000000"/>
                <w:szCs w:val="21"/>
              </w:rPr>
              <w:t>，</w:t>
            </w:r>
            <w:r>
              <w:rPr>
                <w:color w:val="000000"/>
                <w:kern w:val="0"/>
                <w:szCs w:val="21"/>
              </w:rPr>
              <w:t>根据《山东平原经济开发区发展规划</w:t>
            </w:r>
            <w:r>
              <w:rPr>
                <w:rFonts w:hint="eastAsia"/>
                <w:color w:val="000000"/>
                <w:kern w:val="0"/>
                <w:szCs w:val="21"/>
              </w:rPr>
              <w:t>（2020-2035年）</w:t>
            </w:r>
            <w:r>
              <w:rPr>
                <w:color w:val="000000"/>
                <w:kern w:val="0"/>
                <w:szCs w:val="21"/>
              </w:rPr>
              <w:t>》，项目位于规划的工业用地范围内，符合平原经济开发区规划要求，具体见附图</w:t>
            </w:r>
            <w:r>
              <w:rPr>
                <w:rFonts w:hint="eastAsia"/>
                <w:color w:val="000000"/>
                <w:kern w:val="0"/>
                <w:szCs w:val="21"/>
              </w:rPr>
              <w:t>—</w:t>
            </w:r>
            <w:r>
              <w:rPr>
                <w:color w:val="000000"/>
                <w:kern w:val="0"/>
                <w:szCs w:val="21"/>
              </w:rPr>
              <w:t>平原经济开发区发展规划</w:t>
            </w:r>
            <w:r>
              <w:rPr>
                <w:rFonts w:hint="eastAsia"/>
                <w:color w:val="000000"/>
                <w:kern w:val="0"/>
                <w:szCs w:val="21"/>
              </w:rPr>
              <w:t>图（2020-2035年）</w:t>
            </w:r>
            <w:r>
              <w:rPr>
                <w:color w:val="000000"/>
                <w:kern w:val="0"/>
                <w:szCs w:val="21"/>
              </w:rPr>
              <w:t>。</w:t>
            </w:r>
          </w:p>
          <w:p>
            <w:pPr>
              <w:widowControl/>
              <w:spacing w:line="360" w:lineRule="auto"/>
              <w:ind w:firstLine="420" w:firstLineChars="200"/>
              <w:rPr>
                <w:b/>
                <w:bCs/>
                <w:color w:val="000000"/>
                <w:szCs w:val="21"/>
              </w:rPr>
            </w:pPr>
            <w:r>
              <w:rPr>
                <w:rFonts w:ascii="仿宋" w:eastAsia="仿宋" w:hAnsi="仿宋" w:cs="仿宋"/>
                <w:color w:val="000000"/>
                <w:kern w:val="0"/>
                <w:szCs w:val="21"/>
              </w:rPr>
              <w:t>（</w:t>
            </w:r>
            <w:r>
              <w:rPr>
                <w:color w:val="000000"/>
                <w:kern w:val="0"/>
                <w:szCs w:val="21"/>
              </w:rPr>
              <w:t>2</w:t>
            </w:r>
            <w:r>
              <w:rPr>
                <w:rFonts w:ascii="仿宋" w:eastAsia="仿宋" w:hAnsi="仿宋" w:cs="仿宋" w:hint="eastAsia"/>
                <w:color w:val="000000"/>
                <w:kern w:val="0"/>
                <w:szCs w:val="21"/>
              </w:rPr>
              <w:t>）</w:t>
            </w:r>
            <w:r>
              <w:rPr>
                <w:rFonts w:ascii="宋体" w:hAnsi="宋体" w:cs="宋体" w:hint="eastAsia"/>
                <w:color w:val="000000"/>
                <w:kern w:val="0"/>
                <w:szCs w:val="21"/>
              </w:rPr>
              <w:t>项目与</w:t>
            </w:r>
            <w:r>
              <w:rPr>
                <w:rFonts w:hint="eastAsia"/>
                <w:color w:val="000000"/>
                <w:szCs w:val="21"/>
              </w:rPr>
              <w:t>山东省生态环境厅关于《山东平原经济开发区发展规划（2020—2035年）环境影响报告书》的审查意见（鲁环审[2023]4号）</w:t>
            </w:r>
            <w:r>
              <w:rPr>
                <w:rFonts w:ascii="宋体" w:hAnsi="宋体" w:cs="宋体" w:hint="eastAsia"/>
                <w:color w:val="000000"/>
                <w:kern w:val="0"/>
                <w:szCs w:val="21"/>
              </w:rPr>
              <w:t>符合性分析</w:t>
            </w:r>
          </w:p>
          <w:p>
            <w:pPr>
              <w:pStyle w:val="BodyTextFirstIndent2"/>
              <w:spacing w:after="0" w:line="360" w:lineRule="auto"/>
              <w:ind w:left="0" w:firstLine="0" w:leftChars="0" w:firstLineChars="0"/>
              <w:jc w:val="center"/>
              <w:rPr>
                <w:color w:val="000000"/>
                <w:szCs w:val="21"/>
              </w:rPr>
            </w:pPr>
            <w:r>
              <w:rPr>
                <w:b/>
                <w:bCs/>
                <w:color w:val="000000"/>
                <w:szCs w:val="21"/>
              </w:rPr>
              <w:t>表</w:t>
            </w:r>
            <w:r>
              <w:rPr>
                <w:rFonts w:hint="eastAsia"/>
                <w:b/>
                <w:bCs/>
                <w:color w:val="000000"/>
                <w:szCs w:val="21"/>
              </w:rPr>
              <w:t>1-1</w:t>
            </w:r>
            <w:r>
              <w:rPr>
                <w:b/>
                <w:bCs/>
                <w:color w:val="000000"/>
                <w:szCs w:val="21"/>
              </w:rPr>
              <w:t xml:space="preserve"> 项目与</w:t>
            </w:r>
            <w:r>
              <w:rPr>
                <w:rFonts w:hint="eastAsia"/>
                <w:b/>
                <w:bCs/>
                <w:color w:val="000000"/>
                <w:szCs w:val="21"/>
              </w:rPr>
              <w:t>《山东平原经济开发区发展规划（2020—2035年）环境影响报告书</w:t>
            </w:r>
            <w:r>
              <w:rPr>
                <w:b/>
                <w:bCs/>
                <w:color w:val="000000"/>
                <w:szCs w:val="21"/>
              </w:rPr>
              <w:t>的审查意见</w:t>
            </w:r>
            <w:r>
              <w:rPr>
                <w:rFonts w:hint="eastAsia"/>
                <w:b/>
                <w:bCs/>
                <w:color w:val="000000"/>
                <w:szCs w:val="21"/>
              </w:rPr>
              <w:t>》</w:t>
            </w:r>
            <w:r>
              <w:rPr>
                <w:b/>
                <w:bCs/>
                <w:color w:val="000000"/>
                <w:szCs w:val="21"/>
              </w:rPr>
              <w:t>符合性一览表</w:t>
            </w:r>
          </w:p>
          <w:tbl>
            <w:tblPr>
              <w:tblStyle w:val="TableNormal"/>
              <w:tblW w:w="7738" w:type="dxa"/>
              <w:tblInd w:w="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417"/>
              <w:gridCol w:w="758"/>
              <w:gridCol w:w="3568"/>
              <w:gridCol w:w="2322"/>
              <w:gridCol w:w="673"/>
            </w:tblGrid>
            <w:tr>
              <w:tblPrEx>
                <w:tblW w:w="7738" w:type="dxa"/>
                <w:tblInd w:w="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717"/>
              </w:trPr>
              <w:tc>
                <w:tcPr>
                  <w:tcW w:w="417" w:type="dxa"/>
                  <w:tcBorders>
                    <w:tl2br w:val="nil"/>
                    <w:tr2bl w:val="nil"/>
                  </w:tcBorders>
                  <w:vAlign w:val="center"/>
                </w:tcPr>
                <w:p>
                  <w:pPr>
                    <w:widowControl/>
                    <w:adjustRightInd w:val="0"/>
                    <w:snapToGrid w:val="0"/>
                    <w:jc w:val="center"/>
                    <w:rPr>
                      <w:b/>
                      <w:color w:val="000000"/>
                      <w:szCs w:val="21"/>
                    </w:rPr>
                  </w:pPr>
                  <w:r>
                    <w:rPr>
                      <w:b/>
                      <w:color w:val="000000"/>
                      <w:szCs w:val="21"/>
                    </w:rPr>
                    <w:t>序号</w:t>
                  </w:r>
                </w:p>
              </w:tc>
              <w:tc>
                <w:tcPr>
                  <w:tcW w:w="758" w:type="dxa"/>
                  <w:tcBorders>
                    <w:tl2br w:val="nil"/>
                    <w:tr2bl w:val="nil"/>
                  </w:tcBorders>
                  <w:vAlign w:val="center"/>
                </w:tcPr>
                <w:p>
                  <w:pPr>
                    <w:widowControl/>
                    <w:adjustRightInd w:val="0"/>
                    <w:snapToGrid w:val="0"/>
                    <w:jc w:val="center"/>
                    <w:rPr>
                      <w:b/>
                      <w:color w:val="000000"/>
                      <w:szCs w:val="21"/>
                    </w:rPr>
                  </w:pPr>
                  <w:r>
                    <w:rPr>
                      <w:b/>
                      <w:color w:val="000000"/>
                      <w:szCs w:val="21"/>
                    </w:rPr>
                    <w:t>项目</w:t>
                  </w:r>
                </w:p>
              </w:tc>
              <w:tc>
                <w:tcPr>
                  <w:tcW w:w="3568" w:type="dxa"/>
                  <w:tcBorders>
                    <w:tl2br w:val="nil"/>
                    <w:tr2bl w:val="nil"/>
                  </w:tcBorders>
                  <w:vAlign w:val="center"/>
                </w:tcPr>
                <w:p>
                  <w:pPr>
                    <w:widowControl/>
                    <w:adjustRightInd w:val="0"/>
                    <w:snapToGrid w:val="0"/>
                    <w:jc w:val="center"/>
                    <w:rPr>
                      <w:b/>
                      <w:color w:val="000000"/>
                      <w:szCs w:val="21"/>
                    </w:rPr>
                  </w:pPr>
                  <w:r>
                    <w:rPr>
                      <w:b/>
                      <w:color w:val="000000"/>
                      <w:szCs w:val="21"/>
                    </w:rPr>
                    <w:t>区域环评批复要求</w:t>
                  </w:r>
                </w:p>
              </w:tc>
              <w:tc>
                <w:tcPr>
                  <w:tcW w:w="2322" w:type="dxa"/>
                  <w:tcBorders>
                    <w:tl2br w:val="nil"/>
                    <w:tr2bl w:val="nil"/>
                  </w:tcBorders>
                  <w:vAlign w:val="center"/>
                </w:tcPr>
                <w:p>
                  <w:pPr>
                    <w:widowControl/>
                    <w:adjustRightInd w:val="0"/>
                    <w:snapToGrid w:val="0"/>
                    <w:jc w:val="center"/>
                    <w:rPr>
                      <w:b/>
                      <w:color w:val="000000"/>
                      <w:szCs w:val="21"/>
                    </w:rPr>
                  </w:pPr>
                  <w:r>
                    <w:rPr>
                      <w:b/>
                      <w:color w:val="000000"/>
                      <w:szCs w:val="21"/>
                    </w:rPr>
                    <w:t>项目情况</w:t>
                  </w:r>
                </w:p>
              </w:tc>
              <w:tc>
                <w:tcPr>
                  <w:tcW w:w="673" w:type="dxa"/>
                  <w:tcBorders>
                    <w:tl2br w:val="nil"/>
                    <w:tr2bl w:val="nil"/>
                  </w:tcBorders>
                  <w:vAlign w:val="center"/>
                </w:tcPr>
                <w:p>
                  <w:pPr>
                    <w:widowControl/>
                    <w:adjustRightInd w:val="0"/>
                    <w:snapToGrid w:val="0"/>
                    <w:jc w:val="center"/>
                    <w:rPr>
                      <w:b/>
                      <w:color w:val="000000"/>
                      <w:szCs w:val="21"/>
                    </w:rPr>
                  </w:pPr>
                  <w:r>
                    <w:rPr>
                      <w:b/>
                      <w:color w:val="000000"/>
                      <w:szCs w:val="21"/>
                    </w:rPr>
                    <w:t>符合情况</w:t>
                  </w:r>
                </w:p>
              </w:tc>
            </w:tr>
            <w:tr>
              <w:tblPrEx>
                <w:tblW w:w="7738" w:type="dxa"/>
                <w:tblInd w:w="12" w:type="dxa"/>
                <w:tblLayout w:type="fixed"/>
                <w:tblCellMar>
                  <w:top w:w="0" w:type="dxa"/>
                  <w:left w:w="108" w:type="dxa"/>
                  <w:bottom w:w="0" w:type="dxa"/>
                  <w:right w:w="108" w:type="dxa"/>
                </w:tblCellMar>
              </w:tblPrEx>
              <w:trPr>
                <w:trHeight w:val="1334"/>
              </w:trPr>
              <w:tc>
                <w:tcPr>
                  <w:tcW w:w="417" w:type="dxa"/>
                  <w:tcBorders>
                    <w:tl2br w:val="nil"/>
                    <w:tr2bl w:val="nil"/>
                  </w:tcBorders>
                  <w:vAlign w:val="center"/>
                </w:tcPr>
                <w:p>
                  <w:pPr>
                    <w:widowControl/>
                    <w:adjustRightInd w:val="0"/>
                    <w:snapToGrid w:val="0"/>
                    <w:jc w:val="center"/>
                    <w:rPr>
                      <w:bCs/>
                      <w:color w:val="000000"/>
                      <w:szCs w:val="21"/>
                    </w:rPr>
                  </w:pPr>
                  <w:r>
                    <w:rPr>
                      <w:bCs/>
                      <w:color w:val="000000"/>
                      <w:szCs w:val="21"/>
                    </w:rPr>
                    <w:t>1</w:t>
                  </w:r>
                </w:p>
              </w:tc>
              <w:tc>
                <w:tcPr>
                  <w:tcW w:w="758" w:type="dxa"/>
                  <w:tcBorders>
                    <w:tl2br w:val="nil"/>
                    <w:tr2bl w:val="nil"/>
                  </w:tcBorders>
                  <w:vAlign w:val="center"/>
                </w:tcPr>
                <w:p>
                  <w:pPr>
                    <w:widowControl/>
                    <w:adjustRightInd w:val="0"/>
                    <w:snapToGrid w:val="0"/>
                    <w:jc w:val="center"/>
                    <w:rPr>
                      <w:bCs/>
                      <w:color w:val="000000"/>
                      <w:szCs w:val="21"/>
                    </w:rPr>
                  </w:pPr>
                  <w:r>
                    <w:rPr>
                      <w:rFonts w:hint="eastAsia"/>
                      <w:bCs/>
                      <w:color w:val="000000"/>
                      <w:szCs w:val="21"/>
                    </w:rPr>
                    <w:t>规划范围</w:t>
                  </w:r>
                </w:p>
              </w:tc>
              <w:tc>
                <w:tcPr>
                  <w:tcW w:w="3568" w:type="dxa"/>
                  <w:tcBorders>
                    <w:tl2br w:val="nil"/>
                    <w:tr2bl w:val="nil"/>
                  </w:tcBorders>
                  <w:vAlign w:val="center"/>
                </w:tcPr>
                <w:p>
                  <w:pPr>
                    <w:widowControl/>
                    <w:adjustRightInd w:val="0"/>
                    <w:snapToGrid w:val="0"/>
                    <w:rPr>
                      <w:color w:val="000000"/>
                      <w:kern w:val="0"/>
                      <w:szCs w:val="21"/>
                    </w:rPr>
                  </w:pPr>
                  <w:r>
                    <w:rPr>
                      <w:rFonts w:hint="eastAsia"/>
                      <w:color w:val="000000"/>
                      <w:kern w:val="0"/>
                      <w:szCs w:val="21"/>
                    </w:rPr>
                    <w:t>规划面积27.55平方公里，规划</w:t>
                  </w:r>
                  <w:r>
                    <w:rPr>
                      <w:color w:val="000000"/>
                      <w:kern w:val="0"/>
                      <w:szCs w:val="21"/>
                    </w:rPr>
                    <w:t>范围</w:t>
                  </w:r>
                  <w:r>
                    <w:rPr>
                      <w:rFonts w:hint="eastAsia"/>
                      <w:color w:val="000000"/>
                      <w:kern w:val="0"/>
                      <w:szCs w:val="21"/>
                    </w:rPr>
                    <w:t>：</w:t>
                  </w:r>
                  <w:r>
                    <w:rPr>
                      <w:color w:val="000000"/>
                      <w:kern w:val="0"/>
                      <w:szCs w:val="21"/>
                    </w:rPr>
                    <w:t>东至</w:t>
                  </w:r>
                  <w:r>
                    <w:rPr>
                      <w:rFonts w:hint="eastAsia"/>
                      <w:color w:val="000000"/>
                      <w:kern w:val="0"/>
                      <w:szCs w:val="21"/>
                    </w:rPr>
                    <w:t>东三环路、</w:t>
                  </w:r>
                  <w:r>
                    <w:rPr>
                      <w:color w:val="000000"/>
                      <w:kern w:val="0"/>
                      <w:szCs w:val="21"/>
                    </w:rPr>
                    <w:t>南至</w:t>
                  </w:r>
                  <w:r>
                    <w:rPr>
                      <w:rFonts w:hint="eastAsia"/>
                      <w:color w:val="000000"/>
                      <w:kern w:val="0"/>
                      <w:szCs w:val="21"/>
                    </w:rPr>
                    <w:t>平尹公路、</w:t>
                  </w:r>
                  <w:r>
                    <w:rPr>
                      <w:color w:val="000000"/>
                      <w:kern w:val="0"/>
                      <w:szCs w:val="21"/>
                    </w:rPr>
                    <w:t>西至</w:t>
                  </w:r>
                  <w:r>
                    <w:rPr>
                      <w:rFonts w:hint="eastAsia"/>
                      <w:color w:val="000000"/>
                      <w:kern w:val="0"/>
                      <w:szCs w:val="21"/>
                    </w:rPr>
                    <w:t>福源北路、</w:t>
                  </w:r>
                  <w:r>
                    <w:rPr>
                      <w:color w:val="000000"/>
                      <w:kern w:val="0"/>
                      <w:szCs w:val="21"/>
                    </w:rPr>
                    <w:t>北至</w:t>
                  </w:r>
                  <w:r>
                    <w:rPr>
                      <w:rFonts w:hint="eastAsia"/>
                      <w:color w:val="000000"/>
                      <w:kern w:val="0"/>
                      <w:szCs w:val="21"/>
                    </w:rPr>
                    <w:t>北三环路。</w:t>
                  </w:r>
                </w:p>
              </w:tc>
              <w:tc>
                <w:tcPr>
                  <w:tcW w:w="2322" w:type="dxa"/>
                  <w:tcBorders>
                    <w:tl2br w:val="nil"/>
                    <w:tr2bl w:val="nil"/>
                  </w:tcBorders>
                  <w:vAlign w:val="center"/>
                </w:tcPr>
                <w:p>
                  <w:pPr>
                    <w:widowControl/>
                    <w:adjustRightInd w:val="0"/>
                    <w:snapToGrid w:val="0"/>
                    <w:rPr>
                      <w:color w:val="000000"/>
                      <w:kern w:val="0"/>
                      <w:szCs w:val="21"/>
                    </w:rPr>
                  </w:pPr>
                  <w:r>
                    <w:rPr>
                      <w:rFonts w:hint="eastAsia"/>
                      <w:bCs/>
                      <w:color w:val="000000"/>
                      <w:szCs w:val="21"/>
                    </w:rPr>
                    <w:t>项目位于</w:t>
                  </w:r>
                  <w:r>
                    <w:rPr>
                      <w:rFonts w:hint="eastAsia"/>
                      <w:color w:val="000000"/>
                      <w:szCs w:val="21"/>
                      <w:lang w:eastAsia="zh-CN"/>
                    </w:rPr>
                    <w:t>平原经济开发区桃园北大道和北环路交叉口东南侧50米</w:t>
                  </w:r>
                  <w:r>
                    <w:rPr>
                      <w:rFonts w:hint="eastAsia"/>
                      <w:bCs/>
                      <w:color w:val="000000"/>
                      <w:szCs w:val="21"/>
                    </w:rPr>
                    <w:t>，位于规划范围内。</w:t>
                  </w:r>
                </w:p>
              </w:tc>
              <w:tc>
                <w:tcPr>
                  <w:tcW w:w="673" w:type="dxa"/>
                  <w:tcBorders>
                    <w:tl2br w:val="nil"/>
                    <w:tr2bl w:val="nil"/>
                  </w:tcBorders>
                  <w:vAlign w:val="center"/>
                </w:tcPr>
                <w:p>
                  <w:pPr>
                    <w:widowControl/>
                    <w:adjustRightInd w:val="0"/>
                    <w:snapToGrid w:val="0"/>
                    <w:rPr>
                      <w:bCs/>
                      <w:color w:val="000000"/>
                      <w:szCs w:val="21"/>
                    </w:rPr>
                  </w:pPr>
                  <w:r>
                    <w:rPr>
                      <w:bCs/>
                      <w:color w:val="000000"/>
                      <w:szCs w:val="21"/>
                    </w:rPr>
                    <w:t>符合</w:t>
                  </w:r>
                </w:p>
              </w:tc>
            </w:tr>
            <w:tr>
              <w:tblPrEx>
                <w:tblW w:w="7738" w:type="dxa"/>
                <w:tblInd w:w="12" w:type="dxa"/>
                <w:tblLayout w:type="fixed"/>
                <w:tblCellMar>
                  <w:top w:w="0" w:type="dxa"/>
                  <w:left w:w="108" w:type="dxa"/>
                  <w:bottom w:w="0" w:type="dxa"/>
                  <w:right w:w="108" w:type="dxa"/>
                </w:tblCellMar>
              </w:tblPrEx>
              <w:trPr>
                <w:trHeight w:val="1584"/>
              </w:trPr>
              <w:tc>
                <w:tcPr>
                  <w:tcW w:w="417" w:type="dxa"/>
                  <w:tcBorders>
                    <w:tl2br w:val="nil"/>
                    <w:tr2bl w:val="nil"/>
                  </w:tcBorders>
                  <w:vAlign w:val="center"/>
                </w:tcPr>
                <w:p>
                  <w:pPr>
                    <w:widowControl/>
                    <w:adjustRightInd w:val="0"/>
                    <w:snapToGrid w:val="0"/>
                    <w:jc w:val="center"/>
                    <w:rPr>
                      <w:bCs/>
                      <w:color w:val="000000"/>
                      <w:szCs w:val="21"/>
                    </w:rPr>
                  </w:pPr>
                  <w:r>
                    <w:rPr>
                      <w:bCs/>
                      <w:color w:val="000000"/>
                      <w:szCs w:val="21"/>
                    </w:rPr>
                    <w:t>2</w:t>
                  </w:r>
                </w:p>
              </w:tc>
              <w:tc>
                <w:tcPr>
                  <w:tcW w:w="758" w:type="dxa"/>
                  <w:tcBorders>
                    <w:tl2br w:val="nil"/>
                    <w:tr2bl w:val="nil"/>
                  </w:tcBorders>
                  <w:vAlign w:val="center"/>
                </w:tcPr>
                <w:p>
                  <w:pPr>
                    <w:widowControl/>
                    <w:adjustRightInd w:val="0"/>
                    <w:snapToGrid w:val="0"/>
                    <w:jc w:val="center"/>
                    <w:rPr>
                      <w:bCs/>
                      <w:color w:val="000000"/>
                      <w:szCs w:val="21"/>
                    </w:rPr>
                  </w:pPr>
                  <w:r>
                    <w:rPr>
                      <w:rFonts w:hint="eastAsia"/>
                      <w:bCs/>
                      <w:color w:val="000000"/>
                      <w:szCs w:val="21"/>
                    </w:rPr>
                    <w:t>产业定位</w:t>
                  </w:r>
                </w:p>
              </w:tc>
              <w:tc>
                <w:tcPr>
                  <w:tcW w:w="3568" w:type="dxa"/>
                  <w:tcBorders>
                    <w:tl2br w:val="nil"/>
                    <w:tr2bl w:val="nil"/>
                  </w:tcBorders>
                  <w:vAlign w:val="center"/>
                </w:tcPr>
                <w:p>
                  <w:pPr>
                    <w:widowControl/>
                    <w:adjustRightInd w:val="0"/>
                    <w:snapToGrid w:val="0"/>
                    <w:rPr>
                      <w:bCs/>
                      <w:color w:val="000000"/>
                      <w:szCs w:val="21"/>
                    </w:rPr>
                  </w:pPr>
                  <w:r>
                    <w:rPr>
                      <w:color w:val="000000"/>
                      <w:kern w:val="0"/>
                      <w:szCs w:val="21"/>
                    </w:rPr>
                    <w:t>主导产业为</w:t>
                  </w:r>
                  <w:r>
                    <w:rPr>
                      <w:rFonts w:hint="eastAsia"/>
                      <w:color w:val="000000"/>
                      <w:kern w:val="0"/>
                      <w:szCs w:val="21"/>
                    </w:rPr>
                    <w:t>机械制造、医药、新材料产业；辅助产业为食品加工、酒制造</w:t>
                  </w:r>
                  <w:r>
                    <w:rPr>
                      <w:color w:val="000000"/>
                      <w:kern w:val="0"/>
                      <w:szCs w:val="21"/>
                    </w:rPr>
                    <w:t>。</w:t>
                  </w:r>
                  <w:r>
                    <w:rPr>
                      <w:rFonts w:hint="eastAsia"/>
                      <w:color w:val="000000"/>
                      <w:kern w:val="0"/>
                      <w:szCs w:val="21"/>
                    </w:rPr>
                    <w:t xml:space="preserve">   </w:t>
                  </w:r>
                </w:p>
              </w:tc>
              <w:tc>
                <w:tcPr>
                  <w:tcW w:w="2322" w:type="dxa"/>
                  <w:tcBorders>
                    <w:tl2br w:val="nil"/>
                    <w:tr2bl w:val="nil"/>
                  </w:tcBorders>
                  <w:vAlign w:val="center"/>
                </w:tcPr>
                <w:p>
                  <w:pPr>
                    <w:widowControl/>
                    <w:adjustRightInd w:val="0"/>
                    <w:snapToGrid w:val="0"/>
                    <w:rPr>
                      <w:bCs/>
                      <w:color w:val="000000"/>
                      <w:szCs w:val="21"/>
                    </w:rPr>
                  </w:pPr>
                  <w:r>
                    <w:rPr>
                      <w:color w:val="000000"/>
                      <w:szCs w:val="21"/>
                    </w:rPr>
                    <w:t>项目产品为</w:t>
                  </w:r>
                  <w:r>
                    <w:rPr>
                      <w:rFonts w:hint="eastAsia"/>
                      <w:color w:val="000000"/>
                      <w:szCs w:val="21"/>
                    </w:rPr>
                    <w:t>医用级PET/PETG</w:t>
                  </w:r>
                  <w:r>
                    <w:rPr>
                      <w:rFonts w:hint="eastAsia"/>
                      <w:color w:val="000000"/>
                      <w:szCs w:val="21"/>
                      <w:lang w:val="en-US" w:eastAsia="zh-CN"/>
                    </w:rPr>
                    <w:t>片材</w:t>
                  </w:r>
                  <w:r>
                    <w:rPr>
                      <w:color w:val="000000"/>
                      <w:szCs w:val="21"/>
                    </w:rPr>
                    <w:t>，</w:t>
                  </w:r>
                  <w:r>
                    <w:rPr>
                      <w:rFonts w:hint="eastAsia"/>
                      <w:color w:val="000000"/>
                      <w:szCs w:val="21"/>
                    </w:rPr>
                    <w:t>主要用于医药行业包装，为</w:t>
                  </w:r>
                  <w:r>
                    <w:rPr>
                      <w:color w:val="000000"/>
                      <w:kern w:val="0"/>
                      <w:szCs w:val="21"/>
                    </w:rPr>
                    <w:t>平原经济开发区</w:t>
                  </w:r>
                  <w:r>
                    <w:rPr>
                      <w:rFonts w:hint="eastAsia"/>
                      <w:color w:val="000000"/>
                      <w:kern w:val="0"/>
                      <w:szCs w:val="21"/>
                    </w:rPr>
                    <w:t>主导产业的新材料产业。</w:t>
                  </w:r>
                </w:p>
              </w:tc>
              <w:tc>
                <w:tcPr>
                  <w:tcW w:w="673" w:type="dxa"/>
                  <w:tcBorders>
                    <w:tl2br w:val="nil"/>
                    <w:tr2bl w:val="nil"/>
                  </w:tcBorders>
                  <w:vAlign w:val="center"/>
                </w:tcPr>
                <w:p>
                  <w:pPr>
                    <w:widowControl/>
                    <w:adjustRightInd w:val="0"/>
                    <w:snapToGrid w:val="0"/>
                    <w:rPr>
                      <w:bCs/>
                      <w:color w:val="000000"/>
                      <w:szCs w:val="21"/>
                    </w:rPr>
                  </w:pPr>
                  <w:r>
                    <w:rPr>
                      <w:bCs/>
                      <w:color w:val="000000"/>
                      <w:szCs w:val="21"/>
                    </w:rPr>
                    <w:t>符合</w:t>
                  </w:r>
                </w:p>
              </w:tc>
            </w:tr>
            <w:tr>
              <w:tblPrEx>
                <w:tblW w:w="7738" w:type="dxa"/>
                <w:tblInd w:w="12" w:type="dxa"/>
                <w:tblLayout w:type="fixed"/>
                <w:tblCellMar>
                  <w:top w:w="0" w:type="dxa"/>
                  <w:left w:w="108" w:type="dxa"/>
                  <w:bottom w:w="0" w:type="dxa"/>
                  <w:right w:w="108" w:type="dxa"/>
                </w:tblCellMar>
              </w:tblPrEx>
              <w:trPr>
                <w:trHeight w:hRule="exact" w:val="3180"/>
              </w:trPr>
              <w:tc>
                <w:tcPr>
                  <w:tcW w:w="417" w:type="dxa"/>
                  <w:tcBorders>
                    <w:tl2br w:val="nil"/>
                    <w:tr2bl w:val="nil"/>
                  </w:tcBorders>
                  <w:vAlign w:val="center"/>
                </w:tcPr>
                <w:p>
                  <w:pPr>
                    <w:widowControl/>
                    <w:adjustRightInd w:val="0"/>
                    <w:snapToGrid w:val="0"/>
                    <w:jc w:val="center"/>
                    <w:rPr>
                      <w:bCs/>
                      <w:color w:val="000000"/>
                      <w:szCs w:val="21"/>
                    </w:rPr>
                  </w:pPr>
                  <w:r>
                    <w:rPr>
                      <w:rFonts w:hint="eastAsia"/>
                      <w:bCs/>
                      <w:color w:val="000000"/>
                      <w:szCs w:val="21"/>
                    </w:rPr>
                    <w:t>3</w:t>
                  </w:r>
                </w:p>
              </w:tc>
              <w:tc>
                <w:tcPr>
                  <w:tcW w:w="758" w:type="dxa"/>
                  <w:tcBorders>
                    <w:tl2br w:val="nil"/>
                    <w:tr2bl w:val="nil"/>
                  </w:tcBorders>
                  <w:vAlign w:val="center"/>
                </w:tcPr>
                <w:p>
                  <w:pPr>
                    <w:widowControl/>
                    <w:adjustRightInd w:val="0"/>
                    <w:snapToGrid w:val="0"/>
                    <w:jc w:val="center"/>
                    <w:rPr>
                      <w:bCs/>
                      <w:color w:val="000000"/>
                      <w:szCs w:val="21"/>
                    </w:rPr>
                  </w:pPr>
                  <w:r>
                    <w:rPr>
                      <w:rFonts w:hint="eastAsia"/>
                      <w:bCs/>
                      <w:color w:val="000000"/>
                      <w:szCs w:val="21"/>
                    </w:rPr>
                    <w:t>基础设施规划</w:t>
                  </w:r>
                </w:p>
              </w:tc>
              <w:tc>
                <w:tcPr>
                  <w:tcW w:w="3568" w:type="dxa"/>
                  <w:tcBorders>
                    <w:tl2br w:val="nil"/>
                    <w:tr2bl w:val="nil"/>
                  </w:tcBorders>
                  <w:vAlign w:val="center"/>
                </w:tcPr>
                <w:p>
                  <w:pPr>
                    <w:widowControl/>
                    <w:ind w:right="57"/>
                    <w:rPr>
                      <w:color w:val="000000"/>
                      <w:kern w:val="0"/>
                      <w:szCs w:val="21"/>
                    </w:rPr>
                  </w:pPr>
                  <w:r>
                    <w:rPr>
                      <w:rFonts w:ascii="宋体" w:hAnsi="宋体" w:cs="宋体"/>
                      <w:color w:val="000000"/>
                      <w:spacing w:val="11"/>
                      <w:szCs w:val="21"/>
                    </w:rPr>
                    <w:t>开发区规划扩建平原县自来水公</w:t>
                  </w:r>
                  <w:r>
                    <w:rPr>
                      <w:rFonts w:ascii="宋体" w:hAnsi="宋体" w:cs="宋体"/>
                      <w:color w:val="000000"/>
                      <w:spacing w:val="10"/>
                      <w:szCs w:val="21"/>
                    </w:rPr>
                    <w:t>司城区水厂和新建第二供水厂，水源分别为相家河水库、龙门水库。开发区污水处理依托</w:t>
                  </w:r>
                  <w:r>
                    <w:rPr>
                      <w:rFonts w:ascii="宋体" w:hAnsi="宋体" w:cs="宋体" w:hint="eastAsia"/>
                      <w:color w:val="000000"/>
                      <w:spacing w:val="10"/>
                      <w:szCs w:val="21"/>
                    </w:rPr>
                    <w:t>平原县中设水务有限公司</w:t>
                  </w:r>
                  <w:r>
                    <w:rPr>
                      <w:rFonts w:ascii="宋体" w:hAnsi="宋体" w:cs="宋体"/>
                      <w:color w:val="000000"/>
                      <w:spacing w:val="10"/>
                      <w:szCs w:val="21"/>
                    </w:rPr>
                    <w:t>和平原县第二污水处理厂。集中供热依托现有山东福洋生物科技股份有限公司、汇胜集团平原纸业有限公司、平原宏森生物科技有限公司、阳煤平原</w:t>
                  </w:r>
                  <w:r>
                    <w:rPr>
                      <w:rFonts w:ascii="宋体" w:hAnsi="宋体" w:cs="宋体"/>
                      <w:color w:val="000000"/>
                      <w:spacing w:val="9"/>
                      <w:szCs w:val="21"/>
                    </w:rPr>
                    <w:t>化工有限公司和山东平原汉源绿色能源有限公司。</w:t>
                  </w:r>
                </w:p>
              </w:tc>
              <w:tc>
                <w:tcPr>
                  <w:tcW w:w="2322" w:type="dxa"/>
                  <w:tcBorders>
                    <w:tl2br w:val="nil"/>
                    <w:tr2bl w:val="nil"/>
                  </w:tcBorders>
                  <w:vAlign w:val="center"/>
                </w:tcPr>
                <w:p>
                  <w:pPr>
                    <w:widowControl/>
                    <w:adjustRightInd w:val="0"/>
                    <w:snapToGrid w:val="0"/>
                    <w:rPr>
                      <w:color w:val="000000"/>
                      <w:kern w:val="0"/>
                      <w:szCs w:val="21"/>
                    </w:rPr>
                  </w:pPr>
                  <w:r>
                    <w:rPr>
                      <w:rFonts w:hint="eastAsia"/>
                      <w:color w:val="000000"/>
                      <w:kern w:val="0"/>
                      <w:szCs w:val="21"/>
                      <w:lang w:bidi="ar"/>
                    </w:rPr>
                    <w:t>项目生产、生活用水为</w:t>
                  </w:r>
                  <w:r>
                    <w:rPr>
                      <w:rFonts w:ascii="宋体" w:hAnsi="宋体" w:cs="宋体"/>
                      <w:color w:val="000000"/>
                      <w:spacing w:val="11"/>
                      <w:szCs w:val="21"/>
                    </w:rPr>
                    <w:t>平原县自来水公</w:t>
                  </w:r>
                  <w:r>
                    <w:rPr>
                      <w:rFonts w:ascii="宋体" w:hAnsi="宋体" w:cs="宋体"/>
                      <w:color w:val="000000"/>
                      <w:spacing w:val="10"/>
                      <w:szCs w:val="21"/>
                    </w:rPr>
                    <w:t>司城区水厂</w:t>
                  </w:r>
                  <w:r>
                    <w:rPr>
                      <w:rFonts w:ascii="宋体" w:hAnsi="宋体" w:cs="宋体" w:hint="eastAsia"/>
                      <w:color w:val="000000"/>
                      <w:spacing w:val="10"/>
                      <w:szCs w:val="21"/>
                    </w:rPr>
                    <w:t>；生产过程熔融挤出、干燥工序采用电加热。</w:t>
                  </w:r>
                </w:p>
              </w:tc>
              <w:tc>
                <w:tcPr>
                  <w:tcW w:w="673" w:type="dxa"/>
                  <w:tcBorders>
                    <w:tl2br w:val="nil"/>
                    <w:tr2bl w:val="nil"/>
                  </w:tcBorders>
                  <w:vAlign w:val="center"/>
                </w:tcPr>
                <w:p>
                  <w:pPr>
                    <w:widowControl/>
                    <w:adjustRightInd w:val="0"/>
                    <w:snapToGrid w:val="0"/>
                    <w:rPr>
                      <w:bCs/>
                      <w:color w:val="000000"/>
                      <w:szCs w:val="21"/>
                    </w:rPr>
                  </w:pPr>
                  <w:r>
                    <w:rPr>
                      <w:rFonts w:hint="eastAsia"/>
                      <w:bCs/>
                      <w:color w:val="000000"/>
                      <w:szCs w:val="21"/>
                    </w:rPr>
                    <w:t>符合</w:t>
                  </w:r>
                </w:p>
              </w:tc>
            </w:tr>
          </w:tbl>
          <w:p>
            <w:pPr>
              <w:adjustRightInd w:val="0"/>
              <w:snapToGrid w:val="0"/>
              <w:spacing w:line="360" w:lineRule="auto"/>
              <w:rPr>
                <w:color w:val="000000"/>
                <w:szCs w:val="21"/>
              </w:rPr>
            </w:pPr>
          </w:p>
        </w:tc>
      </w:tr>
    </w:tbl>
    <w:p>
      <w:pPr>
        <w:sectPr>
          <w:footerReference w:type="default" r:id="rId7"/>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2"/>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pPr>
              <w:autoSpaceDE w:val="0"/>
              <w:autoSpaceDN w:val="0"/>
              <w:adjustRightInd w:val="0"/>
              <w:snapToGrid w:val="0"/>
              <w:jc w:val="center"/>
              <w:rPr>
                <w:color w:val="000000"/>
                <w:kern w:val="0"/>
                <w:szCs w:val="21"/>
              </w:rPr>
            </w:pPr>
            <w:r>
              <w:rPr>
                <w:color w:val="000000"/>
                <w:kern w:val="0"/>
                <w:szCs w:val="21"/>
              </w:rPr>
              <w:t>其他符合性分析</w:t>
            </w:r>
          </w:p>
        </w:tc>
        <w:tc>
          <w:tcPr>
            <w:tcW w:w="8249" w:type="dxa"/>
            <w:vAlign w:val="center"/>
          </w:tcPr>
          <w:p>
            <w:pPr>
              <w:pStyle w:val="NormalIndent"/>
              <w:adjustRightInd w:val="0"/>
              <w:snapToGrid w:val="0"/>
              <w:ind w:firstLine="422"/>
              <w:rPr>
                <w:b/>
                <w:color w:val="000000"/>
                <w:szCs w:val="21"/>
              </w:rPr>
            </w:pPr>
            <w:r>
              <w:rPr>
                <w:b/>
                <w:color w:val="000000"/>
                <w:szCs w:val="21"/>
              </w:rPr>
              <w:t>一、产业政策符合性</w:t>
            </w:r>
            <w:r>
              <w:rPr>
                <w:rFonts w:hint="eastAsia"/>
                <w:b/>
                <w:color w:val="000000"/>
                <w:szCs w:val="21"/>
              </w:rPr>
              <w:t>分析</w:t>
            </w:r>
          </w:p>
          <w:p>
            <w:pPr>
              <w:pStyle w:val="BodyTextFirstIndent2"/>
              <w:adjustRightInd w:val="0"/>
              <w:snapToGrid w:val="0"/>
              <w:spacing w:after="0" w:line="360" w:lineRule="auto"/>
              <w:ind w:left="0" w:firstLine="422" w:leftChars="0"/>
              <w:rPr>
                <w:color w:val="000000" w:themeColor="text1"/>
                <w:szCs w:val="21"/>
              </w:rPr>
            </w:pPr>
            <w:r>
              <w:rPr>
                <w:color w:val="000000" w:themeColor="text1"/>
                <w:sz w:val="21"/>
                <w:szCs w:val="21"/>
              </w:rPr>
              <w:t>根据《产业结构调整指导目录（2019年本）》有关规定，项目不在鼓励、限制、淘汰类之内，为允许类，因此符合国家产业政策。项目</w:t>
            </w:r>
            <w:r>
              <w:rPr>
                <w:rFonts w:hint="eastAsia"/>
                <w:color w:val="000000" w:themeColor="text1"/>
                <w:sz w:val="21"/>
                <w:szCs w:val="21"/>
                <w:lang w:val="en-US" w:eastAsia="zh-CN"/>
              </w:rPr>
              <w:t>已经取得</w:t>
            </w:r>
            <w:r>
              <w:rPr>
                <w:color w:val="000000" w:themeColor="text1"/>
                <w:sz w:val="21"/>
                <w:szCs w:val="21"/>
              </w:rPr>
              <w:t>山东省建设项目备案证明，项目代码</w:t>
            </w:r>
            <w:r>
              <w:rPr>
                <w:rFonts w:hint="eastAsia"/>
                <w:color w:val="000000" w:themeColor="text1"/>
                <w:spacing w:val="-8"/>
                <w:sz w:val="21"/>
                <w:szCs w:val="21"/>
                <w:lang w:eastAsia="zh-CN"/>
              </w:rPr>
              <w:t>2312-371426-89-03-454700</w:t>
            </w:r>
            <w:r>
              <w:rPr>
                <w:color w:val="000000" w:themeColor="text1"/>
                <w:sz w:val="21"/>
                <w:szCs w:val="21"/>
              </w:rPr>
              <w:t>，因此，项目符合国家产业政策。</w:t>
            </w:r>
          </w:p>
          <w:p>
            <w:pPr>
              <w:pStyle w:val="BodyTextFirstIndent2"/>
              <w:adjustRightInd w:val="0"/>
              <w:snapToGrid w:val="0"/>
              <w:spacing w:after="0" w:line="360" w:lineRule="auto"/>
              <w:ind w:left="0" w:firstLine="422" w:leftChars="0"/>
              <w:rPr>
                <w:b/>
                <w:color w:val="000000"/>
                <w:szCs w:val="21"/>
              </w:rPr>
            </w:pPr>
            <w:r>
              <w:rPr>
                <w:rFonts w:hint="eastAsia"/>
                <w:b/>
                <w:color w:val="000000"/>
                <w:szCs w:val="21"/>
              </w:rPr>
              <w:t>二</w:t>
            </w:r>
            <w:r>
              <w:rPr>
                <w:b/>
                <w:color w:val="000000"/>
                <w:szCs w:val="21"/>
              </w:rPr>
              <w:t>、土地利用规划符合性</w:t>
            </w:r>
            <w:r>
              <w:rPr>
                <w:rFonts w:hint="eastAsia"/>
                <w:b/>
                <w:color w:val="000000"/>
                <w:szCs w:val="21"/>
              </w:rPr>
              <w:t>分析</w:t>
            </w:r>
          </w:p>
          <w:p>
            <w:pPr>
              <w:adjustRightInd w:val="0"/>
              <w:snapToGrid w:val="0"/>
              <w:spacing w:line="360" w:lineRule="auto"/>
              <w:ind w:firstLine="420" w:firstLineChars="200"/>
              <w:rPr>
                <w:color w:val="000000"/>
                <w:szCs w:val="21"/>
              </w:rPr>
            </w:pPr>
            <w:r>
              <w:rPr>
                <w:rFonts w:hint="eastAsia"/>
                <w:color w:val="000000"/>
                <w:szCs w:val="21"/>
              </w:rPr>
              <w:t>项目</w:t>
            </w:r>
            <w:r>
              <w:rPr>
                <w:color w:val="000000"/>
                <w:szCs w:val="21"/>
              </w:rPr>
              <w:t>位于</w:t>
            </w:r>
            <w:r>
              <w:rPr>
                <w:rFonts w:hint="eastAsia"/>
                <w:color w:val="000000"/>
                <w:szCs w:val="21"/>
                <w:lang w:eastAsia="zh-CN"/>
              </w:rPr>
              <w:t>山东省德州市平原经济开发区桃园北大道和北环路交叉口东南侧50米</w:t>
            </w:r>
            <w:r>
              <w:rPr>
                <w:rFonts w:hint="eastAsia"/>
                <w:color w:val="000000"/>
                <w:szCs w:val="21"/>
              </w:rPr>
              <w:t>，项目租赁</w:t>
            </w:r>
            <w:r>
              <w:rPr>
                <w:rFonts w:hint="eastAsia"/>
                <w:color w:val="000000"/>
                <w:szCs w:val="21"/>
                <w:lang w:val="en-US" w:eastAsia="zh-CN"/>
              </w:rPr>
              <w:t>德州市多轮交通科技</w:t>
            </w:r>
            <w:r>
              <w:rPr>
                <w:rFonts w:hint="eastAsia"/>
                <w:color w:val="000000"/>
                <w:szCs w:val="21"/>
              </w:rPr>
              <w:t>有限公司</w:t>
            </w:r>
            <w:r>
              <w:rPr>
                <w:rFonts w:ascii="Times New Roman" w:eastAsia="宋体" w:hAnsi="Times New Roman" w:cs="Times New Roman" w:hint="eastAsia"/>
                <w:color w:val="000000"/>
                <w:szCs w:val="21"/>
                <w:lang w:eastAsia="zh-CN"/>
              </w:rPr>
              <w:t>闲置车间（</w:t>
            </w:r>
            <w:r>
              <w:rPr>
                <w:rFonts w:ascii="Times New Roman" w:eastAsia="宋体" w:hAnsi="Times New Roman" w:cs="Times New Roman" w:hint="eastAsia"/>
                <w:color w:val="000000"/>
                <w:szCs w:val="21"/>
                <w:lang w:val="en-US" w:eastAsia="zh-CN"/>
              </w:rPr>
              <w:t>2号、3号</w:t>
            </w:r>
            <w:r>
              <w:rPr>
                <w:rFonts w:ascii="Times New Roman" w:eastAsia="宋体" w:hAnsi="Times New Roman" w:cs="Times New Roman" w:hint="eastAsia"/>
                <w:color w:val="000000"/>
                <w:szCs w:val="21"/>
                <w:lang w:eastAsia="zh-CN"/>
              </w:rPr>
              <w:t>）</w:t>
            </w:r>
            <w:r>
              <w:rPr>
                <w:rFonts w:hint="eastAsia"/>
                <w:color w:val="000000"/>
                <w:szCs w:val="21"/>
              </w:rPr>
              <w:t>进行建设，根据</w:t>
            </w:r>
            <w:r>
              <w:rPr>
                <w:color w:val="000000"/>
                <w:kern w:val="0"/>
                <w:szCs w:val="21"/>
              </w:rPr>
              <w:t>《山东平原经济开发区发展规划</w:t>
            </w:r>
            <w:r>
              <w:rPr>
                <w:rFonts w:hint="eastAsia"/>
                <w:color w:val="000000"/>
                <w:kern w:val="0"/>
                <w:szCs w:val="21"/>
              </w:rPr>
              <w:t>（2020-2035年）</w:t>
            </w:r>
            <w:r>
              <w:rPr>
                <w:color w:val="000000"/>
                <w:kern w:val="0"/>
                <w:szCs w:val="21"/>
              </w:rPr>
              <w:t>》</w:t>
            </w:r>
            <w:r>
              <w:rPr>
                <w:rFonts w:hint="eastAsia"/>
                <w:color w:val="000000"/>
                <w:szCs w:val="21"/>
              </w:rPr>
              <w:t>、平原县</w:t>
            </w:r>
            <w:r>
              <w:rPr>
                <w:rFonts w:hint="eastAsia"/>
                <w:color w:val="000000"/>
                <w:szCs w:val="21"/>
                <w:lang w:val="en-US" w:eastAsia="zh-CN"/>
              </w:rPr>
              <w:t>自然</w:t>
            </w:r>
            <w:r>
              <w:rPr>
                <w:rFonts w:hint="eastAsia"/>
                <w:color w:val="000000"/>
                <w:szCs w:val="21"/>
              </w:rPr>
              <w:t>资源局出具的不动产权证：</w:t>
            </w:r>
            <w:r>
              <w:rPr>
                <w:rFonts w:hint="eastAsia"/>
                <w:color w:val="000000"/>
                <w:szCs w:val="21"/>
                <w:u w:val="single"/>
              </w:rPr>
              <w:t>鲁</w:t>
            </w:r>
            <w:r>
              <w:rPr>
                <w:rFonts w:hint="eastAsia"/>
                <w:color w:val="000000"/>
                <w:szCs w:val="21"/>
              </w:rPr>
              <w:t>（2022）</w:t>
            </w:r>
            <w:r>
              <w:rPr>
                <w:rFonts w:hint="eastAsia"/>
                <w:color w:val="000000"/>
                <w:szCs w:val="21"/>
                <w:u w:val="single"/>
              </w:rPr>
              <w:t>平原县</w:t>
            </w:r>
            <w:r>
              <w:rPr>
                <w:rFonts w:hint="eastAsia"/>
                <w:color w:val="000000"/>
                <w:szCs w:val="21"/>
              </w:rPr>
              <w:t>不动产权第000</w:t>
            </w:r>
            <w:r>
              <w:rPr>
                <w:rFonts w:hint="eastAsia"/>
                <w:color w:val="000000"/>
                <w:szCs w:val="21"/>
                <w:lang w:val="en-US" w:eastAsia="zh-CN"/>
              </w:rPr>
              <w:t>0041</w:t>
            </w:r>
            <w:r>
              <w:rPr>
                <w:rFonts w:hint="eastAsia"/>
                <w:color w:val="000000"/>
                <w:szCs w:val="21"/>
              </w:rPr>
              <w:t>号</w:t>
            </w:r>
            <w:r>
              <w:rPr>
                <w:color w:val="000000"/>
                <w:szCs w:val="21"/>
              </w:rPr>
              <w:t>（</w:t>
            </w:r>
            <w:r>
              <w:rPr>
                <w:rFonts w:hint="eastAsia"/>
                <w:color w:val="000000"/>
                <w:szCs w:val="21"/>
              </w:rPr>
              <w:t>具体</w:t>
            </w:r>
            <w:r>
              <w:rPr>
                <w:color w:val="000000"/>
                <w:szCs w:val="21"/>
              </w:rPr>
              <w:t>见附件）</w:t>
            </w:r>
            <w:r>
              <w:rPr>
                <w:rFonts w:hint="eastAsia"/>
                <w:color w:val="000000"/>
                <w:szCs w:val="21"/>
              </w:rPr>
              <w:t>，项目用地为工业用地，</w:t>
            </w:r>
            <w:r>
              <w:rPr>
                <w:color w:val="000000"/>
                <w:szCs w:val="21"/>
              </w:rPr>
              <w:t>符合</w:t>
            </w:r>
            <w:r>
              <w:rPr>
                <w:color w:val="000000"/>
                <w:kern w:val="0"/>
                <w:szCs w:val="21"/>
              </w:rPr>
              <w:t>平原</w:t>
            </w:r>
            <w:r>
              <w:rPr>
                <w:rFonts w:hint="eastAsia"/>
                <w:color w:val="000000"/>
                <w:kern w:val="0"/>
                <w:szCs w:val="21"/>
                <w:lang w:val="en-US" w:eastAsia="zh-CN"/>
              </w:rPr>
              <w:t>县</w:t>
            </w:r>
            <w:r>
              <w:rPr>
                <w:color w:val="000000"/>
                <w:kern w:val="0"/>
                <w:szCs w:val="21"/>
              </w:rPr>
              <w:t>经济开发区</w:t>
            </w:r>
            <w:r>
              <w:rPr>
                <w:color w:val="000000"/>
                <w:szCs w:val="21"/>
              </w:rPr>
              <w:t>土地利用</w:t>
            </w:r>
            <w:r>
              <w:rPr>
                <w:rFonts w:hint="eastAsia"/>
                <w:color w:val="000000"/>
                <w:szCs w:val="21"/>
              </w:rPr>
              <w:t>规划</w:t>
            </w:r>
            <w:r>
              <w:rPr>
                <w:color w:val="000000"/>
                <w:szCs w:val="21"/>
              </w:rPr>
              <w:t>。</w:t>
            </w:r>
          </w:p>
          <w:p>
            <w:pPr>
              <w:adjustRightInd w:val="0"/>
              <w:snapToGrid w:val="0"/>
              <w:spacing w:line="360" w:lineRule="auto"/>
              <w:ind w:firstLine="420" w:firstLineChars="200"/>
              <w:rPr>
                <w:b/>
                <w:bCs/>
                <w:color w:val="000000"/>
                <w:szCs w:val="21"/>
              </w:rPr>
            </w:pPr>
            <w:r>
              <w:rPr>
                <w:rFonts w:hint="eastAsia"/>
                <w:b/>
                <w:bCs/>
                <w:color w:val="000000"/>
                <w:szCs w:val="21"/>
              </w:rPr>
              <w:t>三</w:t>
            </w:r>
            <w:r>
              <w:rPr>
                <w:b/>
                <w:bCs/>
                <w:color w:val="000000"/>
                <w:szCs w:val="21"/>
              </w:rPr>
              <w:t>、</w:t>
            </w:r>
            <w:r>
              <w:rPr>
                <w:b/>
                <w:color w:val="000000"/>
                <w:szCs w:val="21"/>
              </w:rPr>
              <w:t>“三线一单”符合性分析</w:t>
            </w:r>
          </w:p>
          <w:p>
            <w:pPr>
              <w:pStyle w:val="NormalIndent"/>
              <w:ind w:firstLine="422"/>
              <w:rPr>
                <w:b/>
                <w:bCs/>
                <w:color w:val="000000"/>
                <w:szCs w:val="21"/>
              </w:rPr>
            </w:pPr>
            <w:r>
              <w:rPr>
                <w:rFonts w:hint="eastAsia"/>
                <w:b/>
                <w:bCs/>
                <w:color w:val="000000"/>
                <w:szCs w:val="21"/>
              </w:rPr>
              <w:t>1、与“生态保护红线与一般生态空间管控”符合性分析</w:t>
            </w:r>
          </w:p>
          <w:p>
            <w:pPr>
              <w:pStyle w:val="NormalIndent"/>
              <w:rPr>
                <w:color w:val="000000"/>
                <w:szCs w:val="21"/>
              </w:rPr>
            </w:pPr>
            <w:r>
              <w:rPr>
                <w:rFonts w:hint="eastAsia"/>
                <w:color w:val="000000"/>
                <w:szCs w:val="21"/>
              </w:rPr>
              <w:t>根据《德州市“三线一单”生态环境分区管控方案》（德政字[2021]19号）与《关于印发德州市“三线一单”生态环境分区管控方案2022年度更新内容》（德环委办字[2023]8号）要求，平原县共有6处生态保护红线区，平原县生态保护红线面积为19.53km</w:t>
            </w:r>
            <w:r>
              <w:rPr>
                <w:rFonts w:hint="eastAsia"/>
                <w:color w:val="000000"/>
                <w:szCs w:val="21"/>
                <w:vertAlign w:val="superscript"/>
              </w:rPr>
              <w:t>2</w:t>
            </w:r>
            <w:r>
              <w:rPr>
                <w:rFonts w:hint="eastAsia"/>
                <w:color w:val="000000"/>
                <w:szCs w:val="21"/>
              </w:rPr>
              <w:t>，具体见下表。</w:t>
            </w:r>
          </w:p>
          <w:p>
            <w:pPr>
              <w:pStyle w:val="NormalIndent"/>
              <w:spacing w:line="240" w:lineRule="auto"/>
              <w:ind w:firstLine="0" w:firstLineChars="0"/>
              <w:jc w:val="center"/>
              <w:rPr>
                <w:b/>
                <w:bCs/>
                <w:color w:val="000000"/>
                <w:szCs w:val="21"/>
              </w:rPr>
            </w:pPr>
            <w:r>
              <w:rPr>
                <w:b/>
                <w:bCs/>
                <w:color w:val="000000"/>
                <w:szCs w:val="21"/>
              </w:rPr>
              <w:t>表1-</w:t>
            </w:r>
            <w:r>
              <w:rPr>
                <w:rFonts w:hint="eastAsia"/>
                <w:b/>
                <w:bCs/>
                <w:color w:val="000000"/>
                <w:szCs w:val="21"/>
              </w:rPr>
              <w:t>2</w:t>
            </w:r>
            <w:r>
              <w:rPr>
                <w:b/>
                <w:bCs/>
                <w:color w:val="000000"/>
                <w:szCs w:val="21"/>
              </w:rPr>
              <w:t xml:space="preserve"> 平原县生态红线区信息表</w:t>
            </w:r>
          </w:p>
          <w:tbl>
            <w:tblPr>
              <w:tblStyle w:val="TableNormal"/>
              <w:tblW w:w="80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99"/>
              <w:gridCol w:w="4345"/>
              <w:gridCol w:w="2135"/>
              <w:gridCol w:w="741"/>
            </w:tblGrid>
            <w:tr>
              <w:tblPrEx>
                <w:tblW w:w="80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581"/>
              </w:trPr>
              <w:tc>
                <w:tcPr>
                  <w:tcW w:w="799" w:type="dxa"/>
                  <w:vAlign w:val="center"/>
                </w:tcPr>
                <w:p>
                  <w:pPr>
                    <w:pStyle w:val="TOC1"/>
                    <w:adjustRightInd w:val="0"/>
                    <w:snapToGrid w:val="0"/>
                    <w:spacing w:line="240" w:lineRule="auto"/>
                    <w:ind w:firstLine="0" w:firstLineChars="0"/>
                    <w:rPr>
                      <w:rFonts w:ascii="Times New Roman" w:hAnsi="Times New Roman"/>
                      <w:b/>
                      <w:bCs/>
                      <w:color w:val="000000"/>
                      <w:sz w:val="21"/>
                      <w:szCs w:val="21"/>
                    </w:rPr>
                  </w:pPr>
                  <w:r>
                    <w:rPr>
                      <w:rFonts w:ascii="Times New Roman" w:hAnsi="Times New Roman"/>
                      <w:b/>
                      <w:bCs/>
                      <w:color w:val="000000"/>
                      <w:sz w:val="21"/>
                      <w:szCs w:val="21"/>
                    </w:rPr>
                    <w:t>序号</w:t>
                  </w:r>
                </w:p>
              </w:tc>
              <w:tc>
                <w:tcPr>
                  <w:tcW w:w="4345" w:type="dxa"/>
                  <w:vAlign w:val="center"/>
                </w:tcPr>
                <w:p>
                  <w:pPr>
                    <w:pStyle w:val="TOC1"/>
                    <w:adjustRightInd w:val="0"/>
                    <w:snapToGrid w:val="0"/>
                    <w:spacing w:line="240" w:lineRule="auto"/>
                    <w:ind w:firstLine="422"/>
                    <w:rPr>
                      <w:rFonts w:ascii="Times New Roman" w:hAnsi="Times New Roman"/>
                      <w:b/>
                      <w:bCs/>
                      <w:color w:val="000000"/>
                      <w:sz w:val="21"/>
                      <w:szCs w:val="21"/>
                    </w:rPr>
                  </w:pPr>
                  <w:r>
                    <w:rPr>
                      <w:rFonts w:ascii="Times New Roman" w:hAnsi="Times New Roman"/>
                      <w:b/>
                      <w:bCs/>
                      <w:color w:val="000000"/>
                      <w:sz w:val="21"/>
                      <w:szCs w:val="21"/>
                    </w:rPr>
                    <w:t>平原县生态保护红线区</w:t>
                  </w:r>
                </w:p>
              </w:tc>
              <w:tc>
                <w:tcPr>
                  <w:tcW w:w="2135" w:type="dxa"/>
                  <w:vAlign w:val="center"/>
                </w:tcPr>
                <w:p>
                  <w:pPr>
                    <w:pStyle w:val="TOC1"/>
                    <w:adjustRightInd w:val="0"/>
                    <w:snapToGrid w:val="0"/>
                    <w:spacing w:line="240" w:lineRule="auto"/>
                    <w:ind w:firstLine="0" w:firstLineChars="0"/>
                    <w:rPr>
                      <w:rFonts w:ascii="Times New Roman" w:hAnsi="Times New Roman"/>
                      <w:b/>
                      <w:bCs/>
                      <w:color w:val="000000"/>
                      <w:sz w:val="21"/>
                      <w:szCs w:val="21"/>
                    </w:rPr>
                  </w:pPr>
                  <w:r>
                    <w:rPr>
                      <w:rFonts w:ascii="Times New Roman" w:hAnsi="Times New Roman"/>
                      <w:b/>
                      <w:bCs/>
                      <w:color w:val="000000"/>
                      <w:sz w:val="21"/>
                      <w:szCs w:val="21"/>
                    </w:rPr>
                    <w:t>编号</w:t>
                  </w:r>
                </w:p>
              </w:tc>
              <w:tc>
                <w:tcPr>
                  <w:tcW w:w="741" w:type="dxa"/>
                  <w:vAlign w:val="center"/>
                </w:tcPr>
                <w:p>
                  <w:pPr>
                    <w:pStyle w:val="TOC1"/>
                    <w:adjustRightInd w:val="0"/>
                    <w:snapToGrid w:val="0"/>
                    <w:spacing w:line="240" w:lineRule="auto"/>
                    <w:ind w:firstLine="0" w:firstLineChars="0"/>
                    <w:rPr>
                      <w:rFonts w:ascii="Times New Roman" w:hAnsi="Times New Roman"/>
                      <w:b/>
                      <w:bCs/>
                      <w:color w:val="000000"/>
                      <w:sz w:val="21"/>
                      <w:szCs w:val="21"/>
                    </w:rPr>
                  </w:pPr>
                  <w:r>
                    <w:rPr>
                      <w:rFonts w:ascii="Times New Roman" w:hAnsi="Times New Roman"/>
                      <w:b/>
                      <w:bCs/>
                      <w:color w:val="000000"/>
                      <w:sz w:val="21"/>
                      <w:szCs w:val="21"/>
                    </w:rPr>
                    <w:t>面积</w:t>
                  </w:r>
                </w:p>
              </w:tc>
            </w:tr>
            <w:tr>
              <w:tblPrEx>
                <w:tblW w:w="8020" w:type="dxa"/>
                <w:tblInd w:w="0" w:type="dxa"/>
                <w:tblLayout w:type="fixed"/>
                <w:tblCellMar>
                  <w:top w:w="0" w:type="dxa"/>
                  <w:left w:w="108" w:type="dxa"/>
                  <w:bottom w:w="0" w:type="dxa"/>
                  <w:right w:w="108" w:type="dxa"/>
                </w:tblCellMar>
              </w:tblPrEx>
              <w:trPr>
                <w:trHeight w:hRule="exact" w:val="897"/>
              </w:trPr>
              <w:tc>
                <w:tcPr>
                  <w:tcW w:w="799"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1</w:t>
                  </w:r>
                </w:p>
              </w:tc>
              <w:tc>
                <w:tcPr>
                  <w:tcW w:w="434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德州市平原马减竖河地方级湿地公园水源涵养生态红线</w:t>
                  </w:r>
                </w:p>
              </w:tc>
              <w:tc>
                <w:tcPr>
                  <w:tcW w:w="213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YS3714261110022</w:t>
                  </w:r>
                </w:p>
              </w:tc>
              <w:tc>
                <w:tcPr>
                  <w:tcW w:w="741"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3.39</w:t>
                  </w:r>
                </w:p>
              </w:tc>
            </w:tr>
            <w:tr>
              <w:tblPrEx>
                <w:tblW w:w="8020" w:type="dxa"/>
                <w:tblInd w:w="0" w:type="dxa"/>
                <w:tblLayout w:type="fixed"/>
                <w:tblCellMar>
                  <w:top w:w="0" w:type="dxa"/>
                  <w:left w:w="108" w:type="dxa"/>
                  <w:bottom w:w="0" w:type="dxa"/>
                  <w:right w:w="108" w:type="dxa"/>
                </w:tblCellMar>
              </w:tblPrEx>
              <w:trPr>
                <w:trHeight w:hRule="exact" w:val="602"/>
              </w:trPr>
              <w:tc>
                <w:tcPr>
                  <w:tcW w:w="799"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2</w:t>
                  </w:r>
                </w:p>
              </w:tc>
              <w:tc>
                <w:tcPr>
                  <w:tcW w:w="434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德州市平原马颊河地方级湿地自然公园</w:t>
                  </w:r>
                </w:p>
              </w:tc>
              <w:tc>
                <w:tcPr>
                  <w:tcW w:w="213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YS3714261110023</w:t>
                  </w:r>
                </w:p>
              </w:tc>
              <w:tc>
                <w:tcPr>
                  <w:tcW w:w="741"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9.61</w:t>
                  </w:r>
                </w:p>
              </w:tc>
            </w:tr>
            <w:tr>
              <w:tblPrEx>
                <w:tblW w:w="8020" w:type="dxa"/>
                <w:tblInd w:w="0" w:type="dxa"/>
                <w:tblLayout w:type="fixed"/>
                <w:tblCellMar>
                  <w:top w:w="0" w:type="dxa"/>
                  <w:left w:w="108" w:type="dxa"/>
                  <w:bottom w:w="0" w:type="dxa"/>
                  <w:right w:w="108" w:type="dxa"/>
                </w:tblCellMar>
              </w:tblPrEx>
              <w:trPr>
                <w:trHeight w:hRule="exact" w:val="554"/>
              </w:trPr>
              <w:tc>
                <w:tcPr>
                  <w:tcW w:w="799"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3</w:t>
                  </w:r>
                </w:p>
              </w:tc>
              <w:tc>
                <w:tcPr>
                  <w:tcW w:w="4345" w:type="dxa"/>
                  <w:vAlign w:val="center"/>
                </w:tcPr>
                <w:p>
                  <w:pPr>
                    <w:pStyle w:val="TOC1"/>
                    <w:adjustRightInd w:val="0"/>
                    <w:snapToGrid w:val="0"/>
                    <w:spacing w:line="240" w:lineRule="auto"/>
                    <w:ind w:firstLine="420"/>
                    <w:rPr>
                      <w:rFonts w:ascii="Times New Roman" w:hAnsi="Times New Roman"/>
                      <w:color w:val="000000"/>
                      <w:sz w:val="21"/>
                      <w:szCs w:val="21"/>
                    </w:rPr>
                  </w:pPr>
                  <w:r>
                    <w:rPr>
                      <w:rFonts w:ascii="Times New Roman" w:hAnsi="Times New Roman"/>
                      <w:color w:val="000000"/>
                      <w:sz w:val="21"/>
                      <w:szCs w:val="21"/>
                    </w:rPr>
                    <w:t>龙门水库生态保护红线</w:t>
                  </w:r>
                </w:p>
              </w:tc>
              <w:tc>
                <w:tcPr>
                  <w:tcW w:w="213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YS3714261110024</w:t>
                  </w:r>
                </w:p>
              </w:tc>
              <w:tc>
                <w:tcPr>
                  <w:tcW w:w="741"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1.27</w:t>
                  </w:r>
                </w:p>
              </w:tc>
            </w:tr>
            <w:tr>
              <w:tblPrEx>
                <w:tblW w:w="8020" w:type="dxa"/>
                <w:tblInd w:w="0" w:type="dxa"/>
                <w:tblLayout w:type="fixed"/>
                <w:tblCellMar>
                  <w:top w:w="0" w:type="dxa"/>
                  <w:left w:w="108" w:type="dxa"/>
                  <w:bottom w:w="0" w:type="dxa"/>
                  <w:right w:w="108" w:type="dxa"/>
                </w:tblCellMar>
              </w:tblPrEx>
              <w:trPr>
                <w:trHeight w:hRule="exact" w:val="582"/>
              </w:trPr>
              <w:tc>
                <w:tcPr>
                  <w:tcW w:w="799"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4</w:t>
                  </w:r>
                </w:p>
              </w:tc>
              <w:tc>
                <w:tcPr>
                  <w:tcW w:w="434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德州鲁西北平原防风固沙生态保护红线</w:t>
                  </w:r>
                </w:p>
              </w:tc>
              <w:tc>
                <w:tcPr>
                  <w:tcW w:w="213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YS3714261110025</w:t>
                  </w:r>
                </w:p>
              </w:tc>
              <w:tc>
                <w:tcPr>
                  <w:tcW w:w="741"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0.01</w:t>
                  </w:r>
                </w:p>
              </w:tc>
            </w:tr>
            <w:tr>
              <w:tblPrEx>
                <w:tblW w:w="8020" w:type="dxa"/>
                <w:tblInd w:w="0" w:type="dxa"/>
                <w:tblLayout w:type="fixed"/>
                <w:tblCellMar>
                  <w:top w:w="0" w:type="dxa"/>
                  <w:left w:w="108" w:type="dxa"/>
                  <w:bottom w:w="0" w:type="dxa"/>
                  <w:right w:w="108" w:type="dxa"/>
                </w:tblCellMar>
              </w:tblPrEx>
              <w:trPr>
                <w:trHeight w:val="797"/>
              </w:trPr>
              <w:tc>
                <w:tcPr>
                  <w:tcW w:w="799"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5</w:t>
                  </w:r>
                </w:p>
              </w:tc>
              <w:tc>
                <w:tcPr>
                  <w:tcW w:w="434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德州市平原鲁北森林公园生物多样性维护生态红线区</w:t>
                  </w:r>
                </w:p>
              </w:tc>
              <w:tc>
                <w:tcPr>
                  <w:tcW w:w="213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YS3714261110021</w:t>
                  </w:r>
                </w:p>
              </w:tc>
              <w:tc>
                <w:tcPr>
                  <w:tcW w:w="741"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3.77</w:t>
                  </w:r>
                </w:p>
              </w:tc>
            </w:tr>
            <w:tr>
              <w:tblPrEx>
                <w:tblW w:w="8020" w:type="dxa"/>
                <w:tblInd w:w="0" w:type="dxa"/>
                <w:tblLayout w:type="fixed"/>
                <w:tblCellMar>
                  <w:top w:w="0" w:type="dxa"/>
                  <w:left w:w="108" w:type="dxa"/>
                  <w:bottom w:w="0" w:type="dxa"/>
                  <w:right w:w="108" w:type="dxa"/>
                </w:tblCellMar>
              </w:tblPrEx>
              <w:trPr>
                <w:trHeight w:hRule="exact" w:val="564"/>
              </w:trPr>
              <w:tc>
                <w:tcPr>
                  <w:tcW w:w="799"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6</w:t>
                  </w:r>
                </w:p>
              </w:tc>
              <w:tc>
                <w:tcPr>
                  <w:tcW w:w="434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马颊河生态保护红线</w:t>
                  </w:r>
                </w:p>
              </w:tc>
              <w:tc>
                <w:tcPr>
                  <w:tcW w:w="2135"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YS3714261110026</w:t>
                  </w:r>
                </w:p>
              </w:tc>
              <w:tc>
                <w:tcPr>
                  <w:tcW w:w="741" w:type="dxa"/>
                  <w:vAlign w:val="center"/>
                </w:tcPr>
                <w:p>
                  <w:pPr>
                    <w:pStyle w:val="TOC1"/>
                    <w:adjustRightInd w:val="0"/>
                    <w:snapToGrid w:val="0"/>
                    <w:spacing w:line="240" w:lineRule="auto"/>
                    <w:ind w:firstLine="0" w:firstLineChars="0"/>
                    <w:rPr>
                      <w:rFonts w:ascii="Times New Roman" w:hAnsi="Times New Roman"/>
                      <w:color w:val="000000"/>
                      <w:sz w:val="21"/>
                      <w:szCs w:val="21"/>
                    </w:rPr>
                  </w:pPr>
                  <w:r>
                    <w:rPr>
                      <w:rFonts w:ascii="Times New Roman" w:hAnsi="Times New Roman"/>
                      <w:color w:val="000000"/>
                      <w:sz w:val="21"/>
                      <w:szCs w:val="21"/>
                    </w:rPr>
                    <w:t>1.48</w:t>
                  </w:r>
                </w:p>
              </w:tc>
            </w:tr>
          </w:tbl>
          <w:p>
            <w:pPr>
              <w:pStyle w:val="BodyTextFirstIndent"/>
              <w:keepNext w:val="0"/>
              <w:keepLines w:val="0"/>
              <w:pageBreakBefore w:val="0"/>
              <w:widowControl/>
              <w:kinsoku/>
              <w:wordWrap/>
              <w:overflowPunct/>
              <w:topLinePunct w:val="0"/>
              <w:autoSpaceDE/>
              <w:autoSpaceDN/>
              <w:bidi w:val="0"/>
              <w:adjustRightInd w:val="0"/>
              <w:snapToGrid w:val="0"/>
              <w:spacing w:before="0" w:after="0" w:line="240" w:lineRule="exact"/>
              <w:ind w:right="0" w:firstLine="420" w:firstLineChars="200"/>
              <w:textAlignment w:val="auto"/>
              <w:rPr>
                <w:color w:val="000000"/>
                <w:szCs w:val="21"/>
              </w:rPr>
            </w:pPr>
          </w:p>
          <w:p>
            <w:pPr>
              <w:pStyle w:val="Default"/>
              <w:widowControl w:val="0"/>
              <w:wordWrap/>
              <w:autoSpaceDE w:val="0"/>
              <w:autoSpaceDN w:val="0"/>
              <w:adjustRightInd w:val="0"/>
              <w:snapToGrid w:val="0"/>
              <w:spacing w:line="440" w:lineRule="exact"/>
              <w:ind w:firstLine="420" w:firstLineChars="200"/>
              <w:textAlignment w:val="auto"/>
              <w:rPr>
                <w:rFonts w:ascii="Times New Roman" w:hAnsi="Times New Roman" w:cs="Times New Roman"/>
                <w:sz w:val="21"/>
                <w:szCs w:val="21"/>
              </w:rPr>
            </w:pPr>
            <w:r>
              <w:rPr>
                <w:rFonts w:ascii="Times New Roman" w:hAnsi="Times New Roman" w:cs="Times New Roman"/>
                <w:color w:val="000000"/>
                <w:sz w:val="21"/>
                <w:szCs w:val="21"/>
              </w:rPr>
              <w:t>项目位于</w:t>
            </w:r>
            <w:r>
              <w:rPr>
                <w:rFonts w:ascii="Times New Roman" w:hAnsi="Times New Roman" w:cs="Times New Roman" w:hint="eastAsia"/>
                <w:color w:val="000000"/>
                <w:sz w:val="21"/>
                <w:szCs w:val="21"/>
                <w:lang w:eastAsia="zh-CN"/>
              </w:rPr>
              <w:t>山东省德州市平原经济开发区桃园北大道和北环路交叉口东南侧50米</w:t>
            </w:r>
            <w:r>
              <w:rPr>
                <w:rFonts w:ascii="Times New Roman" w:hAnsi="Times New Roman" w:cs="Times New Roman"/>
                <w:color w:val="000000"/>
                <w:sz w:val="21"/>
                <w:szCs w:val="21"/>
              </w:rPr>
              <w:t>，项目未包含在上述生态保护红线范围内，符合《德州市“三线一单”生态环境分区管控方案》（德政字[2021]19号）与《关于印发德州市“三线一单”生态环境分区管控方案2022年度更新内容》（德环委办字[2023]8号）的要求。</w:t>
            </w:r>
          </w:p>
          <w:p>
            <w:pPr>
              <w:pStyle w:val="Default"/>
              <w:widowControl w:val="0"/>
              <w:wordWrap/>
              <w:autoSpaceDE w:val="0"/>
              <w:autoSpaceDN w:val="0"/>
              <w:adjustRightInd w:val="0"/>
              <w:snapToGrid w:val="0"/>
              <w:spacing w:after="0" w:line="440" w:lineRule="exact"/>
              <w:ind w:firstLine="420" w:firstLineChars="200"/>
              <w:textAlignment w:val="auto"/>
              <w:rPr>
                <w:rFonts w:ascii="Times New Roman" w:hAnsi="Times New Roman" w:cs="Times New Roman"/>
                <w:sz w:val="21"/>
                <w:szCs w:val="21"/>
              </w:rPr>
            </w:pPr>
          </w:p>
        </w:tc>
      </w:tr>
    </w:tbl>
    <w:p>
      <w:pPr>
        <w:sectPr>
          <w:footerReference w:type="default" r:id="rId8"/>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3"/>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p>
            <w:pPr>
              <w:pStyle w:val="Default"/>
              <w:widowControl w:val="0"/>
              <w:wordWrap/>
              <w:autoSpaceDE w:val="0"/>
              <w:autoSpaceDN w:val="0"/>
              <w:adjustRightInd w:val="0"/>
              <w:snapToGrid w:val="0"/>
              <w:spacing w:before="0" w:line="440" w:lineRule="exact"/>
              <w:ind w:firstLine="420" w:firstLineChars="200"/>
              <w:textAlignment w:val="auto"/>
              <w:rPr>
                <w:rFonts w:ascii="Times New Roman" w:hAnsi="Times New Roman" w:cs="Times New Roman"/>
                <w:sz w:val="21"/>
                <w:szCs w:val="21"/>
              </w:rPr>
            </w:pPr>
            <w:r>
              <w:rPr>
                <w:rFonts w:ascii="Times New Roman" w:hAnsi="Times New Roman" w:cs="Times New Roman"/>
                <w:color w:val="000000"/>
                <w:sz w:val="21"/>
                <w:szCs w:val="21"/>
              </w:rPr>
              <w:t>在生态保护红线的基础上，按照“应划则划”的原则划定生态空间，德州市一般生态空间总面积574.60km</w:t>
            </w:r>
            <w:r>
              <w:rPr>
                <w:rFonts w:ascii="Times New Roman" w:hAnsi="Times New Roman" w:cs="Times New Roman"/>
                <w:color w:val="000000"/>
                <w:sz w:val="21"/>
                <w:szCs w:val="21"/>
                <w:vertAlign w:val="superscript"/>
              </w:rPr>
              <w:t>2</w:t>
            </w:r>
            <w:r>
              <w:rPr>
                <w:rFonts w:ascii="Times New Roman" w:hAnsi="Times New Roman" w:cs="Times New Roman"/>
                <w:color w:val="000000"/>
                <w:sz w:val="21"/>
                <w:szCs w:val="21"/>
              </w:rPr>
              <w:t>，占全市国土面积的5.55%，包括未纳入生态保护红线的森林公园、湿地公园、饮用水水源地保护区以及拟划定的饮用水水源地保护区、公园绿地、公益林，除此之外还包括评价确定的生态系统服务功能极重要区、重要区及生态环境极敏感区、敏感区。项目位于</w:t>
            </w:r>
            <w:r>
              <w:rPr>
                <w:rFonts w:ascii="Times New Roman" w:hAnsi="Times New Roman" w:cs="Times New Roman" w:hint="eastAsia"/>
                <w:color w:val="000000"/>
                <w:sz w:val="21"/>
                <w:szCs w:val="21"/>
                <w:lang w:eastAsia="zh-CN"/>
              </w:rPr>
              <w:t>山东省德州市平原经济开发区桃园北大道和北环路交叉口东南侧50米</w:t>
            </w:r>
            <w:r>
              <w:rPr>
                <w:rFonts w:ascii="Times New Roman" w:hAnsi="Times New Roman" w:cs="Times New Roman"/>
                <w:color w:val="000000"/>
                <w:sz w:val="21"/>
                <w:szCs w:val="21"/>
              </w:rPr>
              <w:t>，未包含在一般生态空间范围内。</w:t>
            </w:r>
          </w:p>
          <w:p>
            <w:pPr>
              <w:widowControl/>
              <w:wordWrap/>
              <w:spacing w:line="430" w:lineRule="exact"/>
              <w:ind w:firstLine="420" w:firstLineChars="200"/>
              <w:textAlignment w:val="auto"/>
              <w:rPr>
                <w:b/>
                <w:bCs/>
                <w:color w:val="000000"/>
                <w:kern w:val="0"/>
                <w:szCs w:val="21"/>
              </w:rPr>
            </w:pPr>
            <w:r>
              <w:rPr>
                <w:b/>
                <w:bCs/>
                <w:color w:val="000000"/>
                <w:kern w:val="0"/>
                <w:szCs w:val="21"/>
              </w:rPr>
              <w:t>2.与“环境质量底线及分区管控”符合性</w:t>
            </w:r>
            <w:r>
              <w:rPr>
                <w:rFonts w:hint="eastAsia"/>
                <w:b/>
                <w:bCs/>
                <w:color w:val="000000"/>
                <w:kern w:val="0"/>
                <w:szCs w:val="21"/>
              </w:rPr>
              <w:t>分析</w:t>
            </w:r>
          </w:p>
          <w:p>
            <w:pPr>
              <w:widowControl/>
              <w:wordWrap/>
              <w:spacing w:line="430" w:lineRule="exact"/>
              <w:ind w:firstLine="420" w:firstLineChars="200"/>
              <w:textAlignment w:val="auto"/>
              <w:rPr>
                <w:color w:val="000000"/>
                <w:kern w:val="0"/>
                <w:szCs w:val="21"/>
              </w:rPr>
            </w:pPr>
            <w:r>
              <w:rPr>
                <w:color w:val="000000"/>
                <w:kern w:val="0"/>
                <w:szCs w:val="21"/>
              </w:rPr>
              <w:t>（1）大气环境质量底线</w:t>
            </w:r>
          </w:p>
          <w:p>
            <w:pPr>
              <w:widowControl/>
              <w:wordWrap/>
              <w:spacing w:line="430" w:lineRule="exact"/>
              <w:ind w:firstLine="420" w:firstLineChars="200"/>
              <w:textAlignment w:val="auto"/>
              <w:rPr>
                <w:color w:val="000000"/>
                <w:kern w:val="0"/>
                <w:szCs w:val="21"/>
              </w:rPr>
            </w:pPr>
            <w:r>
              <w:rPr>
                <w:color w:val="000000"/>
                <w:kern w:val="0"/>
                <w:szCs w:val="21"/>
              </w:rPr>
              <w:t>项目位于</w:t>
            </w:r>
            <w:r>
              <w:rPr>
                <w:rFonts w:hint="eastAsia"/>
                <w:color w:val="000000"/>
                <w:szCs w:val="21"/>
                <w:lang w:eastAsia="zh-CN"/>
              </w:rPr>
              <w:t>山东省德州市平原经济开发区桃园北大道和北环路交叉口东南侧50米</w:t>
            </w:r>
            <w:r>
              <w:rPr>
                <w:color w:val="000000"/>
                <w:kern w:val="0"/>
                <w:szCs w:val="21"/>
              </w:rPr>
              <w:t>，大气环境质量管控分区编码为YS3714262310001，属于大气环境高排放重点管控区，根据管控要求，执行《区域性大气污染物综合排放标准》（DB37/2376-2019）规定的重点控制区标准。该区域为大气环境存量污染源重点治理和新增污染源严格管控区域，根据区域产业性质和污染排放特征实施重点减排。控制工业园及产业聚集区发展规模，严格控制“两高”项目建设（按照山东省“两高”项目管理名录确定），建设项目新增主要污染物总量指标原则上实施“二倍量替代”（按鲁环发[2019]132号要求执行），持续降低园区内污染物排放总量。新上天然气锅炉配套低氮燃烧设施。严格落实大气污染物达标排放、总量控制、环保设施“三同时”、在线监测和排污许可等环保制度。</w:t>
            </w:r>
          </w:p>
          <w:p>
            <w:pPr>
              <w:widowControl/>
              <w:wordWrap/>
              <w:spacing w:line="430" w:lineRule="exact"/>
              <w:ind w:firstLine="420" w:firstLineChars="200"/>
              <w:textAlignment w:val="auto"/>
              <w:rPr>
                <w:color w:val="000000"/>
                <w:kern w:val="0"/>
                <w:szCs w:val="21"/>
              </w:rPr>
            </w:pPr>
            <w:r>
              <w:rPr>
                <w:color w:val="000000" w:themeColor="text1"/>
                <w:kern w:val="0"/>
                <w:szCs w:val="21"/>
              </w:rPr>
              <w:t>项目为</w:t>
            </w:r>
            <w:r>
              <w:rPr>
                <w:rFonts w:hint="eastAsia"/>
                <w:color w:val="000000" w:themeColor="text1"/>
                <w:szCs w:val="21"/>
              </w:rPr>
              <w:t>医用级PET/PETG制造</w:t>
            </w:r>
            <w:r>
              <w:rPr>
                <w:color w:val="000000"/>
                <w:kern w:val="0"/>
                <w:szCs w:val="21"/>
              </w:rPr>
              <w:t>，不属于“两高一资”项目，项目能够满足大气环境高排放重点管控区管控要求，符合大气环境质量底线。</w:t>
            </w:r>
          </w:p>
          <w:p>
            <w:pPr>
              <w:widowControl/>
              <w:wordWrap/>
              <w:spacing w:line="430" w:lineRule="exact"/>
              <w:ind w:firstLine="420" w:firstLineChars="200"/>
              <w:textAlignment w:val="auto"/>
              <w:rPr>
                <w:color w:val="000000"/>
                <w:kern w:val="0"/>
                <w:szCs w:val="21"/>
              </w:rPr>
            </w:pPr>
            <w:r>
              <w:rPr>
                <w:color w:val="000000"/>
                <w:kern w:val="0"/>
                <w:szCs w:val="21"/>
              </w:rPr>
              <w:t>（2）水环境质量底线</w:t>
            </w:r>
          </w:p>
          <w:p>
            <w:pPr>
              <w:widowControl/>
              <w:wordWrap/>
              <w:spacing w:line="430" w:lineRule="exact"/>
              <w:ind w:firstLine="420" w:firstLineChars="200"/>
              <w:textAlignment w:val="auto"/>
              <w:rPr>
                <w:color w:val="000000"/>
                <w:kern w:val="0"/>
                <w:szCs w:val="21"/>
              </w:rPr>
            </w:pPr>
            <w:r>
              <w:rPr>
                <w:color w:val="000000"/>
                <w:kern w:val="0"/>
                <w:szCs w:val="21"/>
              </w:rPr>
              <w:t>项目所在区域为</w:t>
            </w:r>
            <w:r>
              <w:rPr>
                <w:rFonts w:hint="eastAsia"/>
                <w:color w:val="000000"/>
                <w:kern w:val="0"/>
                <w:szCs w:val="21"/>
              </w:rPr>
              <w:t>龙门街道</w:t>
            </w:r>
            <w:r>
              <w:rPr>
                <w:color w:val="000000"/>
                <w:kern w:val="0"/>
                <w:szCs w:val="21"/>
              </w:rPr>
              <w:t>控制单元，管控分区编码为YS37142622200</w:t>
            </w:r>
            <w:r>
              <w:rPr>
                <w:rFonts w:hint="eastAsia"/>
                <w:color w:val="000000"/>
                <w:kern w:val="0"/>
                <w:szCs w:val="21"/>
              </w:rPr>
              <w:t>28</w:t>
            </w:r>
            <w:r>
              <w:rPr>
                <w:color w:val="000000"/>
                <w:kern w:val="0"/>
                <w:szCs w:val="21"/>
              </w:rPr>
              <w:t>，为重点管控区（</w:t>
            </w:r>
            <w:r>
              <w:rPr>
                <w:rFonts w:hint="eastAsia"/>
                <w:color w:val="000000"/>
                <w:kern w:val="0"/>
                <w:szCs w:val="21"/>
              </w:rPr>
              <w:t>水环境工业污染重点管控区</w:t>
            </w:r>
            <w:r>
              <w:rPr>
                <w:color w:val="000000"/>
                <w:kern w:val="0"/>
                <w:szCs w:val="21"/>
              </w:rPr>
              <w:t>），根据管控要求，涉及高耗水、高污染物排放、产生有毒有害污染物的建设项目从严审批，禁止新建、改扩建不符合国家产业政策严重污染水环境的落后产能，禁止建设加剧环境质量超标的建设项目。对造纸、焦化、氮肥、印染、农副产品加工、原料药制造、制革、农药、电镀等重点行业（国家鼓励发展的除外）实行主要污染物排放等量或减量置换。加快城镇污水处理设施建设，城区和建制镇应实现生活污水集中处理，同时，加强配套管网建设和改造，新区建设全部按照雨污分流实施，推进老城区旧有市政雨污管网的雨污分流城镇排水系统改造建设。整治建成区黑臭水体，采取控源截污、内源治理、封盖导流、清淤疏浚、生态修复等技术，制定实施方案和整治计划。</w:t>
            </w:r>
          </w:p>
          <w:p>
            <w:pPr>
              <w:widowControl/>
              <w:wordWrap/>
              <w:spacing w:line="430" w:lineRule="exact"/>
              <w:ind w:firstLine="420" w:firstLineChars="200"/>
              <w:textAlignment w:val="auto"/>
              <w:rPr>
                <w:color w:val="000000"/>
                <w:kern w:val="0"/>
                <w:szCs w:val="21"/>
              </w:rPr>
            </w:pPr>
            <w:r>
              <w:rPr>
                <w:color w:val="000000"/>
                <w:kern w:val="0"/>
                <w:szCs w:val="21"/>
              </w:rPr>
              <w:t>项目不属于上述严重污染水环境的生产项目，符合水环境质量底线。</w:t>
            </w:r>
          </w:p>
          <w:p>
            <w:pPr>
              <w:widowControl/>
              <w:wordWrap/>
              <w:spacing w:line="430" w:lineRule="exact"/>
              <w:ind w:firstLine="420" w:firstLineChars="200"/>
              <w:textAlignment w:val="auto"/>
              <w:rPr>
                <w:color w:val="000000"/>
                <w:kern w:val="0"/>
                <w:szCs w:val="21"/>
              </w:rPr>
            </w:pPr>
            <w:r>
              <w:rPr>
                <w:color w:val="000000"/>
                <w:kern w:val="0"/>
                <w:szCs w:val="21"/>
              </w:rPr>
              <w:t>（3）土壤环境风险防控底线</w:t>
            </w:r>
          </w:p>
          <w:p>
            <w:pPr>
              <w:widowControl/>
              <w:wordWrap/>
              <w:spacing w:after="0" w:line="430" w:lineRule="exact"/>
              <w:ind w:firstLine="420" w:firstLineChars="200"/>
              <w:textAlignment w:val="auto"/>
              <w:rPr>
                <w:color w:val="000000"/>
                <w:kern w:val="0"/>
                <w:szCs w:val="21"/>
              </w:rPr>
            </w:pPr>
          </w:p>
        </w:tc>
      </w:tr>
    </w:tbl>
    <w:p>
      <w:pPr>
        <w:sectPr>
          <w:footerReference w:type="default" r:id="rId9"/>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4"/>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p>
            <w:pPr>
              <w:widowControl/>
              <w:wordWrap/>
              <w:spacing w:before="0" w:line="430" w:lineRule="exact"/>
              <w:ind w:firstLine="420" w:firstLineChars="200"/>
              <w:textAlignment w:val="auto"/>
              <w:rPr>
                <w:color w:val="000000"/>
                <w:kern w:val="0"/>
                <w:szCs w:val="21"/>
              </w:rPr>
            </w:pPr>
            <w:r>
              <w:rPr>
                <w:color w:val="000000"/>
                <w:kern w:val="0"/>
                <w:szCs w:val="21"/>
              </w:rPr>
              <w:t>项目用地为工业用地，不在土壤污染重点监管单位名录内，项目采取严格的防渗措施，对土壤环境的影响较小，满足土壤环境风险防控底线的要求。</w:t>
            </w:r>
          </w:p>
          <w:p>
            <w:pPr>
              <w:widowControl/>
              <w:wordWrap/>
              <w:spacing w:line="430" w:lineRule="exact"/>
              <w:ind w:firstLine="420" w:firstLineChars="200"/>
              <w:textAlignment w:val="auto"/>
              <w:rPr>
                <w:b/>
                <w:bCs/>
                <w:color w:val="000000"/>
                <w:szCs w:val="21"/>
              </w:rPr>
            </w:pPr>
            <w:r>
              <w:rPr>
                <w:b/>
                <w:bCs/>
                <w:color w:val="000000"/>
                <w:szCs w:val="21"/>
              </w:rPr>
              <w:t>3.与“资源利用上线及分区管控”符合性</w:t>
            </w:r>
            <w:r>
              <w:rPr>
                <w:rFonts w:hint="eastAsia"/>
                <w:b/>
                <w:bCs/>
                <w:color w:val="000000"/>
                <w:szCs w:val="21"/>
              </w:rPr>
              <w:t>分析</w:t>
            </w:r>
          </w:p>
          <w:p>
            <w:pPr>
              <w:widowControl/>
              <w:wordWrap/>
              <w:spacing w:line="430" w:lineRule="exact"/>
              <w:ind w:firstLine="420" w:firstLineChars="200"/>
              <w:textAlignment w:val="auto"/>
              <w:rPr>
                <w:color w:val="000000"/>
                <w:szCs w:val="21"/>
              </w:rPr>
            </w:pPr>
            <w:r>
              <w:rPr>
                <w:color w:val="000000"/>
                <w:szCs w:val="21"/>
              </w:rPr>
              <w:t>（1）能源资源利用上线</w:t>
            </w:r>
          </w:p>
          <w:p>
            <w:pPr>
              <w:widowControl/>
              <w:wordWrap/>
              <w:spacing w:line="430" w:lineRule="exact"/>
              <w:ind w:firstLine="420" w:firstLineChars="200"/>
              <w:textAlignment w:val="auto"/>
              <w:rPr>
                <w:color w:val="000000"/>
                <w:szCs w:val="21"/>
              </w:rPr>
            </w:pPr>
            <w:r>
              <w:rPr>
                <w:color w:val="000000"/>
                <w:szCs w:val="21"/>
              </w:rPr>
              <w:t>结合各控制单元大气环境质量现状分析提出能源利用上线管控要求。考虑大气环境质量改善要求，在人口密集、污染排放强度高的区域优先划定高污染燃料禁燃区，作为重点管控区，面积约460.63km</w:t>
            </w:r>
            <w:r>
              <w:rPr>
                <w:color w:val="000000"/>
                <w:szCs w:val="21"/>
                <w:vertAlign w:val="superscript"/>
              </w:rPr>
              <w:t>2</w:t>
            </w:r>
            <w:r>
              <w:rPr>
                <w:color w:val="000000"/>
                <w:szCs w:val="21"/>
              </w:rPr>
              <w:t>，其余作为一般管控区。</w:t>
            </w:r>
          </w:p>
          <w:p>
            <w:pPr>
              <w:widowControl/>
              <w:wordWrap/>
              <w:spacing w:line="430" w:lineRule="exact"/>
              <w:ind w:firstLine="420" w:firstLineChars="200"/>
              <w:textAlignment w:val="auto"/>
              <w:rPr>
                <w:color w:val="000000"/>
                <w:szCs w:val="21"/>
              </w:rPr>
            </w:pPr>
            <w:r>
              <w:rPr>
                <w:color w:val="000000"/>
                <w:szCs w:val="21"/>
              </w:rPr>
              <w:t>根据管控要求，“禁燃区”范围内，禁止销售、燃用高污染燃料；禁止新（扩、改）建燃用高污染燃料的项目；现有高污染燃料燃用设施，除用于城市集中供热外，有关单位和个人应当在规定的期限内改用天然气、液化石油气、电或其他清洁能源。逐步取缔热电联产供热管网覆盖范围内的供热锅炉、工业蒸汽锅炉及各种洗浴锅炉，推进热电联产和集中供热。</w:t>
            </w:r>
          </w:p>
          <w:p>
            <w:pPr>
              <w:widowControl/>
              <w:wordWrap/>
              <w:spacing w:line="430" w:lineRule="exact"/>
              <w:ind w:firstLine="420" w:firstLineChars="200"/>
              <w:textAlignment w:val="auto"/>
              <w:rPr>
                <w:color w:val="000000"/>
                <w:szCs w:val="21"/>
              </w:rPr>
            </w:pPr>
            <w:r>
              <w:rPr>
                <w:color w:val="000000"/>
                <w:szCs w:val="21"/>
              </w:rPr>
              <w:t>项目不使用高污染燃料，生产</w:t>
            </w:r>
            <w:r>
              <w:rPr>
                <w:rFonts w:hint="eastAsia"/>
                <w:color w:val="000000"/>
                <w:szCs w:val="21"/>
              </w:rPr>
              <w:t>过程</w:t>
            </w:r>
            <w:r>
              <w:rPr>
                <w:color w:val="000000"/>
                <w:szCs w:val="21"/>
              </w:rPr>
              <w:t>使用电加热，因此项目符合能源资源利用上线。</w:t>
            </w:r>
          </w:p>
          <w:p>
            <w:pPr>
              <w:widowControl/>
              <w:wordWrap/>
              <w:spacing w:line="430" w:lineRule="exact"/>
              <w:ind w:firstLine="420" w:firstLineChars="200"/>
              <w:textAlignment w:val="auto"/>
              <w:rPr>
                <w:color w:val="000000"/>
                <w:szCs w:val="21"/>
              </w:rPr>
            </w:pPr>
            <w:r>
              <w:rPr>
                <w:color w:val="000000"/>
                <w:szCs w:val="21"/>
              </w:rPr>
              <w:t>（2）水资源利用上线</w:t>
            </w:r>
          </w:p>
          <w:p>
            <w:pPr>
              <w:widowControl/>
              <w:wordWrap/>
              <w:spacing w:line="430" w:lineRule="exact"/>
              <w:ind w:firstLine="420" w:firstLineChars="200"/>
              <w:textAlignment w:val="auto"/>
              <w:rPr>
                <w:color w:val="000000"/>
                <w:szCs w:val="21"/>
              </w:rPr>
            </w:pPr>
            <w:r>
              <w:rPr>
                <w:color w:val="000000"/>
                <w:szCs w:val="21"/>
              </w:rPr>
              <w:t>坚持“四水四定”原则，统筹生产、生活、生态用水，统筹全市地表水等各类水资源，优先保证生活用水，合理安排农业用水和工业用水，实行最严格的水资源管理制度，严格落实水资源双控制度，把水资源作为最大的刚性约束，加强水资源的开发利用管理，制定水资源综合利用规划，明确控制目标。控制高耗水产业发展和高耗水工业项目建设，加强固定资产投资项目节能节水审查，严格建设项目水资源论证审查把关；积极开展再生水利用，提高再生水利用率。</w:t>
            </w:r>
          </w:p>
          <w:p>
            <w:pPr>
              <w:widowControl/>
              <w:wordWrap/>
              <w:spacing w:line="430" w:lineRule="exact"/>
              <w:ind w:firstLine="420" w:firstLineChars="200"/>
              <w:textAlignment w:val="auto"/>
              <w:rPr>
                <w:color w:val="000000"/>
                <w:szCs w:val="21"/>
              </w:rPr>
            </w:pPr>
            <w:r>
              <w:rPr>
                <w:color w:val="000000"/>
                <w:szCs w:val="21"/>
              </w:rPr>
              <w:t>德州全市属于地下水超采区，根据《山东省地下水超采区综合整治实施方案》的要求，除居民生活用水与应急供水外，严禁新增地下水取水量；确需取用地下水的，要在现有地下水开采总量控制指标内调剂解决，并逐步削减地下水开采量。取用地下水总量已达到或超过控制指标的地区，暂停审批其建设项目新增取用地下水。实行地下水用水总量和水位双控，加强超采地区地下水监测和治理，推动实现地下水水位回升。</w:t>
            </w:r>
          </w:p>
          <w:p>
            <w:pPr>
              <w:widowControl/>
              <w:wordWrap/>
              <w:spacing w:line="430" w:lineRule="exact"/>
              <w:ind w:firstLine="420" w:firstLineChars="200"/>
              <w:textAlignment w:val="auto"/>
              <w:rPr>
                <w:color w:val="000000"/>
                <w:szCs w:val="21"/>
              </w:rPr>
            </w:pPr>
            <w:r>
              <w:rPr>
                <w:color w:val="000000"/>
                <w:szCs w:val="21"/>
              </w:rPr>
              <w:t>项目不开采地下水，用水为自来水管网提供，且项目新鲜水用量较少，满足管控要求，符合水资源利用上线。</w:t>
            </w:r>
          </w:p>
          <w:p>
            <w:pPr>
              <w:widowControl/>
              <w:wordWrap/>
              <w:spacing w:line="430" w:lineRule="exact"/>
              <w:ind w:firstLine="420" w:firstLineChars="200"/>
              <w:textAlignment w:val="auto"/>
              <w:rPr>
                <w:color w:val="000000"/>
                <w:szCs w:val="21"/>
              </w:rPr>
            </w:pPr>
            <w:r>
              <w:rPr>
                <w:color w:val="000000"/>
                <w:szCs w:val="21"/>
              </w:rPr>
              <w:t>（3）土地资源利用上线</w:t>
            </w:r>
          </w:p>
          <w:p>
            <w:pPr>
              <w:widowControl/>
              <w:wordWrap/>
              <w:spacing w:line="430" w:lineRule="exact"/>
              <w:ind w:firstLine="420" w:firstLineChars="200"/>
              <w:textAlignment w:val="auto"/>
              <w:rPr>
                <w:color w:val="000000"/>
                <w:szCs w:val="21"/>
              </w:rPr>
            </w:pPr>
            <w:r>
              <w:rPr>
                <w:color w:val="000000"/>
                <w:szCs w:val="21"/>
              </w:rPr>
              <w:t>项目用地为工业用地，不占用耕地和基础设施发展用地，不会影响全市土地资源利用目标，因此项目符合土地资源利用上线。</w:t>
            </w:r>
          </w:p>
          <w:p>
            <w:pPr>
              <w:widowControl/>
              <w:wordWrap/>
              <w:spacing w:line="430" w:lineRule="exact"/>
              <w:ind w:firstLine="420" w:firstLineChars="200"/>
              <w:textAlignment w:val="auto"/>
              <w:rPr>
                <w:color w:val="000000"/>
                <w:szCs w:val="21"/>
              </w:rPr>
            </w:pPr>
            <w:r>
              <w:rPr>
                <w:color w:val="000000"/>
                <w:szCs w:val="21"/>
              </w:rPr>
              <w:t>（4）岸线资源管控</w:t>
            </w:r>
          </w:p>
          <w:p>
            <w:pPr>
              <w:widowControl/>
              <w:wordWrap/>
              <w:spacing w:line="430" w:lineRule="exact"/>
              <w:ind w:firstLine="420" w:firstLineChars="200"/>
              <w:textAlignment w:val="auto"/>
              <w:rPr>
                <w:color w:val="000000"/>
                <w:szCs w:val="21"/>
              </w:rPr>
            </w:pPr>
            <w:r>
              <w:rPr>
                <w:color w:val="000000"/>
                <w:szCs w:val="21"/>
              </w:rPr>
              <w:t>德州市纳入生态环境分类管控岸线涉及徒骇河、马颊河以及德惠新河的岸线。</w:t>
            </w:r>
          </w:p>
          <w:p>
            <w:pPr>
              <w:widowControl/>
              <w:wordWrap/>
              <w:spacing w:line="430" w:lineRule="exact"/>
              <w:ind w:firstLine="420" w:firstLineChars="200"/>
              <w:textAlignment w:val="auto"/>
              <w:rPr>
                <w:color w:val="000000"/>
                <w:szCs w:val="21"/>
              </w:rPr>
            </w:pPr>
            <w:r>
              <w:rPr>
                <w:color w:val="000000"/>
                <w:szCs w:val="21"/>
              </w:rPr>
              <w:t>项目不涉及管控岸线。符合管控要求。</w:t>
            </w:r>
          </w:p>
        </w:tc>
      </w:tr>
    </w:tbl>
    <w:p>
      <w:pPr>
        <w:sectPr>
          <w:footerReference w:type="default" r:id="rId10"/>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5"/>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b/>
                <w:bCs/>
                <w:color w:val="000000"/>
                <w:kern w:val="0"/>
                <w:szCs w:val="21"/>
              </w:rPr>
            </w:pPr>
            <w:r>
              <w:rPr>
                <w:rFonts w:hint="eastAsia"/>
                <w:b/>
                <w:bCs/>
                <w:color w:val="000000"/>
                <w:kern w:val="0"/>
                <w:szCs w:val="21"/>
              </w:rPr>
              <w:t>4、</w:t>
            </w:r>
            <w:r>
              <w:rPr>
                <w:b/>
                <w:bCs/>
                <w:color w:val="000000"/>
                <w:kern w:val="0"/>
                <w:szCs w:val="21"/>
              </w:rPr>
              <w:t>与</w:t>
            </w:r>
            <w:r>
              <w:rPr>
                <w:b/>
                <w:bCs/>
                <w:color w:val="000000"/>
                <w:szCs w:val="21"/>
              </w:rPr>
              <w:t>“</w:t>
            </w:r>
            <w:r>
              <w:rPr>
                <w:b/>
                <w:bCs/>
                <w:color w:val="000000"/>
                <w:kern w:val="0"/>
                <w:szCs w:val="21"/>
              </w:rPr>
              <w:t>生态环境准入清单</w:t>
            </w:r>
            <w:r>
              <w:rPr>
                <w:b/>
                <w:bCs/>
                <w:color w:val="000000"/>
                <w:szCs w:val="21"/>
              </w:rPr>
              <w:t>”</w:t>
            </w:r>
            <w:r>
              <w:rPr>
                <w:b/>
                <w:bCs/>
                <w:color w:val="000000"/>
                <w:kern w:val="0"/>
                <w:szCs w:val="21"/>
              </w:rPr>
              <w:t>符合性</w:t>
            </w:r>
            <w:r>
              <w:rPr>
                <w:rFonts w:hint="eastAsia"/>
                <w:b/>
                <w:bCs/>
                <w:color w:val="000000"/>
                <w:kern w:val="0"/>
                <w:szCs w:val="21"/>
              </w:rPr>
              <w:t>分析</w:t>
            </w:r>
          </w:p>
          <w:p>
            <w:pPr>
              <w:pStyle w:val="Default"/>
              <w:spacing w:line="360" w:lineRule="auto"/>
              <w:jc w:val="center"/>
              <w:rPr>
                <w:rFonts w:ascii="Times New Roman" w:hAnsi="Times New Roman" w:cs="Times New Roman"/>
                <w:b/>
                <w:bCs/>
                <w:sz w:val="21"/>
                <w:szCs w:val="21"/>
              </w:rPr>
            </w:pPr>
            <w:r>
              <w:rPr>
                <w:rFonts w:ascii="Times New Roman" w:hAnsi="Times New Roman" w:cs="Times New Roman"/>
                <w:b/>
                <w:bCs/>
                <w:color w:val="000000"/>
                <w:sz w:val="21"/>
                <w:szCs w:val="21"/>
              </w:rPr>
              <w:t>表</w:t>
            </w:r>
            <w:r>
              <w:rPr>
                <w:rFonts w:ascii="Times New Roman" w:hAnsi="Times New Roman" w:cs="Times New Roman" w:hint="eastAsia"/>
                <w:b/>
                <w:bCs/>
                <w:color w:val="000000"/>
                <w:sz w:val="21"/>
                <w:szCs w:val="21"/>
              </w:rPr>
              <w:t>1-3</w:t>
            </w:r>
            <w:r>
              <w:rPr>
                <w:rFonts w:ascii="Times New Roman" w:hAnsi="Times New Roman" w:cs="Times New Roman"/>
                <w:b/>
                <w:bCs/>
                <w:color w:val="000000"/>
                <w:sz w:val="21"/>
                <w:szCs w:val="21"/>
              </w:rPr>
              <w:t xml:space="preserve"> </w:t>
            </w:r>
            <w:r>
              <w:rPr>
                <w:rFonts w:ascii="Times New Roman" w:hAnsi="Times New Roman" w:cs="Times New Roman" w:hint="eastAsia"/>
                <w:b/>
                <w:color w:val="000000"/>
                <w:sz w:val="21"/>
                <w:szCs w:val="21"/>
              </w:rPr>
              <w:t>项目与德州市生态环境准入清单（总则）符合性分析</w:t>
            </w:r>
          </w:p>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07"/>
                <w:jc w:val="center"/>
              </w:trPr>
              <w:tc>
                <w:tcPr>
                  <w:tcW w:w="724" w:type="dxa"/>
                  <w:vAlign w:val="center"/>
                </w:tcPr>
                <w:p>
                  <w:pPr>
                    <w:adjustRightInd w:val="0"/>
                    <w:snapToGrid w:val="0"/>
                    <w:jc w:val="center"/>
                    <w:rPr>
                      <w:b/>
                      <w:color w:val="000000"/>
                      <w:szCs w:val="21"/>
                    </w:rPr>
                  </w:pPr>
                  <w:r>
                    <w:rPr>
                      <w:rFonts w:hint="eastAsia"/>
                      <w:b/>
                      <w:color w:val="000000"/>
                      <w:szCs w:val="21"/>
                    </w:rPr>
                    <w:t>管控维度</w:t>
                  </w:r>
                </w:p>
              </w:tc>
              <w:tc>
                <w:tcPr>
                  <w:tcW w:w="6170" w:type="dxa"/>
                  <w:gridSpan w:val="2"/>
                  <w:vAlign w:val="center"/>
                </w:tcPr>
                <w:p>
                  <w:pPr>
                    <w:adjustRightInd w:val="0"/>
                    <w:snapToGrid w:val="0"/>
                    <w:jc w:val="center"/>
                    <w:rPr>
                      <w:b/>
                      <w:color w:val="000000"/>
                      <w:szCs w:val="21"/>
                    </w:rPr>
                  </w:pPr>
                  <w:r>
                    <w:rPr>
                      <w:rFonts w:hint="eastAsia"/>
                      <w:b/>
                      <w:color w:val="000000"/>
                      <w:szCs w:val="21"/>
                    </w:rPr>
                    <w:t>管控</w:t>
                  </w:r>
                  <w:r>
                    <w:rPr>
                      <w:b/>
                      <w:color w:val="000000"/>
                      <w:szCs w:val="21"/>
                    </w:rPr>
                    <w:t>要求</w:t>
                  </w:r>
                </w:p>
              </w:tc>
              <w:tc>
                <w:tcPr>
                  <w:tcW w:w="1010" w:type="dxa"/>
                  <w:vAlign w:val="center"/>
                </w:tcPr>
                <w:p>
                  <w:pPr>
                    <w:adjustRightInd w:val="0"/>
                    <w:snapToGrid w:val="0"/>
                    <w:jc w:val="center"/>
                    <w:rPr>
                      <w:b/>
                      <w:color w:val="000000"/>
                      <w:szCs w:val="21"/>
                    </w:rPr>
                  </w:pPr>
                  <w:r>
                    <w:rPr>
                      <w:rFonts w:hint="eastAsia"/>
                      <w:b/>
                      <w:color w:val="000000"/>
                      <w:szCs w:val="21"/>
                    </w:rPr>
                    <w:t>符合性分析</w:t>
                  </w:r>
                </w:p>
              </w:tc>
            </w:tr>
            <w:tr>
              <w:tblPrEx>
                <w:tblW w:w="7904" w:type="dxa"/>
                <w:jc w:val="center"/>
                <w:tblLayout w:type="fixed"/>
                <w:tblCellMar>
                  <w:top w:w="0" w:type="dxa"/>
                  <w:left w:w="108" w:type="dxa"/>
                  <w:bottom w:w="0" w:type="dxa"/>
                  <w:right w:w="108" w:type="dxa"/>
                </w:tblCellMar>
              </w:tblPrEx>
              <w:trPr>
                <w:trHeight w:val="5892"/>
                <w:jc w:val="center"/>
              </w:trPr>
              <w:tc>
                <w:tcPr>
                  <w:tcW w:w="724" w:type="dxa"/>
                  <w:vMerge w:val="restart"/>
                  <w:vAlign w:val="center"/>
                </w:tcPr>
                <w:p>
                  <w:pPr>
                    <w:pStyle w:val="Default"/>
                    <w:jc w:val="center"/>
                    <w:rPr>
                      <w:rFonts w:ascii="Times New Roman" w:hAnsi="Times New Roman" w:cs="Times New Roman"/>
                      <w:bCs/>
                      <w:sz w:val="21"/>
                      <w:szCs w:val="21"/>
                    </w:rPr>
                  </w:pPr>
                  <w:r>
                    <w:rPr>
                      <w:rFonts w:ascii="Times New Roman" w:hAnsi="Times New Roman" w:cs="Times New Roman"/>
                      <w:bCs/>
                      <w:color w:val="000000"/>
                      <w:kern w:val="0"/>
                      <w:sz w:val="21"/>
                      <w:szCs w:val="21"/>
                    </w:rPr>
                    <w:t>空间布局约束</w:t>
                  </w:r>
                </w:p>
              </w:tc>
              <w:tc>
                <w:tcPr>
                  <w:tcW w:w="429" w:type="dxa"/>
                  <w:vAlign w:val="center"/>
                </w:tcPr>
                <w:p>
                  <w:pPr>
                    <w:adjustRightInd w:val="0"/>
                    <w:snapToGrid w:val="0"/>
                    <w:spacing w:line="300" w:lineRule="exact"/>
                    <w:jc w:val="center"/>
                    <w:rPr>
                      <w:bCs/>
                      <w:color w:val="000000"/>
                      <w:szCs w:val="21"/>
                    </w:rPr>
                  </w:pPr>
                  <w:r>
                    <w:rPr>
                      <w:bCs/>
                      <w:color w:val="000000"/>
                      <w:szCs w:val="21"/>
                    </w:rPr>
                    <w:t>禁止开发建设活动的要求</w:t>
                  </w:r>
                </w:p>
              </w:tc>
              <w:tc>
                <w:tcPr>
                  <w:tcW w:w="5741" w:type="dxa"/>
                  <w:vAlign w:val="center"/>
                </w:tcPr>
                <w:p>
                  <w:pPr>
                    <w:adjustRightInd w:val="0"/>
                    <w:snapToGrid w:val="0"/>
                    <w:rPr>
                      <w:bCs/>
                      <w:color w:val="000000"/>
                      <w:szCs w:val="21"/>
                    </w:rPr>
                  </w:pPr>
                  <w:r>
                    <w:rPr>
                      <w:bCs/>
                      <w:color w:val="000000"/>
                      <w:szCs w:val="21"/>
                    </w:rPr>
                    <w:t>1、禁止新建国家《产业结构调整指导目录》规定的限制类和淘汰类工艺、技术、装备及产品的生产项目。</w:t>
                  </w:r>
                </w:p>
                <w:p>
                  <w:pPr>
                    <w:adjustRightInd w:val="0"/>
                    <w:snapToGrid w:val="0"/>
                    <w:rPr>
                      <w:bCs/>
                      <w:color w:val="000000"/>
                      <w:szCs w:val="21"/>
                    </w:rPr>
                  </w:pPr>
                  <w:r>
                    <w:rPr>
                      <w:bCs/>
                      <w:color w:val="000000"/>
                      <w:szCs w:val="21"/>
                    </w:rPr>
                    <w:t>2、禁止新建光气生产项目（不含延长产业链项目）。</w:t>
                  </w:r>
                </w:p>
                <w:p>
                  <w:pPr>
                    <w:adjustRightInd w:val="0"/>
                    <w:snapToGrid w:val="0"/>
                    <w:rPr>
                      <w:bCs/>
                      <w:color w:val="000000"/>
                      <w:szCs w:val="21"/>
                    </w:rPr>
                  </w:pPr>
                  <w:r>
                    <w:rPr>
                      <w:bCs/>
                      <w:color w:val="000000"/>
                      <w:szCs w:val="21"/>
                    </w:rPr>
                    <w:t>3、禁止新建有色金属冶炼项目（不含压延加工）。</w:t>
                  </w:r>
                </w:p>
                <w:p>
                  <w:pPr>
                    <w:adjustRightInd w:val="0"/>
                    <w:snapToGrid w:val="0"/>
                    <w:rPr>
                      <w:bCs/>
                      <w:color w:val="000000"/>
                      <w:szCs w:val="21"/>
                    </w:rPr>
                  </w:pPr>
                  <w:r>
                    <w:rPr>
                      <w:bCs/>
                      <w:color w:val="000000"/>
                      <w:szCs w:val="21"/>
                    </w:rPr>
                    <w:t>4、禁止新建再生铅项目。</w:t>
                  </w:r>
                </w:p>
                <w:p>
                  <w:pPr>
                    <w:adjustRightInd w:val="0"/>
                    <w:snapToGrid w:val="0"/>
                    <w:rPr>
                      <w:bCs/>
                      <w:color w:val="000000"/>
                      <w:szCs w:val="21"/>
                    </w:rPr>
                  </w:pPr>
                  <w:r>
                    <w:rPr>
                      <w:bCs/>
                      <w:color w:val="000000"/>
                      <w:szCs w:val="21"/>
                    </w:rPr>
                    <w:t>5、禁止新建石棉制品项目。</w:t>
                  </w:r>
                </w:p>
                <w:p>
                  <w:pPr>
                    <w:adjustRightInd w:val="0"/>
                    <w:snapToGrid w:val="0"/>
                    <w:rPr>
                      <w:bCs/>
                      <w:color w:val="000000"/>
                      <w:szCs w:val="21"/>
                    </w:rPr>
                  </w:pPr>
                  <w:r>
                    <w:rPr>
                      <w:bCs/>
                      <w:color w:val="000000"/>
                      <w:szCs w:val="21"/>
                    </w:rPr>
                    <w:t>6、禁止开采深层地下水的取水项目（饮用水按照相关要求执行）。</w:t>
                  </w:r>
                </w:p>
                <w:p>
                  <w:pPr>
                    <w:adjustRightInd w:val="0"/>
                    <w:snapToGrid w:val="0"/>
                    <w:rPr>
                      <w:bCs/>
                      <w:color w:val="000000"/>
                      <w:szCs w:val="21"/>
                    </w:rPr>
                  </w:pPr>
                  <w:r>
                    <w:rPr>
                      <w:bCs/>
                      <w:color w:val="000000"/>
                      <w:szCs w:val="21"/>
                    </w:rPr>
                    <w:t>7、禁止新建石灰窑、粘土砖瓦窑项目。</w:t>
                  </w:r>
                </w:p>
                <w:p>
                  <w:pPr>
                    <w:adjustRightInd w:val="0"/>
                    <w:snapToGrid w:val="0"/>
                    <w:rPr>
                      <w:bCs/>
                      <w:color w:val="000000"/>
                      <w:szCs w:val="21"/>
                    </w:rPr>
                  </w:pPr>
                  <w:r>
                    <w:rPr>
                      <w:bCs/>
                      <w:color w:val="000000"/>
                      <w:szCs w:val="21"/>
                    </w:rPr>
                    <w:t>8、禁止钢铁、平板玻璃、水泥（含熟料生产和粉磨站，资源综合利用除外）、铸造、生活垃圾填埋（含新建、改建、扩建）等行业新增产能项目（生活垃圾焚烧处置产生的飞灰填埋场除外，但应符合相应规划）。</w:t>
                  </w:r>
                </w:p>
                <w:p>
                  <w:pPr>
                    <w:adjustRightInd w:val="0"/>
                    <w:snapToGrid w:val="0"/>
                    <w:rPr>
                      <w:bCs/>
                      <w:color w:val="000000"/>
                      <w:szCs w:val="21"/>
                    </w:rPr>
                  </w:pPr>
                  <w:r>
                    <w:rPr>
                      <w:bCs/>
                      <w:color w:val="000000"/>
                      <w:szCs w:val="21"/>
                    </w:rPr>
                    <w:t>9、禁止新建、改建（新增设备和产能）及扩建不符合国家和省有关危险化学品生产、储存的行业规划和布局的生产项目。</w:t>
                  </w:r>
                </w:p>
                <w:p>
                  <w:pPr>
                    <w:adjustRightInd w:val="0"/>
                    <w:snapToGrid w:val="0"/>
                    <w:rPr>
                      <w:bCs/>
                      <w:color w:val="000000"/>
                      <w:szCs w:val="21"/>
                    </w:rPr>
                  </w:pPr>
                  <w:r>
                    <w:rPr>
                      <w:bCs/>
                      <w:color w:val="000000"/>
                      <w:szCs w:val="21"/>
                    </w:rPr>
                    <w:t>10、禁止新（扩）建集中处置焚烧设施（年危险废物产生量大于5000吨的企业自建配套焚烧设施除外）和填埋场项目；对于其他已建及在建的危险废物利用处置能力接近饱和或过剩的危险废物类别，禁止新（扩）建该类别危险废物利用处置设施项目。</w:t>
                  </w:r>
                </w:p>
                <w:p>
                  <w:pPr>
                    <w:adjustRightInd w:val="0"/>
                    <w:snapToGrid w:val="0"/>
                    <w:rPr>
                      <w:bCs/>
                      <w:color w:val="000000"/>
                      <w:szCs w:val="21"/>
                    </w:rPr>
                  </w:pPr>
                  <w:r>
                    <w:rPr>
                      <w:bCs/>
                      <w:color w:val="000000"/>
                      <w:szCs w:val="21"/>
                    </w:rPr>
                    <w:t>11、禁止新（扩）建废矿物油综合利用项目</w:t>
                  </w:r>
                  <w:r>
                    <w:rPr>
                      <w:rFonts w:hint="eastAsia"/>
                      <w:bCs/>
                      <w:color w:val="000000"/>
                      <w:szCs w:val="21"/>
                    </w:rPr>
                    <w:t>。</w:t>
                  </w:r>
                </w:p>
              </w:tc>
              <w:tc>
                <w:tcPr>
                  <w:tcW w:w="1010" w:type="dxa"/>
                  <w:vAlign w:val="center"/>
                </w:tcPr>
                <w:p>
                  <w:pPr>
                    <w:spacing w:line="300" w:lineRule="exact"/>
                    <w:rPr>
                      <w:bCs/>
                      <w:color w:val="000000"/>
                      <w:szCs w:val="21"/>
                    </w:rPr>
                  </w:pPr>
                  <w:r>
                    <w:rPr>
                      <w:bCs/>
                      <w:color w:val="000000"/>
                      <w:szCs w:val="21"/>
                    </w:rPr>
                    <w:t>项目不属于</w:t>
                  </w:r>
                  <w:r>
                    <w:rPr>
                      <w:rFonts w:hint="eastAsia"/>
                      <w:bCs/>
                      <w:color w:val="000000"/>
                      <w:szCs w:val="21"/>
                    </w:rPr>
                    <w:t>左侧所列禁止开发建设的</w:t>
                  </w:r>
                  <w:r>
                    <w:rPr>
                      <w:bCs/>
                      <w:color w:val="000000"/>
                      <w:szCs w:val="21"/>
                    </w:rPr>
                    <w:t>项目，符合要求</w:t>
                  </w:r>
                  <w:r>
                    <w:rPr>
                      <w:rFonts w:hint="eastAsia"/>
                      <w:bCs/>
                      <w:color w:val="000000"/>
                      <w:szCs w:val="21"/>
                    </w:rPr>
                    <w:t>。</w:t>
                  </w:r>
                </w:p>
              </w:tc>
            </w:tr>
            <w:tr>
              <w:tblPrEx>
                <w:tblW w:w="7904" w:type="dxa"/>
                <w:jc w:val="center"/>
                <w:tblLayout w:type="fixed"/>
                <w:tblCellMar>
                  <w:top w:w="0" w:type="dxa"/>
                  <w:left w:w="108" w:type="dxa"/>
                  <w:bottom w:w="0" w:type="dxa"/>
                  <w:right w:w="108" w:type="dxa"/>
                </w:tblCellMar>
              </w:tblPrEx>
              <w:trPr>
                <w:trHeight w:val="6368"/>
                <w:jc w:val="center"/>
              </w:trPr>
              <w:tc>
                <w:tcPr>
                  <w:tcW w:w="724" w:type="dxa"/>
                  <w:vMerge/>
                  <w:vAlign w:val="center"/>
                </w:tcPr>
                <w:p>
                  <w:pPr>
                    <w:adjustRightInd w:val="0"/>
                    <w:snapToGrid w:val="0"/>
                    <w:spacing w:line="300" w:lineRule="exact"/>
                    <w:rPr>
                      <w:color w:val="000000"/>
                    </w:rPr>
                  </w:pPr>
                </w:p>
              </w:tc>
              <w:tc>
                <w:tcPr>
                  <w:tcW w:w="429" w:type="dxa"/>
                  <w:vAlign w:val="center"/>
                </w:tcPr>
                <w:p>
                  <w:pPr>
                    <w:adjustRightInd w:val="0"/>
                    <w:snapToGrid w:val="0"/>
                    <w:spacing w:line="300" w:lineRule="exact"/>
                    <w:jc w:val="center"/>
                    <w:rPr>
                      <w:bCs/>
                      <w:color w:val="000000"/>
                      <w:szCs w:val="21"/>
                    </w:rPr>
                  </w:pPr>
                  <w:r>
                    <w:rPr>
                      <w:bCs/>
                      <w:color w:val="000000"/>
                      <w:szCs w:val="21"/>
                    </w:rPr>
                    <w:t>限制开发建设活动的要求</w:t>
                  </w:r>
                </w:p>
              </w:tc>
              <w:tc>
                <w:tcPr>
                  <w:tcW w:w="5741" w:type="dxa"/>
                  <w:vAlign w:val="center"/>
                </w:tcPr>
                <w:p>
                  <w:pPr>
                    <w:widowControl w:val="0"/>
                    <w:wordWrap/>
                    <w:adjustRightInd w:val="0"/>
                    <w:snapToGrid w:val="0"/>
                    <w:spacing w:line="260" w:lineRule="exact"/>
                    <w:textAlignment w:val="auto"/>
                    <w:rPr>
                      <w:bCs/>
                      <w:color w:val="000000"/>
                      <w:szCs w:val="21"/>
                    </w:rPr>
                  </w:pPr>
                  <w:r>
                    <w:rPr>
                      <w:bCs/>
                      <w:color w:val="000000"/>
                      <w:szCs w:val="21"/>
                    </w:rPr>
                    <w:t>敏感区域限制开发建设活动的要求：</w:t>
                  </w:r>
                </w:p>
                <w:p>
                  <w:pPr>
                    <w:widowControl w:val="0"/>
                    <w:wordWrap/>
                    <w:adjustRightInd w:val="0"/>
                    <w:snapToGrid w:val="0"/>
                    <w:spacing w:line="260" w:lineRule="exact"/>
                    <w:textAlignment w:val="auto"/>
                    <w:rPr>
                      <w:bCs/>
                      <w:color w:val="000000"/>
                      <w:szCs w:val="21"/>
                    </w:rPr>
                  </w:pPr>
                  <w:r>
                    <w:rPr>
                      <w:bCs/>
                      <w:color w:val="000000"/>
                      <w:szCs w:val="21"/>
                    </w:rPr>
                    <w:t>1、集中式供水的饮用水地表水源地、地下水源地及为地表水源地输水的引黄、引江河道范围内进行开发建设，执行《德州市饮用水水源保护区划分方案》《山东省灌区管理办法》中相关规定。其中，饮用水地表水源一级保护区禁止新建、扩建与供水设施和保护水源无关的建设项目；在饮用水水源二级保护区内，禁止新建、改建、扩建排放污染物的建设项目。</w:t>
                  </w:r>
                </w:p>
                <w:p>
                  <w:pPr>
                    <w:widowControl w:val="0"/>
                    <w:wordWrap/>
                    <w:adjustRightInd w:val="0"/>
                    <w:snapToGrid w:val="0"/>
                    <w:spacing w:line="260" w:lineRule="exact"/>
                    <w:textAlignment w:val="auto"/>
                    <w:rPr>
                      <w:bCs/>
                      <w:color w:val="000000"/>
                      <w:szCs w:val="21"/>
                    </w:rPr>
                  </w:pPr>
                  <w:r>
                    <w:rPr>
                      <w:bCs/>
                      <w:color w:val="000000"/>
                      <w:szCs w:val="21"/>
                    </w:rPr>
                    <w:t>2、南水北调工程管理范围和保护范围内进行开发建设，执行《山东省南水北调条例》《山东省南水北调工程沿线区域水污染防治条例》中相关规定。</w:t>
                  </w:r>
                </w:p>
                <w:p>
                  <w:pPr>
                    <w:widowControl w:val="0"/>
                    <w:wordWrap/>
                    <w:adjustRightInd w:val="0"/>
                    <w:snapToGrid w:val="0"/>
                    <w:spacing w:line="260" w:lineRule="exact"/>
                    <w:textAlignment w:val="auto"/>
                    <w:rPr>
                      <w:bCs/>
                      <w:color w:val="000000"/>
                      <w:szCs w:val="21"/>
                    </w:rPr>
                  </w:pPr>
                  <w:r>
                    <w:rPr>
                      <w:bCs/>
                      <w:color w:val="000000"/>
                      <w:szCs w:val="21"/>
                    </w:rPr>
                    <w:t>3、漳卫新河、马颊河、德惠新河、徒骇河干流禁止新设入河排污口，严格控制改设、扩建入河排污口，潘庄引黄干渠、李家岸引黄干渠、引徒总干、七一河、六五河等引黄、引江河道以及其他具有引黄、引江功能的河道均禁止设置排污口，其他河流限制新设入河排污口，必须设置的须经行政主管部门批准。加强对主要河流及岸线的管理和保护，河道两侧管理和保护区范围内进行开发建设，执行《德州市河道管理办法》中相关规定。其中，在河道管理范围内进行建设活动须经主管部门批准同意，在保护范围内进行建设活动须征求主管部门意见。</w:t>
                  </w:r>
                </w:p>
                <w:p>
                  <w:pPr>
                    <w:widowControl w:val="0"/>
                    <w:wordWrap/>
                    <w:adjustRightInd w:val="0"/>
                    <w:snapToGrid w:val="0"/>
                    <w:spacing w:line="260" w:lineRule="exact"/>
                    <w:textAlignment w:val="auto"/>
                    <w:rPr>
                      <w:bCs/>
                      <w:color w:val="000000"/>
                      <w:szCs w:val="21"/>
                    </w:rPr>
                  </w:pPr>
                  <w:r>
                    <w:rPr>
                      <w:bCs/>
                      <w:color w:val="000000"/>
                      <w:szCs w:val="21"/>
                    </w:rPr>
                    <w:t>4、加强对黄河的保护，沿黄区域开发建设须满足相应管理和保护要求。</w:t>
                  </w:r>
                </w:p>
                <w:p>
                  <w:pPr>
                    <w:widowControl w:val="0"/>
                    <w:wordWrap/>
                    <w:adjustRightInd w:val="0"/>
                    <w:snapToGrid w:val="0"/>
                    <w:spacing w:after="0" w:line="260" w:lineRule="exact"/>
                    <w:textAlignment w:val="auto"/>
                    <w:rPr>
                      <w:bCs/>
                      <w:color w:val="000000"/>
                      <w:szCs w:val="21"/>
                    </w:rPr>
                  </w:pPr>
                </w:p>
              </w:tc>
              <w:tc>
                <w:tcPr>
                  <w:tcW w:w="1010" w:type="dxa"/>
                  <w:vAlign w:val="center"/>
                </w:tcPr>
                <w:p>
                  <w:pPr>
                    <w:adjustRightInd w:val="0"/>
                    <w:snapToGrid w:val="0"/>
                    <w:spacing w:line="300" w:lineRule="exact"/>
                    <w:rPr>
                      <w:bCs/>
                      <w:color w:val="000000"/>
                      <w:szCs w:val="21"/>
                    </w:rPr>
                  </w:pPr>
                  <w:r>
                    <w:rPr>
                      <w:bCs/>
                      <w:color w:val="000000"/>
                      <w:szCs w:val="21"/>
                    </w:rPr>
                    <w:t>项目不</w:t>
                  </w:r>
                  <w:r>
                    <w:rPr>
                      <w:rFonts w:hint="eastAsia"/>
                      <w:bCs/>
                      <w:color w:val="000000"/>
                      <w:szCs w:val="21"/>
                    </w:rPr>
                    <w:t>属于</w:t>
                  </w:r>
                  <w:r>
                    <w:rPr>
                      <w:bCs/>
                      <w:color w:val="000000"/>
                      <w:szCs w:val="21"/>
                    </w:rPr>
                    <w:t>敏感区域限制开发建设</w:t>
                  </w:r>
                  <w:r>
                    <w:rPr>
                      <w:rFonts w:hint="eastAsia"/>
                      <w:bCs/>
                      <w:color w:val="000000"/>
                      <w:szCs w:val="21"/>
                    </w:rPr>
                    <w:t>的项目</w:t>
                  </w:r>
                  <w:r>
                    <w:rPr>
                      <w:bCs/>
                      <w:color w:val="000000"/>
                      <w:szCs w:val="21"/>
                    </w:rPr>
                    <w:t>，符合要求</w:t>
                  </w:r>
                  <w:r>
                    <w:rPr>
                      <w:rFonts w:hint="eastAsia"/>
                      <w:bCs/>
                      <w:color w:val="000000"/>
                      <w:szCs w:val="21"/>
                    </w:rPr>
                    <w:t>。</w:t>
                  </w:r>
                </w:p>
              </w:tc>
            </w:tr>
          </w:tbl>
          <w:p/>
        </w:tc>
      </w:tr>
    </w:tbl>
    <w:p>
      <w:pPr>
        <w:sectPr>
          <w:footerReference w:type="default" r:id="rId11"/>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6"/>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368"/>
                <w:jc w:val="center"/>
              </w:trPr>
              <w:tc>
                <w:tcPr>
                  <w:tcW w:w="724" w:type="dxa"/>
                  <w:vMerge w:val="restart"/>
                  <w:vAlign w:val="center"/>
                </w:tcPr>
                <w:p/>
              </w:tc>
              <w:tc>
                <w:tcPr>
                  <w:tcW w:w="429" w:type="dxa"/>
                  <w:vMerge w:val="restart"/>
                  <w:vAlign w:val="center"/>
                </w:tcPr>
                <w:p/>
              </w:tc>
              <w:tc>
                <w:tcPr>
                  <w:tcW w:w="5741" w:type="dxa"/>
                  <w:vMerge w:val="restart"/>
                  <w:vAlign w:val="center"/>
                </w:tcPr>
                <w:p>
                  <w:pPr>
                    <w:widowControl w:val="0"/>
                    <w:wordWrap/>
                    <w:adjustRightInd w:val="0"/>
                    <w:snapToGrid w:val="0"/>
                    <w:spacing w:before="0" w:line="260" w:lineRule="exact"/>
                    <w:textAlignment w:val="auto"/>
                    <w:rPr>
                      <w:bCs/>
                      <w:color w:val="000000"/>
                      <w:szCs w:val="21"/>
                    </w:rPr>
                  </w:pPr>
                  <w:r>
                    <w:rPr>
                      <w:bCs/>
                      <w:color w:val="000000"/>
                      <w:szCs w:val="21"/>
                    </w:rPr>
                    <w:t>5、加强对大运河的保护（包括卫运河、南运河）。在大运河核心监控区进行建设，必须符合《山东省大运河文化保护传承利用实施规划》。大运河遗产保护范围和建设控制地带内进行开发建设，执行《大运河山东省德州段遗产保护规划》、《关于进一步加强大运河（德州段）遗产保护管理和开发利用的通知》中相关规定，实行建设项目遗产环境影响评价制度和项目申报审批制度。未经文物部门批准实施的项目，一律不予审批。除依法批准的防洪、航道疏浚、水工设施维护、输水河道等关系国计民生的重点工程外，任何单位或者个人不得在大运河遗产保护规划范围内进行破坏大运河遗产本体的工程建设。</w:t>
                  </w:r>
                </w:p>
                <w:p>
                  <w:pPr>
                    <w:widowControl w:val="0"/>
                    <w:wordWrap/>
                    <w:adjustRightInd w:val="0"/>
                    <w:snapToGrid w:val="0"/>
                    <w:spacing w:line="260" w:lineRule="exact"/>
                    <w:textAlignment w:val="auto"/>
                    <w:rPr>
                      <w:bCs/>
                      <w:color w:val="000000"/>
                      <w:szCs w:val="21"/>
                    </w:rPr>
                  </w:pPr>
                  <w:r>
                    <w:rPr>
                      <w:bCs/>
                      <w:color w:val="000000"/>
                      <w:szCs w:val="21"/>
                    </w:rPr>
                    <w:t>6、国家级森林公园规划范围内进行开发建设，执行《国家级森林公园管理办法》中相关规定，严格按照总体规划要求进行，同时须经森林公园主管部门批准同意。省级及以下森林公园执行《森林公园管理办法》《山东省森林资源管理条例》等相关规定，已编制总体规划的应按照总体规划要求进行建设，其他有具体管理要求的可在要求范围内进行，并经主管部门或管理部门批准同意。未列入生态红线但具有保护意义的大型集中林地、森林公园等区域应加强管理和保护，禁止工业项目建设。</w:t>
                  </w:r>
                </w:p>
                <w:p>
                  <w:pPr>
                    <w:widowControl w:val="0"/>
                    <w:wordWrap/>
                    <w:adjustRightInd w:val="0"/>
                    <w:snapToGrid w:val="0"/>
                    <w:spacing w:line="260" w:lineRule="exact"/>
                    <w:textAlignment w:val="auto"/>
                    <w:rPr>
                      <w:bCs/>
                      <w:color w:val="000000"/>
                      <w:szCs w:val="21"/>
                    </w:rPr>
                  </w:pPr>
                  <w:r>
                    <w:rPr>
                      <w:bCs/>
                      <w:color w:val="000000"/>
                      <w:szCs w:val="21"/>
                    </w:rPr>
                    <w:t>7、湿地自然保护区、湿地公园、湿地保护小区等湿地保护范围内或规划范围内进行开发建设，执行《德州市湿地保护条例》，须符合总体规划要求或管理要求，其中湿地自然保护区的建设活动应符合法律、法规等相关管理要求，实行分区管理的湿地公园其建设活动应符合分区管理要求，各种建设活动须经主管部门批准同意。</w:t>
                  </w:r>
                </w:p>
                <w:p>
                  <w:pPr>
                    <w:widowControl w:val="0"/>
                    <w:wordWrap/>
                    <w:adjustRightInd w:val="0"/>
                    <w:snapToGrid w:val="0"/>
                    <w:spacing w:line="260" w:lineRule="exact"/>
                    <w:textAlignment w:val="auto"/>
                    <w:rPr>
                      <w:bCs/>
                      <w:color w:val="000000"/>
                      <w:szCs w:val="21"/>
                    </w:rPr>
                  </w:pPr>
                  <w:r>
                    <w:rPr>
                      <w:bCs/>
                      <w:color w:val="000000"/>
                      <w:szCs w:val="21"/>
                    </w:rPr>
                    <w:t>8、风景名胜区内进行开发建设，执行《山东省风景名胜区条例》中相关规定，禁止进行条例明确禁止的行为，进行条例禁止范围外的建设活动，应当经风景名胜区管理机构审核同意，重大建设工程，在报经风景名胜区管理机构审核前，应报相应级别住房城乡建设主管部门核准。</w:t>
                  </w:r>
                </w:p>
                <w:p>
                  <w:pPr>
                    <w:widowControl w:val="0"/>
                    <w:wordWrap/>
                    <w:adjustRightInd w:val="0"/>
                    <w:snapToGrid w:val="0"/>
                    <w:spacing w:line="260" w:lineRule="exact"/>
                    <w:textAlignment w:val="auto"/>
                    <w:rPr>
                      <w:bCs/>
                      <w:color w:val="000000"/>
                      <w:szCs w:val="21"/>
                    </w:rPr>
                  </w:pPr>
                  <w:r>
                    <w:rPr>
                      <w:bCs/>
                      <w:color w:val="000000"/>
                      <w:szCs w:val="21"/>
                    </w:rPr>
                    <w:t>9、国家级、省级、市级、县级等各级文物保护单位，在保护范围内和建设控制地带禁止进行开发建设，执行《山东省文物保护条例》、《德州市文物保护条例》中相关规定，开发建设工程应根据文物保护单位的级别报相应的文物行政部门批准。</w:t>
                  </w:r>
                </w:p>
                <w:p>
                  <w:pPr>
                    <w:widowControl w:val="0"/>
                    <w:wordWrap/>
                    <w:adjustRightInd w:val="0"/>
                    <w:snapToGrid w:val="0"/>
                    <w:spacing w:line="260" w:lineRule="exact"/>
                    <w:textAlignment w:val="auto"/>
                    <w:rPr>
                      <w:bCs/>
                      <w:color w:val="000000"/>
                      <w:szCs w:val="21"/>
                    </w:rPr>
                  </w:pPr>
                  <w:r>
                    <w:rPr>
                      <w:bCs/>
                      <w:color w:val="000000"/>
                      <w:szCs w:val="21"/>
                    </w:rPr>
                    <w:t>10、严格遵守《基本农田保护条例》，已划定的永久基本农田实行严格保护，确保其面积不减少、土壤环境质量不下降。严格控制在优先保护类耕地集中区域新建有色金属冶炼、石油加工、化工、煤炭、聚氯乙烯、医药、焦化、电镀、制革、铅蓄电池制造、危险废物处置、加油站等排放重金属、持久性有机物和挥发性有机物的项目。</w:t>
                  </w:r>
                </w:p>
                <w:p>
                  <w:pPr>
                    <w:widowControl w:val="0"/>
                    <w:wordWrap/>
                    <w:adjustRightInd w:val="0"/>
                    <w:snapToGrid w:val="0"/>
                    <w:spacing w:line="260" w:lineRule="exact"/>
                    <w:textAlignment w:val="auto"/>
                    <w:rPr>
                      <w:bCs/>
                      <w:color w:val="000000"/>
                      <w:szCs w:val="21"/>
                    </w:rPr>
                  </w:pPr>
                  <w:r>
                    <w:rPr>
                      <w:bCs/>
                      <w:color w:val="000000"/>
                      <w:szCs w:val="21"/>
                    </w:rPr>
                    <w:t>11、水土流失重点预防区和重点治理区内进行开发建设，执行《中华人民共和国水土保持法》中相关规定。</w:t>
                  </w:r>
                </w:p>
                <w:p>
                  <w:pPr>
                    <w:widowControl w:val="0"/>
                    <w:wordWrap/>
                    <w:adjustRightInd w:val="0"/>
                    <w:snapToGrid w:val="0"/>
                    <w:spacing w:line="260" w:lineRule="exact"/>
                    <w:textAlignment w:val="auto"/>
                    <w:rPr>
                      <w:bCs/>
                      <w:color w:val="000000"/>
                      <w:szCs w:val="21"/>
                    </w:rPr>
                  </w:pPr>
                  <w:r>
                    <w:rPr>
                      <w:bCs/>
                      <w:color w:val="000000"/>
                      <w:szCs w:val="21"/>
                    </w:rPr>
                    <w:t>12、沙化土地范围内进行开发建设，执行《中华人民共和国防沙治沙法》《全国防沙治沙规划》中相关规定。</w:t>
                  </w:r>
                </w:p>
                <w:p>
                  <w:pPr>
                    <w:widowControl w:val="0"/>
                    <w:wordWrap/>
                    <w:adjustRightInd w:val="0"/>
                    <w:snapToGrid w:val="0"/>
                    <w:spacing w:line="260" w:lineRule="exact"/>
                    <w:textAlignment w:val="auto"/>
                    <w:rPr>
                      <w:bCs/>
                      <w:color w:val="000000"/>
                      <w:szCs w:val="21"/>
                    </w:rPr>
                  </w:pPr>
                  <w:r>
                    <w:rPr>
                      <w:bCs/>
                      <w:color w:val="000000"/>
                      <w:szCs w:val="21"/>
                    </w:rPr>
                    <w:t>13、各县、市、区划定的限养区内禁止扩大养殖规模，禁养区范围内禁止新、改、扩建各类畜禽养殖项目；德州市划定的水产禁养区内禁止进行人工水产养殖，限养区禁止一切设施性、投饵性、施肥性渔业养殖生产。</w:t>
                  </w:r>
                </w:p>
                <w:p>
                  <w:pPr>
                    <w:widowControl w:val="0"/>
                    <w:wordWrap/>
                    <w:adjustRightInd w:val="0"/>
                    <w:snapToGrid w:val="0"/>
                    <w:spacing w:line="260" w:lineRule="exact"/>
                    <w:textAlignment w:val="auto"/>
                    <w:rPr>
                      <w:bCs/>
                      <w:color w:val="000000"/>
                      <w:szCs w:val="21"/>
                    </w:rPr>
                  </w:pPr>
                  <w:r>
                    <w:rPr>
                      <w:bCs/>
                      <w:color w:val="000000"/>
                      <w:szCs w:val="21"/>
                    </w:rPr>
                    <w:t>14、落实并执行《德州市城市总体规划》及各县、市、区城市总体规划中区域管控要求，特别是生态和产业布局要求。</w:t>
                  </w:r>
                </w:p>
                <w:p>
                  <w:pPr>
                    <w:widowControl w:val="0"/>
                    <w:wordWrap/>
                    <w:adjustRightInd w:val="0"/>
                    <w:snapToGrid w:val="0"/>
                    <w:spacing w:line="260" w:lineRule="exact"/>
                    <w:textAlignment w:val="auto"/>
                    <w:rPr>
                      <w:bCs/>
                      <w:color w:val="000000"/>
                      <w:szCs w:val="21"/>
                    </w:rPr>
                  </w:pPr>
                  <w:r>
                    <w:rPr>
                      <w:bCs/>
                      <w:color w:val="000000"/>
                      <w:szCs w:val="21"/>
                    </w:rPr>
                    <w:t>15、在限制要求中，确需实施的公共交通、医疗卫生、民生保障及基础设施等建设活动须经主管部门批复同意。</w:t>
                  </w:r>
                </w:p>
              </w:tc>
              <w:tc>
                <w:tcPr>
                  <w:tcW w:w="1010" w:type="dxa"/>
                  <w:vAlign w:val="center"/>
                </w:tcPr>
                <w:p/>
              </w:tc>
            </w:tr>
            <w:tr>
              <w:tblPrEx>
                <w:tblW w:w="7904" w:type="dxa"/>
                <w:jc w:val="center"/>
                <w:tblLayout w:type="fixed"/>
                <w:tblCellMar>
                  <w:top w:w="0" w:type="dxa"/>
                  <w:left w:w="108" w:type="dxa"/>
                  <w:bottom w:w="0" w:type="dxa"/>
                  <w:right w:w="108" w:type="dxa"/>
                </w:tblCellMar>
              </w:tblPrEx>
              <w:trPr>
                <w:trHeight w:val="13680"/>
                <w:jc w:val="center"/>
              </w:trPr>
              <w:tc>
                <w:tcPr>
                  <w:tcW w:w="724" w:type="dxa"/>
                  <w:vMerge/>
                  <w:vAlign w:val="center"/>
                </w:tcPr>
                <w:p>
                  <w:pPr>
                    <w:adjustRightInd w:val="0"/>
                    <w:snapToGrid w:val="0"/>
                    <w:spacing w:line="300" w:lineRule="exact"/>
                    <w:rPr>
                      <w:bCs/>
                      <w:color w:val="000000"/>
                      <w:szCs w:val="21"/>
                    </w:rPr>
                  </w:pPr>
                </w:p>
              </w:tc>
              <w:tc>
                <w:tcPr>
                  <w:tcW w:w="429" w:type="dxa"/>
                  <w:vMerge/>
                  <w:vAlign w:val="center"/>
                </w:tcPr>
                <w:p>
                  <w:pPr>
                    <w:adjustRightInd w:val="0"/>
                    <w:snapToGrid w:val="0"/>
                    <w:spacing w:line="300" w:lineRule="exact"/>
                    <w:rPr>
                      <w:bCs/>
                      <w:color w:val="000000"/>
                      <w:szCs w:val="21"/>
                    </w:rPr>
                  </w:pPr>
                </w:p>
              </w:tc>
              <w:tc>
                <w:tcPr>
                  <w:tcW w:w="5741" w:type="dxa"/>
                  <w:vMerge/>
                  <w:vAlign w:val="center"/>
                </w:tcPr>
                <w:p>
                  <w:pPr>
                    <w:adjustRightInd w:val="0"/>
                    <w:snapToGrid w:val="0"/>
                    <w:spacing w:line="300" w:lineRule="exact"/>
                    <w:rPr>
                      <w:bCs/>
                      <w:color w:val="000000"/>
                      <w:szCs w:val="21"/>
                    </w:rPr>
                  </w:pPr>
                </w:p>
              </w:tc>
              <w:tc>
                <w:tcPr>
                  <w:tcW w:w="1010" w:type="dxa"/>
                  <w:vAlign w:val="center"/>
                </w:tcPr>
                <w:p>
                  <w:pPr>
                    <w:adjustRightInd w:val="0"/>
                    <w:snapToGrid w:val="0"/>
                    <w:spacing w:line="300" w:lineRule="exact"/>
                    <w:rPr>
                      <w:bCs/>
                      <w:color w:val="000000"/>
                      <w:szCs w:val="21"/>
                    </w:rPr>
                  </w:pPr>
                  <w:r>
                    <w:rPr>
                      <w:bCs/>
                      <w:color w:val="000000"/>
                      <w:szCs w:val="21"/>
                    </w:rPr>
                    <w:t>项目不</w:t>
                  </w:r>
                  <w:r>
                    <w:rPr>
                      <w:rFonts w:hint="eastAsia"/>
                      <w:bCs/>
                      <w:color w:val="000000"/>
                      <w:szCs w:val="21"/>
                    </w:rPr>
                    <w:t>属于</w:t>
                  </w:r>
                  <w:r>
                    <w:rPr>
                      <w:bCs/>
                      <w:color w:val="000000"/>
                      <w:szCs w:val="21"/>
                    </w:rPr>
                    <w:t>敏感区域限制开发建设</w:t>
                  </w:r>
                  <w:r>
                    <w:rPr>
                      <w:rFonts w:hint="eastAsia"/>
                      <w:bCs/>
                      <w:color w:val="000000"/>
                      <w:szCs w:val="21"/>
                    </w:rPr>
                    <w:t>的项目</w:t>
                  </w:r>
                  <w:r>
                    <w:rPr>
                      <w:bCs/>
                      <w:color w:val="000000"/>
                      <w:szCs w:val="21"/>
                    </w:rPr>
                    <w:t>，符合要求</w:t>
                  </w:r>
                  <w:r>
                    <w:rPr>
                      <w:rFonts w:hint="eastAsia"/>
                      <w:bCs/>
                      <w:color w:val="000000"/>
                      <w:szCs w:val="21"/>
                    </w:rPr>
                    <w:t>。</w:t>
                  </w:r>
                </w:p>
              </w:tc>
            </w:tr>
          </w:tbl>
          <w:p/>
        </w:tc>
      </w:tr>
    </w:tbl>
    <w:p>
      <w:pPr>
        <w:sectPr>
          <w:footerReference w:type="default" r:id="rId12"/>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7"/>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3675"/>
                <w:jc w:val="center"/>
              </w:trPr>
              <w:tc>
                <w:tcPr>
                  <w:tcW w:w="724" w:type="dxa"/>
                  <w:vAlign w:val="center"/>
                </w:tcPr>
                <w:p>
                  <w:pPr>
                    <w:adjustRightInd w:val="0"/>
                    <w:snapToGrid w:val="0"/>
                    <w:spacing w:line="300" w:lineRule="exact"/>
                    <w:rPr>
                      <w:color w:val="000000"/>
                    </w:rPr>
                  </w:pPr>
                </w:p>
              </w:tc>
              <w:tc>
                <w:tcPr>
                  <w:tcW w:w="429" w:type="dxa"/>
                  <w:vAlign w:val="center"/>
                </w:tcPr>
                <w:p>
                  <w:pPr>
                    <w:adjustRightInd w:val="0"/>
                    <w:snapToGrid w:val="0"/>
                    <w:spacing w:line="300" w:lineRule="exact"/>
                    <w:rPr>
                      <w:bCs/>
                      <w:color w:val="000000"/>
                      <w:szCs w:val="21"/>
                    </w:rPr>
                  </w:pPr>
                </w:p>
              </w:tc>
              <w:tc>
                <w:tcPr>
                  <w:tcW w:w="5741" w:type="dxa"/>
                  <w:vAlign w:val="center"/>
                </w:tcPr>
                <w:p>
                  <w:pPr>
                    <w:adjustRightInd w:val="0"/>
                    <w:snapToGrid w:val="0"/>
                    <w:rPr>
                      <w:bCs/>
                      <w:color w:val="000000"/>
                      <w:szCs w:val="21"/>
                    </w:rPr>
                  </w:pPr>
                  <w:r>
                    <w:rPr>
                      <w:bCs/>
                      <w:color w:val="000000"/>
                      <w:szCs w:val="21"/>
                    </w:rPr>
                    <w:t>工业项目限制开发建设的要求：</w:t>
                  </w:r>
                </w:p>
                <w:p>
                  <w:pPr>
                    <w:adjustRightInd w:val="0"/>
                    <w:snapToGrid w:val="0"/>
                    <w:rPr>
                      <w:bCs/>
                      <w:color w:val="000000"/>
                      <w:szCs w:val="21"/>
                    </w:rPr>
                  </w:pPr>
                  <w:r>
                    <w:rPr>
                      <w:bCs/>
                      <w:color w:val="000000"/>
                      <w:szCs w:val="21"/>
                    </w:rPr>
                    <w:t>1、新建排放二氧化硫、氮氧化物、工业烟粉尘、挥发性有机物的项目，新增污染物原则上实行区域污染物排放2倍量替代（按鲁环发[2019]132号要求执行），确保增产减污。省委、省政府确定的新旧动能转换重大项目和省‘双招双引’十强产业中的重点项目，按照‘减量替代是原则，等量替代是例外’的要求进行管理。</w:t>
                  </w:r>
                </w:p>
                <w:p>
                  <w:pPr>
                    <w:adjustRightInd w:val="0"/>
                    <w:snapToGrid w:val="0"/>
                    <w:rPr>
                      <w:bCs/>
                      <w:color w:val="000000"/>
                      <w:szCs w:val="21"/>
                    </w:rPr>
                  </w:pPr>
                  <w:r>
                    <w:rPr>
                      <w:bCs/>
                      <w:color w:val="000000"/>
                      <w:szCs w:val="21"/>
                    </w:rPr>
                    <w:t>2、涉及通航、渔业水域的，其环境影响评价文件在审批时，应当征求相应主管部门的意见；限制高耗水、高污染排放、产生有毒有害物质的建设项目，对制浆造纸、焦化、氮肥、印染、农副食品加工、原料药制造、制革、农药、电镀等重点行业，实行新（改、扩）建项目主要污染物排放等量或减量置换。</w:t>
                  </w:r>
                </w:p>
                <w:p>
                  <w:pPr>
                    <w:adjustRightInd w:val="0"/>
                    <w:snapToGrid w:val="0"/>
                    <w:rPr>
                      <w:bCs/>
                      <w:color w:val="000000"/>
                      <w:szCs w:val="21"/>
                    </w:rPr>
                  </w:pPr>
                  <w:r>
                    <w:rPr>
                      <w:bCs/>
                      <w:color w:val="000000"/>
                      <w:szCs w:val="21"/>
                    </w:rPr>
                    <w:t>3、严格控制新建危险化学品项目，严格限制新建剧毒化学品项目，严把危险化学品建设项目‘三同时’审查许可关，对不符合安全生产条件和产业发展规划的新建项目一律不予批准。未建立健全安全生产风险分级管控和隐患排查治理，双重预防体系，安全生产得不到有效保障的危险品生产项目，不得新建、改建、扩建。控制化工项目建设，新建化工项目执行山东省人民政府、山东省化工产业安全生产转型升级专项行动领导小组要求及《山东省化工行业投资项目管理规定》《德州市化工园区管理办法》《山东省专业化工园区认定管理办法》中相关规定。在省政府认定的化工园区、专业化工园区和重点监控点等实施的化工项目须满足园区审查的规划环评要求。禁止新建固定投资额低于3亿元（不含土地费用）的生产危险化学品的化工项目（危险化学品详见《危险化学品目录》），列入国家《产业结构调整指导目录》和《外商投资产业指导目录》鼓励类以及搬迁入园项目除外。</w:t>
                  </w:r>
                </w:p>
                <w:p>
                  <w:pPr>
                    <w:adjustRightInd w:val="0"/>
                    <w:snapToGrid w:val="0"/>
                    <w:rPr>
                      <w:bCs/>
                      <w:color w:val="000000"/>
                      <w:szCs w:val="21"/>
                    </w:rPr>
                  </w:pPr>
                  <w:r>
                    <w:rPr>
                      <w:bCs/>
                      <w:color w:val="000000"/>
                      <w:szCs w:val="21"/>
                    </w:rPr>
                    <w:t>4、淘汰落后动能，落实能耗双控，严控‘两高’项目建设，新建‘两高’项目须满足‘五个减量替代’要求，确保煤炭消费只减不增、‘两高’行业能耗只减不增。有效提高‘两高’行业信息化精准化监管水平。</w:t>
                  </w:r>
                </w:p>
                <w:p>
                  <w:pPr>
                    <w:adjustRightInd w:val="0"/>
                    <w:snapToGrid w:val="0"/>
                    <w:rPr>
                      <w:bCs/>
                      <w:color w:val="000000"/>
                      <w:szCs w:val="21"/>
                    </w:rPr>
                  </w:pPr>
                  <w:r>
                    <w:rPr>
                      <w:bCs/>
                      <w:color w:val="000000"/>
                      <w:szCs w:val="21"/>
                    </w:rPr>
                    <w:t>5、严格落实水资源双控制度，控制高耗水产业发展和高耗水项目建设，加强固定资产投资项目节水审查，严格建设项目水资源论证审查把关。</w:t>
                  </w:r>
                </w:p>
                <w:p>
                  <w:pPr>
                    <w:adjustRightInd w:val="0"/>
                    <w:snapToGrid w:val="0"/>
                    <w:rPr>
                      <w:bCs/>
                      <w:color w:val="000000"/>
                      <w:szCs w:val="21"/>
                    </w:rPr>
                  </w:pPr>
                  <w:r>
                    <w:rPr>
                      <w:bCs/>
                      <w:color w:val="000000"/>
                      <w:szCs w:val="21"/>
                    </w:rPr>
                    <w:t>6、碳素、印染、铅蓄电池、皮革鞣制、电镀、废弃电器电子产品集中处理等行业及其他涉及重金属的新上项目原则上应进入国务院和省级政府批准设立的经济开发区、高新技术开发区等开发区。其他新建污染较重的建设项目原则上只能在国务院和省级政府批准设立的经济开发区、高新技术开发区等开发区（包括其相邻管理区域）建设，一般不得在乡镇工业园区或工业集中区建设，具体包括：制浆纸浆、溶解浆、纤维浆等制造；化纤（除单纯纺丝外）；人造革、发泡胶等塑料制品制造；羊绒及羊毛清洗；大豆蛋白；玉米淀粉、味精、柠檬酸、赖氨酸制造；有提炼工艺的中成药制造、中药饮片加工；太阳能电池片；含钝化工艺的热镀锌；专业实验室（DA003、DA004生物安全实验室；转基因实验室）；含医药、化工类等专业中试内容的研发基地；防水建筑材料制造等。</w:t>
                  </w:r>
                </w:p>
                <w:p>
                  <w:pPr>
                    <w:adjustRightInd w:val="0"/>
                    <w:snapToGrid w:val="0"/>
                    <w:spacing w:after="0"/>
                    <w:rPr>
                      <w:bCs/>
                      <w:color w:val="000000"/>
                      <w:szCs w:val="21"/>
                    </w:rPr>
                  </w:pPr>
                </w:p>
              </w:tc>
              <w:tc>
                <w:tcPr>
                  <w:tcW w:w="1010" w:type="dxa"/>
                  <w:vAlign w:val="center"/>
                </w:tcPr>
                <w:p>
                  <w:pPr>
                    <w:adjustRightInd w:val="0"/>
                    <w:snapToGrid w:val="0"/>
                    <w:spacing w:line="300" w:lineRule="exact"/>
                    <w:rPr>
                      <w:bCs/>
                      <w:color w:val="000000"/>
                      <w:szCs w:val="21"/>
                    </w:rPr>
                  </w:pPr>
                  <w:r>
                    <w:rPr>
                      <w:bCs/>
                      <w:color w:val="000000"/>
                      <w:szCs w:val="21"/>
                    </w:rPr>
                    <w:t>项目不</w:t>
                  </w:r>
                  <w:r>
                    <w:rPr>
                      <w:rFonts w:hint="eastAsia"/>
                      <w:bCs/>
                      <w:color w:val="000000"/>
                      <w:szCs w:val="21"/>
                    </w:rPr>
                    <w:t>属于</w:t>
                  </w:r>
                  <w:r>
                    <w:rPr>
                      <w:bCs/>
                      <w:color w:val="000000"/>
                      <w:szCs w:val="21"/>
                    </w:rPr>
                    <w:t>限制开发</w:t>
                  </w:r>
                  <w:r>
                    <w:rPr>
                      <w:rFonts w:hint="eastAsia"/>
                      <w:bCs/>
                      <w:color w:val="000000"/>
                      <w:szCs w:val="21"/>
                    </w:rPr>
                    <w:t>的工业项目</w:t>
                  </w:r>
                  <w:r>
                    <w:rPr>
                      <w:bCs/>
                      <w:color w:val="000000"/>
                      <w:szCs w:val="21"/>
                    </w:rPr>
                    <w:t>，符合要求</w:t>
                  </w:r>
                  <w:r>
                    <w:rPr>
                      <w:rFonts w:hint="eastAsia"/>
                      <w:bCs/>
                      <w:color w:val="000000"/>
                      <w:szCs w:val="21"/>
                    </w:rPr>
                    <w:t>。</w:t>
                  </w:r>
                </w:p>
              </w:tc>
            </w:tr>
          </w:tbl>
          <w:p/>
        </w:tc>
      </w:tr>
    </w:tbl>
    <w:p>
      <w:pPr>
        <w:sectPr>
          <w:footerReference w:type="default" r:id="rId13"/>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8"/>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3675"/>
                <w:jc w:val="center"/>
              </w:trPr>
              <w:tc>
                <w:tcPr>
                  <w:tcW w:w="724" w:type="dxa"/>
                  <w:vMerge w:val="restart"/>
                  <w:vAlign w:val="center"/>
                </w:tcPr>
                <w:p/>
              </w:tc>
              <w:tc>
                <w:tcPr>
                  <w:tcW w:w="429" w:type="dxa"/>
                  <w:vMerge w:val="restart"/>
                  <w:vAlign w:val="center"/>
                </w:tcPr>
                <w:p/>
              </w:tc>
              <w:tc>
                <w:tcPr>
                  <w:tcW w:w="5741" w:type="dxa"/>
                  <w:vMerge w:val="restart"/>
                  <w:vAlign w:val="center"/>
                </w:tcPr>
                <w:p>
                  <w:pPr>
                    <w:adjustRightInd w:val="0"/>
                    <w:snapToGrid w:val="0"/>
                    <w:spacing w:before="0"/>
                    <w:rPr>
                      <w:bCs/>
                      <w:color w:val="000000"/>
                      <w:szCs w:val="21"/>
                    </w:rPr>
                  </w:pPr>
                  <w:r>
                    <w:rPr>
                      <w:bCs/>
                      <w:color w:val="000000"/>
                      <w:szCs w:val="21"/>
                    </w:rPr>
                    <w:t>7、新（改、扩）建耗煤项目执行《山东省耗煤项目煤炭消费减量替代管理办法》中相关规定，须取得投资主管部门核定同意的煤炭消费减量替代方案，其中，新上燃煤发电项目须取得市级及以上煤炭消费总量控制部门出具的审查意见；全市区域内禁止燃烧煤矸石等高硫燃料；高污染燃料禁燃区内禁止建设燃烧高污染燃料的工业锅炉（集中供热除外）；经济开发区、工业园区、高新区等集中供热、供汽管网覆盖范围内，禁止新建、改建、扩建燃煤锅炉；全市禁止新上35t/h以下燃煤锅炉。</w:t>
                  </w:r>
                </w:p>
                <w:p>
                  <w:pPr>
                    <w:adjustRightInd w:val="0"/>
                    <w:snapToGrid w:val="0"/>
                    <w:rPr>
                      <w:bCs/>
                      <w:color w:val="000000"/>
                      <w:szCs w:val="21"/>
                    </w:rPr>
                  </w:pPr>
                  <w:r>
                    <w:rPr>
                      <w:bCs/>
                      <w:color w:val="000000"/>
                      <w:szCs w:val="21"/>
                    </w:rPr>
                    <w:t>8、新建涉高VOCs排放的建设项目，即石化、化工、包装印刷、工业涂装等重点行业及其他工业行业VOCs排放量大、排放强度高的新建项目应进入园区。严格涉VOCs建设项目环境影响评价，新（改、扩）建涉VOCs排放项目，应从源头加强控制，使用低（无）VOCs含量的原辅材料，加强废气收集，安装高效治理设施。</w:t>
                  </w:r>
                </w:p>
                <w:p>
                  <w:pPr>
                    <w:adjustRightInd w:val="0"/>
                    <w:snapToGrid w:val="0"/>
                    <w:rPr>
                      <w:bCs/>
                      <w:color w:val="000000"/>
                      <w:szCs w:val="21"/>
                    </w:rPr>
                  </w:pPr>
                  <w:r>
                    <w:rPr>
                      <w:bCs/>
                      <w:color w:val="000000"/>
                      <w:szCs w:val="21"/>
                    </w:rPr>
                    <w:t>9、新、改、扩建有色金属冶炼（铜冶炼、金冶炼、铅锌冶炼等）、铅蓄电池制造、皮革鞣制加工、金属表面处理（电镀）、化学原料和化学品制造（聚氯乙烯）等涉重金属重点行业建设项目（不包括电子及新材料工业项目以及不列入重金属总量管理的生活垃圾及危废焚烧项目），实施重金属排放量“等量置换”或“减量置换”，涉重金属重点行业企业落实减排措施和工程削减的重金属污染物排放量，经监测并可核实的，可作为涉重金属行业新、改、扩建企业重金属污染物排放总量的来源。无明确具体总量来源的，不得批准相关环境影响评价文件。禁止在土壤重金属质量超标区域、群众反映强烈的重金属污染区域、土壤污染防治目标责任书有关重金属减排任务考核不合格区域建设增加重金属污染物排放的项目。</w:t>
                  </w:r>
                </w:p>
                <w:p>
                  <w:pPr>
                    <w:adjustRightInd w:val="0"/>
                    <w:snapToGrid w:val="0"/>
                    <w:rPr>
                      <w:bCs/>
                      <w:color w:val="000000"/>
                      <w:szCs w:val="21"/>
                    </w:rPr>
                  </w:pPr>
                  <w:r>
                    <w:rPr>
                      <w:bCs/>
                      <w:color w:val="000000"/>
                      <w:szCs w:val="21"/>
                    </w:rPr>
                    <w:t>10、禁止企业独自新建燃料类煤气发生炉，集中使用煤气发生炉、暂不具备改用天然气条件的工业园区应建设统一的清洁煤制气中心。</w:t>
                  </w:r>
                </w:p>
                <w:p>
                  <w:pPr>
                    <w:adjustRightInd w:val="0"/>
                    <w:snapToGrid w:val="0"/>
                    <w:rPr>
                      <w:bCs/>
                      <w:color w:val="000000"/>
                      <w:szCs w:val="21"/>
                    </w:rPr>
                  </w:pPr>
                  <w:r>
                    <w:rPr>
                      <w:bCs/>
                      <w:color w:val="000000"/>
                      <w:szCs w:val="21"/>
                    </w:rPr>
                    <w:t>11、控制碳排放总量，严格控制‘两高’项目建设，高耗能、高排放建设项目应满足《山东省高耗能高排放建设项目碳排放减量替代办法（试行）》要求。开展二氧化碳排放达峰行动，深入推进产业绿色低碳发展，构建清洁低碳安全高效能源体系，深化工业领域绿色低碳转型，推动建筑领域绿色低碳建设，推进低碳交通运输体系构建。</w:t>
                  </w:r>
                </w:p>
                <w:p>
                  <w:pPr>
                    <w:adjustRightInd w:val="0"/>
                    <w:snapToGrid w:val="0"/>
                    <w:rPr>
                      <w:bCs/>
                      <w:color w:val="000000"/>
                      <w:szCs w:val="21"/>
                    </w:rPr>
                  </w:pPr>
                  <w:r>
                    <w:rPr>
                      <w:bCs/>
                      <w:color w:val="000000"/>
                      <w:szCs w:val="21"/>
                    </w:rPr>
                    <w:t>12、符合城市规划要求的乡镇及街道应设立工业园区或工业集中区，新建工业项目应进入工业园区或工业集中区，现有工业企业应逐步向工业园区或工业集中区搬迁。</w:t>
                  </w:r>
                </w:p>
              </w:tc>
              <w:tc>
                <w:tcPr>
                  <w:tcW w:w="1010" w:type="dxa"/>
                  <w:vAlign w:val="center"/>
                </w:tcPr>
                <w:p/>
              </w:tc>
            </w:tr>
            <w:tr>
              <w:tblPrEx>
                <w:tblW w:w="7904" w:type="dxa"/>
                <w:jc w:val="center"/>
                <w:tblLayout w:type="fixed"/>
                <w:tblCellMar>
                  <w:top w:w="0" w:type="dxa"/>
                  <w:left w:w="108" w:type="dxa"/>
                  <w:bottom w:w="0" w:type="dxa"/>
                  <w:right w:w="108" w:type="dxa"/>
                </w:tblCellMar>
              </w:tblPrEx>
              <w:trPr>
                <w:trHeight w:val="925"/>
                <w:jc w:val="center"/>
              </w:trPr>
              <w:tc>
                <w:tcPr>
                  <w:tcW w:w="724" w:type="dxa"/>
                  <w:vMerge/>
                  <w:vAlign w:val="center"/>
                </w:tcPr>
                <w:p>
                  <w:pPr>
                    <w:adjustRightInd w:val="0"/>
                    <w:snapToGrid w:val="0"/>
                    <w:spacing w:line="300" w:lineRule="exact"/>
                    <w:rPr>
                      <w:bCs/>
                      <w:color w:val="000000"/>
                      <w:szCs w:val="21"/>
                    </w:rPr>
                  </w:pPr>
                </w:p>
              </w:tc>
              <w:tc>
                <w:tcPr>
                  <w:tcW w:w="429" w:type="dxa"/>
                  <w:vMerge/>
                  <w:vAlign w:val="center"/>
                </w:tcPr>
                <w:p>
                  <w:pPr>
                    <w:adjustRightInd w:val="0"/>
                    <w:snapToGrid w:val="0"/>
                    <w:spacing w:line="300" w:lineRule="exact"/>
                    <w:rPr>
                      <w:bCs/>
                      <w:color w:val="000000"/>
                      <w:szCs w:val="21"/>
                    </w:rPr>
                  </w:pPr>
                </w:p>
              </w:tc>
              <w:tc>
                <w:tcPr>
                  <w:tcW w:w="5741" w:type="dxa"/>
                  <w:vMerge/>
                  <w:vAlign w:val="center"/>
                </w:tcPr>
                <w:p>
                  <w:pPr>
                    <w:adjustRightInd w:val="0"/>
                    <w:snapToGrid w:val="0"/>
                    <w:spacing w:line="300" w:lineRule="exact"/>
                    <w:rPr>
                      <w:bCs/>
                      <w:color w:val="000000"/>
                      <w:szCs w:val="21"/>
                    </w:rPr>
                  </w:pPr>
                </w:p>
              </w:tc>
              <w:tc>
                <w:tcPr>
                  <w:tcW w:w="1010" w:type="dxa"/>
                  <w:vAlign w:val="center"/>
                </w:tcPr>
                <w:p>
                  <w:pPr>
                    <w:adjustRightInd w:val="0"/>
                    <w:snapToGrid w:val="0"/>
                    <w:spacing w:line="300" w:lineRule="exact"/>
                    <w:rPr>
                      <w:bCs/>
                      <w:color w:val="000000"/>
                      <w:szCs w:val="21"/>
                    </w:rPr>
                  </w:pPr>
                  <w:r>
                    <w:rPr>
                      <w:bCs/>
                      <w:color w:val="000000"/>
                      <w:szCs w:val="21"/>
                    </w:rPr>
                    <w:t>项目不</w:t>
                  </w:r>
                  <w:r>
                    <w:rPr>
                      <w:rFonts w:hint="eastAsia"/>
                      <w:bCs/>
                      <w:color w:val="000000"/>
                      <w:szCs w:val="21"/>
                    </w:rPr>
                    <w:t>属于</w:t>
                  </w:r>
                  <w:r>
                    <w:rPr>
                      <w:bCs/>
                      <w:color w:val="000000"/>
                      <w:szCs w:val="21"/>
                    </w:rPr>
                    <w:t>限制开发</w:t>
                  </w:r>
                  <w:r>
                    <w:rPr>
                      <w:rFonts w:hint="eastAsia"/>
                      <w:bCs/>
                      <w:color w:val="000000"/>
                      <w:szCs w:val="21"/>
                    </w:rPr>
                    <w:t>的工业项目</w:t>
                  </w:r>
                  <w:r>
                    <w:rPr>
                      <w:bCs/>
                      <w:color w:val="000000"/>
                      <w:szCs w:val="21"/>
                    </w:rPr>
                    <w:t>，符合要求</w:t>
                  </w:r>
                  <w:r>
                    <w:rPr>
                      <w:rFonts w:hint="eastAsia"/>
                      <w:bCs/>
                      <w:color w:val="000000"/>
                      <w:szCs w:val="21"/>
                    </w:rPr>
                    <w:t>。</w:t>
                  </w:r>
                </w:p>
              </w:tc>
            </w:tr>
          </w:tbl>
          <w:p/>
        </w:tc>
      </w:tr>
    </w:tbl>
    <w:p>
      <w:pPr>
        <w:sectPr>
          <w:footerReference w:type="default" r:id="rId14"/>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9"/>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550"/>
                <w:jc w:val="center"/>
              </w:trPr>
              <w:tc>
                <w:tcPr>
                  <w:tcW w:w="724" w:type="dxa"/>
                  <w:vMerge w:val="restart"/>
                  <w:vAlign w:val="center"/>
                </w:tcPr>
                <w:p>
                  <w:pPr>
                    <w:adjustRightInd w:val="0"/>
                    <w:snapToGrid w:val="0"/>
                    <w:spacing w:line="300" w:lineRule="exact"/>
                    <w:rPr>
                      <w:color w:val="000000"/>
                    </w:rPr>
                  </w:pPr>
                </w:p>
              </w:tc>
              <w:tc>
                <w:tcPr>
                  <w:tcW w:w="429" w:type="dxa"/>
                  <w:vMerge w:val="restart"/>
                  <w:vAlign w:val="center"/>
                </w:tcPr>
                <w:p>
                  <w:pPr>
                    <w:adjustRightInd w:val="0"/>
                    <w:snapToGrid w:val="0"/>
                    <w:spacing w:line="300" w:lineRule="exact"/>
                    <w:jc w:val="center"/>
                    <w:rPr>
                      <w:bCs/>
                      <w:color w:val="000000"/>
                      <w:szCs w:val="21"/>
                    </w:rPr>
                  </w:pPr>
                  <w:r>
                    <w:rPr>
                      <w:bCs/>
                      <w:color w:val="000000"/>
                      <w:szCs w:val="21"/>
                    </w:rPr>
                    <w:t>不符合空间布局要求活动的退出要求</w:t>
                  </w:r>
                </w:p>
              </w:tc>
              <w:tc>
                <w:tcPr>
                  <w:tcW w:w="5741" w:type="dxa"/>
                  <w:vMerge w:val="restart"/>
                  <w:vAlign w:val="center"/>
                </w:tcPr>
                <w:p>
                  <w:pPr>
                    <w:adjustRightInd w:val="0"/>
                    <w:snapToGrid w:val="0"/>
                    <w:rPr>
                      <w:color w:val="000000"/>
                    </w:rPr>
                  </w:pPr>
                  <w:r>
                    <w:rPr>
                      <w:rFonts w:hint="eastAsia"/>
                      <w:color w:val="000000"/>
                    </w:rPr>
                    <w:t>逐步调整退出（退出地方、退出产能）：</w:t>
                  </w:r>
                </w:p>
                <w:p>
                  <w:pPr>
                    <w:adjustRightInd w:val="0"/>
                    <w:snapToGrid w:val="0"/>
                    <w:rPr>
                      <w:color w:val="000000"/>
                    </w:rPr>
                  </w:pPr>
                  <w:r>
                    <w:rPr>
                      <w:rFonts w:hint="eastAsia"/>
                      <w:color w:val="000000"/>
                    </w:rPr>
                    <w:t>1、位于生态红线区域、饮用水水源保护区、风景名胜区、南水北调工程核心保护区及重点保护区等敏感区域，不符合区域定位和相关规定的企业，通过搬迁入园、限期整改等措施进行整顿，逾期整改不到位的企业予以关闭退出。</w:t>
                  </w:r>
                </w:p>
                <w:p>
                  <w:pPr>
                    <w:adjustRightInd w:val="0"/>
                    <w:snapToGrid w:val="0"/>
                    <w:rPr>
                      <w:color w:val="000000"/>
                    </w:rPr>
                  </w:pPr>
                  <w:r>
                    <w:rPr>
                      <w:rFonts w:hint="eastAsia"/>
                      <w:color w:val="000000"/>
                    </w:rPr>
                    <w:t>2、未按规定进入省政府公布的化工园区、专业化工园区，也未列入重点监控点，经山东省化工生产企业评级评价结果为“差”的化工企业，限期整改，逾期整改不到位的企业予以关闭退出。不在化工园区、专业化工园区、重点监控点区域的重点化工项目，不符合安全和卫生防护距离要求的，必须搬迁入园。</w:t>
                  </w:r>
                </w:p>
                <w:p>
                  <w:pPr>
                    <w:adjustRightInd w:val="0"/>
                    <w:snapToGrid w:val="0"/>
                    <w:rPr>
                      <w:color w:val="000000"/>
                    </w:rPr>
                  </w:pPr>
                  <w:r>
                    <w:rPr>
                      <w:rFonts w:hint="eastAsia"/>
                      <w:color w:val="000000"/>
                    </w:rPr>
                    <w:t>3、对无项目核准备案、建设用地、规划、环评、安评等法定手续的企业，由有关部门依法限期整改，逾期未整改的予以关闭退出。</w:t>
                  </w:r>
                </w:p>
                <w:p>
                  <w:pPr>
                    <w:adjustRightInd w:val="0"/>
                    <w:snapToGrid w:val="0"/>
                    <w:rPr>
                      <w:color w:val="000000"/>
                    </w:rPr>
                  </w:pPr>
                  <w:r>
                    <w:rPr>
                      <w:rFonts w:hint="eastAsia"/>
                      <w:color w:val="000000"/>
                    </w:rPr>
                    <w:t>4、城市建成区内及主要人口密集区周边石化、钢铁、火电、水泥、危险废物经营处置等重污染企业应搬迁。2025年，城镇人口密集区现有不符合安全和卫生防护距离要求的危险化学品生产企业就地改造达标、搬迁进入规范化工园区或关闭退出。</w:t>
                  </w:r>
                </w:p>
                <w:p>
                  <w:pPr>
                    <w:adjustRightInd w:val="0"/>
                    <w:snapToGrid w:val="0"/>
                    <w:rPr>
                      <w:color w:val="000000"/>
                    </w:rPr>
                  </w:pPr>
                  <w:r>
                    <w:rPr>
                      <w:rFonts w:hint="eastAsia"/>
                      <w:color w:val="000000"/>
                    </w:rPr>
                    <w:t>5、淘汰《产业结构调整指导目录》中淘汰类工艺、技术、装备及产品。</w:t>
                  </w:r>
                </w:p>
                <w:p>
                  <w:pPr>
                    <w:adjustRightInd w:val="0"/>
                    <w:snapToGrid w:val="0"/>
                    <w:rPr>
                      <w:color w:val="000000"/>
                    </w:rPr>
                  </w:pPr>
                  <w:r>
                    <w:rPr>
                      <w:rFonts w:hint="eastAsia"/>
                      <w:color w:val="000000"/>
                    </w:rPr>
                    <w:t>6、落实《关于进一步加强危险化学品安全生产管理工作的若干意见》，关闭不具备安全生产条件企业。</w:t>
                  </w:r>
                </w:p>
                <w:p>
                  <w:pPr>
                    <w:adjustRightInd w:val="0"/>
                    <w:snapToGrid w:val="0"/>
                    <w:rPr>
                      <w:color w:val="000000"/>
                    </w:rPr>
                  </w:pPr>
                  <w:r>
                    <w:rPr>
                      <w:rFonts w:hint="eastAsia"/>
                      <w:color w:val="000000"/>
                    </w:rPr>
                    <w:t>7、淘汰不达标工业炉窑，逐步取缔燃煤热风炉，淘汰热电联产供热管网覆盖范围内的燃煤加热、烘干炉（窑）；淘汰炉膛直径3米（不含）以下燃料类煤气发生炉；对热效率低下、敞开未封闭，装备简易落后、自动化程度低，无组织排放突出，以及无治理设施或治理设施工艺落后等严重污染环境的工业炉窑，责令停业关闭。</w:t>
                  </w:r>
                </w:p>
                <w:p>
                  <w:pPr>
                    <w:adjustRightInd w:val="0"/>
                    <w:snapToGrid w:val="0"/>
                    <w:rPr>
                      <w:color w:val="000000"/>
                    </w:rPr>
                  </w:pPr>
                  <w:r>
                    <w:rPr>
                      <w:rFonts w:hint="eastAsia"/>
                      <w:color w:val="000000"/>
                    </w:rPr>
                    <w:t>8、优化燃煤机组发电组合，提升高效大容量机组发电利用率，减少低效机组运行时间。逐步推进现役燃煤发电机组改造，加大落后机组淘汰力度，除所在地区唯一、不可替代民生热源机组外，逐步关停单机容量30万千瓦以下燃煤机组及配套锅炉。</w:t>
                  </w:r>
                </w:p>
                <w:p>
                  <w:pPr>
                    <w:adjustRightInd w:val="0"/>
                    <w:snapToGrid w:val="0"/>
                    <w:rPr>
                      <w:color w:val="000000"/>
                    </w:rPr>
                  </w:pPr>
                  <w:r>
                    <w:rPr>
                      <w:rFonts w:hint="eastAsia"/>
                      <w:color w:val="000000"/>
                    </w:rPr>
                    <w:t>9、加强监管工业用地控制线范围以外区域已建排放重金属污染物的项目，逐步实施搬迁、转产、转型。</w:t>
                  </w:r>
                </w:p>
                <w:p>
                  <w:pPr>
                    <w:adjustRightInd w:val="0"/>
                    <w:snapToGrid w:val="0"/>
                    <w:rPr>
                      <w:bCs/>
                      <w:color w:val="000000"/>
                      <w:szCs w:val="21"/>
                    </w:rPr>
                  </w:pPr>
                  <w:r>
                    <w:rPr>
                      <w:rFonts w:hint="eastAsia"/>
                      <w:color w:val="000000"/>
                    </w:rPr>
                    <w:t>10、2022年年底，阳煤平原化工完成产业升级搬迁改造一期建设项目，2025年底前完成二期建设项目，淘汰现有100万吨落后工艺的氨醇装置。</w:t>
                  </w:r>
                </w:p>
              </w:tc>
              <w:tc>
                <w:tcPr>
                  <w:tcW w:w="1010" w:type="dxa"/>
                  <w:vAlign w:val="center"/>
                </w:tcPr>
                <w:p>
                  <w:pPr>
                    <w:adjustRightInd w:val="0"/>
                    <w:snapToGrid w:val="0"/>
                    <w:spacing w:line="300" w:lineRule="exact"/>
                    <w:rPr>
                      <w:bCs/>
                      <w:color w:val="000000"/>
                      <w:szCs w:val="21"/>
                    </w:rPr>
                  </w:pPr>
                  <w:r>
                    <w:rPr>
                      <w:bCs/>
                      <w:color w:val="000000"/>
                      <w:szCs w:val="21"/>
                    </w:rPr>
                    <w:t>项目不属于逐步调整退出</w:t>
                  </w:r>
                  <w:r>
                    <w:rPr>
                      <w:rFonts w:hint="eastAsia"/>
                      <w:bCs/>
                      <w:color w:val="000000"/>
                      <w:szCs w:val="21"/>
                    </w:rPr>
                    <w:t>（退出</w:t>
                  </w:r>
                  <w:r>
                    <w:rPr>
                      <w:bCs/>
                      <w:color w:val="000000"/>
                      <w:szCs w:val="21"/>
                    </w:rPr>
                    <w:t>地方、退出产能</w:t>
                  </w:r>
                  <w:r>
                    <w:rPr>
                      <w:rFonts w:hint="eastAsia"/>
                      <w:bCs/>
                      <w:color w:val="000000"/>
                      <w:szCs w:val="21"/>
                    </w:rPr>
                    <w:t>）的项目</w:t>
                  </w:r>
                  <w:r>
                    <w:rPr>
                      <w:bCs/>
                      <w:color w:val="000000"/>
                      <w:szCs w:val="21"/>
                    </w:rPr>
                    <w:t>，符合要求</w:t>
                  </w:r>
                  <w:r>
                    <w:rPr>
                      <w:rFonts w:hint="eastAsia"/>
                      <w:bCs/>
                      <w:color w:val="000000"/>
                      <w:szCs w:val="21"/>
                    </w:rPr>
                    <w:t>。</w:t>
                  </w:r>
                </w:p>
              </w:tc>
            </w:tr>
            <w:tr>
              <w:tblPrEx>
                <w:tblW w:w="7904" w:type="dxa"/>
                <w:jc w:val="center"/>
                <w:tblLayout w:type="fixed"/>
                <w:tblCellMar>
                  <w:top w:w="0" w:type="dxa"/>
                  <w:left w:w="108" w:type="dxa"/>
                  <w:bottom w:w="0" w:type="dxa"/>
                  <w:right w:w="108" w:type="dxa"/>
                </w:tblCellMar>
              </w:tblPrEx>
              <w:trPr>
                <w:trHeight w:val="6870"/>
                <w:jc w:val="center"/>
              </w:trPr>
              <w:tc>
                <w:tcPr>
                  <w:tcW w:w="724" w:type="dxa"/>
                  <w:vMerge/>
                  <w:vAlign w:val="center"/>
                </w:tcPr>
                <w:p>
                  <w:pPr>
                    <w:adjustRightInd w:val="0"/>
                    <w:snapToGrid w:val="0"/>
                    <w:spacing w:line="300" w:lineRule="exact"/>
                    <w:rPr>
                      <w:bCs/>
                      <w:color w:val="000000"/>
                      <w:szCs w:val="21"/>
                    </w:rPr>
                  </w:pPr>
                </w:p>
              </w:tc>
              <w:tc>
                <w:tcPr>
                  <w:tcW w:w="429" w:type="dxa"/>
                  <w:vMerge/>
                  <w:vAlign w:val="center"/>
                </w:tcPr>
                <w:p>
                  <w:pPr>
                    <w:adjustRightInd w:val="0"/>
                    <w:snapToGrid w:val="0"/>
                    <w:spacing w:line="300" w:lineRule="exact"/>
                    <w:rPr>
                      <w:bCs/>
                      <w:color w:val="000000"/>
                      <w:szCs w:val="21"/>
                    </w:rPr>
                  </w:pPr>
                </w:p>
              </w:tc>
              <w:tc>
                <w:tcPr>
                  <w:tcW w:w="5741" w:type="dxa"/>
                  <w:vMerge/>
                  <w:vAlign w:val="center"/>
                </w:tcPr>
                <w:p>
                  <w:pPr>
                    <w:adjustRightInd w:val="0"/>
                    <w:snapToGrid w:val="0"/>
                    <w:spacing w:line="300" w:lineRule="exact"/>
                    <w:rPr>
                      <w:bCs/>
                      <w:color w:val="000000"/>
                      <w:szCs w:val="21"/>
                    </w:rPr>
                  </w:pPr>
                </w:p>
              </w:tc>
              <w:tc>
                <w:tcPr>
                  <w:tcW w:w="1010" w:type="dxa"/>
                  <w:vAlign w:val="center"/>
                </w:tcPr>
                <w:p>
                  <w:pPr>
                    <w:adjustRightInd w:val="0"/>
                    <w:snapToGrid w:val="0"/>
                    <w:spacing w:line="300" w:lineRule="exact"/>
                    <w:rPr>
                      <w:bCs/>
                      <w:color w:val="000000"/>
                      <w:szCs w:val="21"/>
                    </w:rPr>
                  </w:pPr>
                  <w:r>
                    <w:rPr>
                      <w:bCs/>
                      <w:color w:val="000000"/>
                      <w:szCs w:val="21"/>
                    </w:rPr>
                    <w:t>项目不属于逐步调整退出</w:t>
                  </w:r>
                  <w:r>
                    <w:rPr>
                      <w:rFonts w:hint="eastAsia"/>
                      <w:bCs/>
                      <w:color w:val="000000"/>
                      <w:szCs w:val="21"/>
                    </w:rPr>
                    <w:t>（退出</w:t>
                  </w:r>
                  <w:r>
                    <w:rPr>
                      <w:bCs/>
                      <w:color w:val="000000"/>
                      <w:szCs w:val="21"/>
                    </w:rPr>
                    <w:t>地方、退出产能</w:t>
                  </w:r>
                  <w:r>
                    <w:rPr>
                      <w:rFonts w:hint="eastAsia"/>
                      <w:bCs/>
                      <w:color w:val="000000"/>
                      <w:szCs w:val="21"/>
                    </w:rPr>
                    <w:t>）的项目</w:t>
                  </w:r>
                  <w:r>
                    <w:rPr>
                      <w:bCs/>
                      <w:color w:val="000000"/>
                      <w:szCs w:val="21"/>
                    </w:rPr>
                    <w:t>，符合要求</w:t>
                  </w:r>
                  <w:r>
                    <w:rPr>
                      <w:rFonts w:hint="eastAsia"/>
                      <w:bCs/>
                      <w:color w:val="000000"/>
                      <w:szCs w:val="21"/>
                    </w:rPr>
                    <w:t>。</w:t>
                  </w:r>
                </w:p>
              </w:tc>
            </w:tr>
            <w:tr>
              <w:tblPrEx>
                <w:tblW w:w="7904" w:type="dxa"/>
                <w:jc w:val="center"/>
                <w:tblLayout w:type="fixed"/>
                <w:tblCellMar>
                  <w:top w:w="0" w:type="dxa"/>
                  <w:left w:w="108" w:type="dxa"/>
                  <w:bottom w:w="0" w:type="dxa"/>
                  <w:right w:w="108" w:type="dxa"/>
                </w:tblCellMar>
              </w:tblPrEx>
              <w:trPr>
                <w:trHeight w:val="2210"/>
                <w:jc w:val="center"/>
              </w:trPr>
              <w:tc>
                <w:tcPr>
                  <w:tcW w:w="724" w:type="dxa"/>
                  <w:vAlign w:val="center"/>
                </w:tcPr>
                <w:p>
                  <w:pPr>
                    <w:adjustRightInd w:val="0"/>
                    <w:snapToGrid w:val="0"/>
                    <w:spacing w:line="300" w:lineRule="exact"/>
                    <w:jc w:val="center"/>
                    <w:rPr>
                      <w:color w:val="000000"/>
                    </w:rPr>
                  </w:pPr>
                  <w:r>
                    <w:rPr>
                      <w:rFonts w:hint="eastAsia"/>
                      <w:color w:val="000000"/>
                    </w:rPr>
                    <w:t>污染物排放管控</w:t>
                  </w:r>
                </w:p>
              </w:tc>
              <w:tc>
                <w:tcPr>
                  <w:tcW w:w="429" w:type="dxa"/>
                  <w:vAlign w:val="center"/>
                </w:tcPr>
                <w:p>
                  <w:pPr>
                    <w:adjustRightInd w:val="0"/>
                    <w:snapToGrid w:val="0"/>
                    <w:spacing w:line="300" w:lineRule="exact"/>
                    <w:jc w:val="center"/>
                    <w:rPr>
                      <w:bCs/>
                      <w:color w:val="000000"/>
                      <w:szCs w:val="21"/>
                    </w:rPr>
                  </w:pPr>
                  <w:r>
                    <w:rPr>
                      <w:bCs/>
                      <w:color w:val="000000"/>
                      <w:szCs w:val="21"/>
                    </w:rPr>
                    <w:t>允许排放量要求</w:t>
                  </w:r>
                </w:p>
              </w:tc>
              <w:tc>
                <w:tcPr>
                  <w:tcW w:w="5741" w:type="dxa"/>
                  <w:vAlign w:val="center"/>
                </w:tcPr>
                <w:p>
                  <w:pPr>
                    <w:adjustRightInd w:val="0"/>
                    <w:snapToGrid w:val="0"/>
                    <w:rPr>
                      <w:color w:val="000000"/>
                    </w:rPr>
                  </w:pPr>
                  <w:r>
                    <w:rPr>
                      <w:rFonts w:hint="eastAsia"/>
                      <w:color w:val="000000"/>
                    </w:rPr>
                    <w:t>大气污染物允许排放要求：</w:t>
                  </w:r>
                </w:p>
                <w:p>
                  <w:pPr>
                    <w:adjustRightInd w:val="0"/>
                    <w:snapToGrid w:val="0"/>
                    <w:rPr>
                      <w:color w:val="000000"/>
                    </w:rPr>
                  </w:pPr>
                  <w:r>
                    <w:rPr>
                      <w:rFonts w:hint="eastAsia"/>
                      <w:color w:val="000000"/>
                    </w:rPr>
                    <w:t>1、2025年：区域内相比2017年，SO</w:t>
                  </w:r>
                  <w:r>
                    <w:rPr>
                      <w:rFonts w:hint="eastAsia"/>
                      <w:color w:val="000000"/>
                      <w:vertAlign w:val="subscript"/>
                    </w:rPr>
                    <w:t>2</w:t>
                  </w:r>
                  <w:r>
                    <w:rPr>
                      <w:rFonts w:hint="eastAsia"/>
                      <w:color w:val="000000"/>
                    </w:rPr>
                    <w:t>削减比例不低于12.9%；NOx削减比例不低于18.7%；PM</w:t>
                  </w:r>
                  <w:r>
                    <w:rPr>
                      <w:rFonts w:hint="eastAsia"/>
                      <w:color w:val="000000"/>
                      <w:vertAlign w:val="subscript"/>
                    </w:rPr>
                    <w:t>10</w:t>
                  </w:r>
                  <w:r>
                    <w:rPr>
                      <w:rFonts w:hint="eastAsia"/>
                      <w:color w:val="000000"/>
                    </w:rPr>
                    <w:t>削减比例不低于23.6%；PM</w:t>
                  </w:r>
                  <w:r>
                    <w:rPr>
                      <w:rFonts w:hint="eastAsia"/>
                      <w:color w:val="000000"/>
                      <w:vertAlign w:val="subscript"/>
                    </w:rPr>
                    <w:t>2.5</w:t>
                  </w:r>
                  <w:r>
                    <w:rPr>
                      <w:rFonts w:hint="eastAsia"/>
                      <w:color w:val="000000"/>
                    </w:rPr>
                    <w:t>削减比例不低于15.1%；VOCs削减比例不低于18.0%；NH</w:t>
                  </w:r>
                  <w:r>
                    <w:rPr>
                      <w:rFonts w:hint="eastAsia"/>
                      <w:color w:val="000000"/>
                      <w:vertAlign w:val="subscript"/>
                    </w:rPr>
                    <w:t>3</w:t>
                  </w:r>
                  <w:r>
                    <w:rPr>
                      <w:rFonts w:hint="eastAsia"/>
                      <w:color w:val="000000"/>
                    </w:rPr>
                    <w:t>削减比例不低于10.6%。</w:t>
                  </w:r>
                </w:p>
                <w:p>
                  <w:pPr>
                    <w:adjustRightInd w:val="0"/>
                    <w:snapToGrid w:val="0"/>
                    <w:rPr>
                      <w:color w:val="000000"/>
                    </w:rPr>
                  </w:pPr>
                  <w:r>
                    <w:rPr>
                      <w:rFonts w:hint="eastAsia"/>
                      <w:color w:val="000000"/>
                    </w:rPr>
                    <w:t>2、2035年：区域内SO</w:t>
                  </w:r>
                  <w:r>
                    <w:rPr>
                      <w:rFonts w:hint="eastAsia"/>
                      <w:color w:val="000000"/>
                      <w:vertAlign w:val="subscript"/>
                    </w:rPr>
                    <w:t>2</w:t>
                  </w:r>
                  <w:r>
                    <w:rPr>
                      <w:rFonts w:hint="eastAsia"/>
                      <w:color w:val="000000"/>
                    </w:rPr>
                    <w:t>削减比例不低于26.2%；NOx削减比例不低于37.9%；PM</w:t>
                  </w:r>
                  <w:r>
                    <w:rPr>
                      <w:rFonts w:hint="eastAsia"/>
                      <w:color w:val="000000"/>
                      <w:vertAlign w:val="subscript"/>
                    </w:rPr>
                    <w:t>10</w:t>
                  </w:r>
                  <w:r>
                    <w:rPr>
                      <w:rFonts w:hint="eastAsia"/>
                      <w:color w:val="000000"/>
                    </w:rPr>
                    <w:t>削减比例不低于47.9%；PM</w:t>
                  </w:r>
                  <w:r>
                    <w:rPr>
                      <w:rFonts w:hint="eastAsia"/>
                      <w:color w:val="000000"/>
                      <w:vertAlign w:val="subscript"/>
                    </w:rPr>
                    <w:t>2.5</w:t>
                  </w:r>
                  <w:r>
                    <w:rPr>
                      <w:rFonts w:hint="eastAsia"/>
                      <w:color w:val="000000"/>
                    </w:rPr>
                    <w:t>削减比例不低于30.7%；VOCs削减比例不低于36.7%；NH</w:t>
                  </w:r>
                  <w:r>
                    <w:rPr>
                      <w:rFonts w:hint="eastAsia"/>
                      <w:color w:val="000000"/>
                      <w:vertAlign w:val="subscript"/>
                    </w:rPr>
                    <w:t>3</w:t>
                  </w:r>
                  <w:r>
                    <w:rPr>
                      <w:rFonts w:hint="eastAsia"/>
                      <w:color w:val="000000"/>
                    </w:rPr>
                    <w:t>削减比例不低于21.5%。</w:t>
                  </w:r>
                </w:p>
                <w:p>
                  <w:pPr>
                    <w:adjustRightInd w:val="0"/>
                    <w:snapToGrid w:val="0"/>
                    <w:rPr>
                      <w:color w:val="000000"/>
                    </w:rPr>
                  </w:pPr>
                  <w:r>
                    <w:rPr>
                      <w:rFonts w:hint="eastAsia"/>
                      <w:color w:val="000000"/>
                    </w:rPr>
                    <w:t>水环境污染物允许排放量要求：</w:t>
                  </w:r>
                </w:p>
                <w:p>
                  <w:pPr>
                    <w:adjustRightInd w:val="0"/>
                    <w:snapToGrid w:val="0"/>
                    <w:rPr>
                      <w:color w:val="000000"/>
                    </w:rPr>
                  </w:pPr>
                  <w:r>
                    <w:rPr>
                      <w:rFonts w:hint="eastAsia"/>
                      <w:color w:val="000000"/>
                    </w:rPr>
                    <w:t>1、2025年：区域内总氮最大允许排放量为322.99吨；总磷最大允许排放量为64.58吨。</w:t>
                  </w:r>
                </w:p>
              </w:tc>
              <w:tc>
                <w:tcPr>
                  <w:tcW w:w="1010" w:type="dxa"/>
                  <w:vAlign w:val="center"/>
                </w:tcPr>
                <w:p>
                  <w:pPr>
                    <w:adjustRightInd w:val="0"/>
                    <w:snapToGrid w:val="0"/>
                    <w:spacing w:line="300" w:lineRule="exact"/>
                    <w:rPr>
                      <w:bCs/>
                      <w:color w:val="000000"/>
                      <w:szCs w:val="21"/>
                    </w:rPr>
                  </w:pPr>
                  <w:r>
                    <w:rPr>
                      <w:bCs/>
                      <w:color w:val="000000"/>
                      <w:szCs w:val="21"/>
                    </w:rPr>
                    <w:t>项目污染物排放执行总量控制排放要求，符合要求。</w:t>
                  </w:r>
                </w:p>
              </w:tc>
            </w:tr>
          </w:tbl>
          <w:p/>
        </w:tc>
      </w:tr>
    </w:tbl>
    <w:p>
      <w:pPr>
        <w:sectPr>
          <w:footerReference w:type="default" r:id="rId15"/>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0"/>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210"/>
                <w:jc w:val="center"/>
              </w:trPr>
              <w:tc>
                <w:tcPr>
                  <w:tcW w:w="724" w:type="dxa"/>
                  <w:vMerge w:val="restart"/>
                  <w:vAlign w:val="center"/>
                </w:tcPr>
                <w:p/>
              </w:tc>
              <w:tc>
                <w:tcPr>
                  <w:tcW w:w="429" w:type="dxa"/>
                  <w:vAlign w:val="center"/>
                </w:tcPr>
                <w:p/>
              </w:tc>
              <w:tc>
                <w:tcPr>
                  <w:tcW w:w="5741" w:type="dxa"/>
                  <w:vAlign w:val="center"/>
                </w:tcPr>
                <w:p>
                  <w:pPr>
                    <w:adjustRightInd w:val="0"/>
                    <w:snapToGrid w:val="0"/>
                    <w:rPr>
                      <w:color w:val="000000"/>
                    </w:rPr>
                  </w:pPr>
                  <w:r>
                    <w:rPr>
                      <w:rFonts w:hint="eastAsia"/>
                      <w:color w:val="000000"/>
                    </w:rPr>
                    <w:t>2、2035年：区域内总氮最大允许排放量为305.41吨；总磷最大允许排放量为61.08吨。</w:t>
                  </w:r>
                </w:p>
              </w:tc>
              <w:tc>
                <w:tcPr>
                  <w:tcW w:w="1010" w:type="dxa"/>
                  <w:vAlign w:val="center"/>
                </w:tcPr>
                <w:p/>
              </w:tc>
            </w:tr>
            <w:tr>
              <w:tblPrEx>
                <w:tblW w:w="7904" w:type="dxa"/>
                <w:jc w:val="center"/>
                <w:tblLayout w:type="fixed"/>
                <w:tblCellMar>
                  <w:top w:w="0" w:type="dxa"/>
                  <w:left w:w="108" w:type="dxa"/>
                  <w:bottom w:w="0" w:type="dxa"/>
                  <w:right w:w="108" w:type="dxa"/>
                </w:tblCellMar>
              </w:tblPrEx>
              <w:trPr>
                <w:trHeight w:val="2960"/>
                <w:jc w:val="center"/>
              </w:trPr>
              <w:tc>
                <w:tcPr>
                  <w:tcW w:w="724" w:type="dxa"/>
                  <w:vMerge/>
                  <w:vAlign w:val="center"/>
                </w:tcPr>
                <w:p>
                  <w:pPr>
                    <w:adjustRightInd w:val="0"/>
                    <w:snapToGrid w:val="0"/>
                    <w:spacing w:line="300" w:lineRule="exact"/>
                    <w:rPr>
                      <w:color w:val="000000"/>
                    </w:rPr>
                  </w:pPr>
                </w:p>
              </w:tc>
              <w:tc>
                <w:tcPr>
                  <w:tcW w:w="429" w:type="dxa"/>
                  <w:vAlign w:val="center"/>
                </w:tcPr>
                <w:p>
                  <w:pPr>
                    <w:adjustRightInd w:val="0"/>
                    <w:snapToGrid w:val="0"/>
                    <w:spacing w:line="300" w:lineRule="exact"/>
                    <w:jc w:val="center"/>
                    <w:rPr>
                      <w:bCs/>
                      <w:color w:val="000000"/>
                      <w:szCs w:val="21"/>
                    </w:rPr>
                  </w:pPr>
                  <w:r>
                    <w:rPr>
                      <w:bCs/>
                      <w:color w:val="000000"/>
                      <w:szCs w:val="21"/>
                    </w:rPr>
                    <w:t>现有源提标升级改造</w:t>
                  </w:r>
                </w:p>
              </w:tc>
              <w:tc>
                <w:tcPr>
                  <w:tcW w:w="5741" w:type="dxa"/>
                  <w:vAlign w:val="center"/>
                </w:tcPr>
                <w:p>
                  <w:pPr>
                    <w:adjustRightInd w:val="0"/>
                    <w:snapToGrid w:val="0"/>
                    <w:rPr>
                      <w:color w:val="000000"/>
                    </w:rPr>
                  </w:pPr>
                  <w:r>
                    <w:rPr>
                      <w:rFonts w:hint="eastAsia"/>
                      <w:color w:val="000000"/>
                    </w:rPr>
                    <w:t>1、工业炉窑升级改造，执行《工业炉窑大气污染综合治理方案》《山东省工业炉窑大气污染综合治理实施方案》中相关规定。进行燃料清洁能源替代对，以煤、石油焦、渣油、重油等为燃料的工业炉窑，加快使用清洁低碳能源以及利用工厂余热、电厂热力等进行替代；禁止掺烧高硫石油焦（硫含量大于3%）；加快推动铸造（10吨/小时及以下）、岩棉等行业冲天炉改为电炉。</w:t>
                  </w:r>
                </w:p>
                <w:p>
                  <w:pPr>
                    <w:adjustRightInd w:val="0"/>
                    <w:snapToGrid w:val="0"/>
                    <w:spacing w:after="0"/>
                    <w:rPr>
                      <w:color w:val="000000"/>
                    </w:rPr>
                  </w:pPr>
                </w:p>
              </w:tc>
              <w:tc>
                <w:tcPr>
                  <w:tcW w:w="1010" w:type="dxa"/>
                  <w:vAlign w:val="center"/>
                </w:tcPr>
                <w:p>
                  <w:pPr>
                    <w:adjustRightInd w:val="0"/>
                    <w:snapToGrid w:val="0"/>
                    <w:spacing w:line="300" w:lineRule="exact"/>
                    <w:rPr>
                      <w:bCs/>
                      <w:color w:val="000000"/>
                      <w:szCs w:val="21"/>
                    </w:rPr>
                  </w:pPr>
                  <w:r>
                    <w:rPr>
                      <w:bCs/>
                      <w:color w:val="000000"/>
                      <w:szCs w:val="21"/>
                    </w:rPr>
                    <w:t>项目为新建项目，</w:t>
                  </w:r>
                  <w:r>
                    <w:rPr>
                      <w:rFonts w:hint="eastAsia"/>
                      <w:bCs/>
                      <w:color w:val="000000"/>
                      <w:szCs w:val="21"/>
                    </w:rPr>
                    <w:t>不涉及提标升级改造，符合要求。</w:t>
                  </w:r>
                </w:p>
              </w:tc>
            </w:tr>
          </w:tbl>
          <w:p/>
        </w:tc>
      </w:tr>
    </w:tbl>
    <w:p>
      <w:pPr>
        <w:sectPr>
          <w:footerReference w:type="default" r:id="rId16"/>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1"/>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60"/>
                <w:jc w:val="center"/>
              </w:trPr>
              <w:tc>
                <w:tcPr>
                  <w:tcW w:w="724" w:type="dxa"/>
                  <w:vMerge w:val="restart"/>
                  <w:vAlign w:val="center"/>
                </w:tcPr>
                <w:p/>
              </w:tc>
              <w:tc>
                <w:tcPr>
                  <w:tcW w:w="429" w:type="dxa"/>
                  <w:vMerge w:val="restart"/>
                  <w:vAlign w:val="center"/>
                </w:tcPr>
                <w:p/>
              </w:tc>
              <w:tc>
                <w:tcPr>
                  <w:tcW w:w="5741" w:type="dxa"/>
                  <w:vMerge w:val="restart"/>
                  <w:vAlign w:val="center"/>
                </w:tcPr>
                <w:p>
                  <w:pPr>
                    <w:adjustRightInd w:val="0"/>
                    <w:snapToGrid w:val="0"/>
                    <w:spacing w:before="0"/>
                    <w:rPr>
                      <w:color w:val="000000"/>
                    </w:rPr>
                  </w:pPr>
                  <w:r>
                    <w:rPr>
                      <w:rFonts w:hint="eastAsia"/>
                      <w:color w:val="000000"/>
                    </w:rPr>
                    <w:t>2、工业炉窑全面达标排放，加大热残极冷却过程无组织排放治理力度，建设封闭高效的烟气收集系统，实现残极冷却烟气有效处理；逐步取消平板玻璃、建筑陶瓷企业脱硫脱硝旁路或设置备用脱硫脱硝设施；鼓励水泥企业实施全流程污染深度治理。现有工业炉窑和新建工业炉窑项目除应执行《工业窑炉大气污染物排放标准》（DB37/2375-2019）外，还应按规定达到国家标准中特别排放限值。铸造行业烧结、高炉工序污染物排放控制按照钢铁行业相关标准要求执行。</w:t>
                  </w:r>
                </w:p>
                <w:p>
                  <w:pPr>
                    <w:adjustRightInd w:val="0"/>
                    <w:snapToGrid w:val="0"/>
                    <w:rPr>
                      <w:color w:val="000000"/>
                    </w:rPr>
                  </w:pPr>
                  <w:r>
                    <w:rPr>
                      <w:rFonts w:hint="eastAsia"/>
                      <w:color w:val="000000"/>
                    </w:rPr>
                    <w:t>3、钢铁行业升级改造，执行《山东省钢铁行业超低排放改造实施方案》《关于加快六大高耗能行业高质量发展的实施方案》中相关规定，推动现有（含新建和搬迁）钢铁企业超低排放改造，确保大气污染物有组织排放、无组织排放符合特别排放限值要求；钢铁冶炼流程进一步优化。</w:t>
                  </w:r>
                </w:p>
                <w:p>
                  <w:pPr>
                    <w:adjustRightInd w:val="0"/>
                    <w:snapToGrid w:val="0"/>
                    <w:rPr>
                      <w:color w:val="000000"/>
                    </w:rPr>
                  </w:pPr>
                  <w:r>
                    <w:rPr>
                      <w:rFonts w:hint="eastAsia"/>
                      <w:color w:val="000000"/>
                    </w:rPr>
                    <w:t>4、加快焦化行业、水泥行业升级改造，到2023年9月底前完成超低排放改造。</w:t>
                  </w:r>
                </w:p>
                <w:p>
                  <w:pPr>
                    <w:adjustRightInd w:val="0"/>
                    <w:snapToGrid w:val="0"/>
                    <w:rPr>
                      <w:color w:val="000000"/>
                    </w:rPr>
                  </w:pPr>
                  <w:r>
                    <w:rPr>
                      <w:rFonts w:hint="eastAsia"/>
                      <w:color w:val="000000"/>
                    </w:rPr>
                    <w:t>5、化工行业升级改造，执行《关于加快六大高耗能行业高质量发展的实施方案》中相关规定，合成氨和尿素产能控制在现有水平，洁净煤气化占合成氨总产能的比重提高到90%左右，固定床气化炉淘汰率达到90%以上，尿素生产企业固定床气化炉全部予以淘汰，氮肥行业基本实现第三代洁净煤气化，煤气化制氨和精细化学品工艺达到国际先进水平；废气排放总量减少50%；到2022年，氯碱行业电解单元吨碱能耗强度由360千克标准煤下降到325千克标准煤，对能耗达不到标准的电解槽予以淘汰，确保行业能耗总量减少10%左右；液氯就地消化率提高到85%以上，显著降低液氯道路运输安全风险；烧碱电解装备技术达到世界先进水平，膜极距改造率达到100%。</w:t>
                  </w:r>
                </w:p>
                <w:p>
                  <w:pPr>
                    <w:adjustRightInd w:val="0"/>
                    <w:snapToGrid w:val="0"/>
                    <w:rPr>
                      <w:color w:val="000000"/>
                    </w:rPr>
                  </w:pPr>
                  <w:r>
                    <w:rPr>
                      <w:rFonts w:hint="eastAsia"/>
                      <w:color w:val="000000"/>
                    </w:rPr>
                    <w:t>6、涉挥发性有机物行业升级改造，执行《山东省涉挥发性有机物企业分行业治理指导意见》等相关规定，石化、化工、工业涂装、包装印刷等重点行业推行源头替代、加强过程控制和末端治理，新、改、扩建工业涂装、包装印刷等含VOCs原辅材料使用的项目，原则上使用低（无）VOCs含量产品。现有高VOCs含量产品生产企业要加快产品升级转型，提高水性、高固体分、无溶剂、粉末等低VOCs含量产品的比重。加大重点行业低VOCs含量原辅材料的源头替代力度。加强挥发性有机物（VOCs）废气收集与治理，建设有效的废气收集系统和VOCs处理设施，所有涉VOCs排放企业应全面执行《挥发性有机物无组织排放控制标准》（GB37822-2019），重点排放源确保VOCs处理效率均达到80%以上，确保VOCs达标排放。</w:t>
                  </w:r>
                </w:p>
                <w:p>
                  <w:pPr>
                    <w:adjustRightInd w:val="0"/>
                    <w:snapToGrid w:val="0"/>
                    <w:rPr>
                      <w:color w:val="000000"/>
                    </w:rPr>
                  </w:pPr>
                  <w:r>
                    <w:rPr>
                      <w:rFonts w:hint="eastAsia"/>
                      <w:color w:val="000000"/>
                    </w:rPr>
                    <w:t>7、涉重金属重点行业企业升级改造，执行《土壤污染防治计划》、《关于加强涉重金属行业污染防控的意见》《山东省土壤污染防治工作方案》中相关规定，推进化工、焦化、电镀、制革、铅蓄电池制造、聚氯乙烯（电石法工艺使用含汞催化剂）等涉重金属重点行业实施清洁生产技术改造。</w:t>
                  </w:r>
                </w:p>
              </w:tc>
              <w:tc>
                <w:tcPr>
                  <w:tcW w:w="1010" w:type="dxa"/>
                  <w:vAlign w:val="center"/>
                </w:tcPr>
                <w:p/>
              </w:tc>
            </w:tr>
            <w:tr>
              <w:tblPrEx>
                <w:tblW w:w="7904" w:type="dxa"/>
                <w:jc w:val="center"/>
                <w:tblLayout w:type="fixed"/>
                <w:tblCellMar>
                  <w:top w:w="0" w:type="dxa"/>
                  <w:left w:w="108" w:type="dxa"/>
                  <w:bottom w:w="0" w:type="dxa"/>
                  <w:right w:w="108" w:type="dxa"/>
                </w:tblCellMar>
              </w:tblPrEx>
              <w:trPr>
                <w:trHeight w:val="11228"/>
                <w:jc w:val="center"/>
              </w:trPr>
              <w:tc>
                <w:tcPr>
                  <w:tcW w:w="724" w:type="dxa"/>
                  <w:vMerge/>
                  <w:vAlign w:val="center"/>
                </w:tcPr>
                <w:p>
                  <w:pPr>
                    <w:adjustRightInd w:val="0"/>
                    <w:snapToGrid w:val="0"/>
                    <w:spacing w:line="300" w:lineRule="exact"/>
                    <w:rPr>
                      <w:bCs/>
                      <w:color w:val="000000"/>
                      <w:szCs w:val="21"/>
                    </w:rPr>
                  </w:pPr>
                </w:p>
              </w:tc>
              <w:tc>
                <w:tcPr>
                  <w:tcW w:w="429" w:type="dxa"/>
                  <w:vMerge/>
                  <w:vAlign w:val="center"/>
                </w:tcPr>
                <w:p>
                  <w:pPr>
                    <w:adjustRightInd w:val="0"/>
                    <w:snapToGrid w:val="0"/>
                    <w:spacing w:line="300" w:lineRule="exact"/>
                    <w:rPr>
                      <w:bCs/>
                      <w:color w:val="000000"/>
                      <w:szCs w:val="21"/>
                    </w:rPr>
                  </w:pPr>
                </w:p>
              </w:tc>
              <w:tc>
                <w:tcPr>
                  <w:tcW w:w="5741" w:type="dxa"/>
                  <w:vMerge/>
                  <w:vAlign w:val="center"/>
                </w:tcPr>
                <w:p>
                  <w:pPr>
                    <w:adjustRightInd w:val="0"/>
                    <w:snapToGrid w:val="0"/>
                    <w:spacing w:line="300" w:lineRule="exact"/>
                    <w:rPr>
                      <w:bCs/>
                      <w:color w:val="000000"/>
                      <w:szCs w:val="21"/>
                    </w:rPr>
                  </w:pPr>
                </w:p>
              </w:tc>
              <w:tc>
                <w:tcPr>
                  <w:tcW w:w="1010" w:type="dxa"/>
                  <w:vAlign w:val="center"/>
                </w:tcPr>
                <w:p>
                  <w:pPr>
                    <w:adjustRightInd w:val="0"/>
                    <w:snapToGrid w:val="0"/>
                    <w:spacing w:line="300" w:lineRule="exact"/>
                    <w:rPr>
                      <w:bCs/>
                      <w:color w:val="000000"/>
                      <w:szCs w:val="21"/>
                    </w:rPr>
                  </w:pPr>
                  <w:r>
                    <w:rPr>
                      <w:bCs/>
                      <w:color w:val="000000"/>
                      <w:szCs w:val="21"/>
                    </w:rPr>
                    <w:t>项目为新建项目，</w:t>
                  </w:r>
                  <w:r>
                    <w:rPr>
                      <w:rFonts w:hint="eastAsia"/>
                      <w:bCs/>
                      <w:color w:val="000000"/>
                      <w:szCs w:val="21"/>
                    </w:rPr>
                    <w:t>不涉及提标升级改造，符合要求。</w:t>
                  </w:r>
                </w:p>
              </w:tc>
            </w:tr>
            <w:tr>
              <w:tblPrEx>
                <w:tblW w:w="7904" w:type="dxa"/>
                <w:jc w:val="center"/>
                <w:tblLayout w:type="fixed"/>
                <w:tblCellMar>
                  <w:top w:w="0" w:type="dxa"/>
                  <w:left w:w="108" w:type="dxa"/>
                  <w:bottom w:w="0" w:type="dxa"/>
                  <w:right w:w="108" w:type="dxa"/>
                </w:tblCellMar>
              </w:tblPrEx>
              <w:trPr>
                <w:trHeight w:val="2210"/>
                <w:jc w:val="center"/>
              </w:trPr>
              <w:tc>
                <w:tcPr>
                  <w:tcW w:w="724" w:type="dxa"/>
                  <w:vAlign w:val="center"/>
                </w:tcPr>
                <w:p>
                  <w:pPr>
                    <w:adjustRightInd w:val="0"/>
                    <w:snapToGrid w:val="0"/>
                    <w:spacing w:line="300" w:lineRule="exact"/>
                    <w:jc w:val="center"/>
                    <w:rPr>
                      <w:color w:val="000000"/>
                    </w:rPr>
                  </w:pPr>
                  <w:r>
                    <w:rPr>
                      <w:rFonts w:hint="eastAsia"/>
                      <w:color w:val="000000"/>
                    </w:rPr>
                    <w:t>环境风险控制</w:t>
                  </w:r>
                </w:p>
              </w:tc>
              <w:tc>
                <w:tcPr>
                  <w:tcW w:w="429" w:type="dxa"/>
                  <w:vAlign w:val="center"/>
                </w:tcPr>
                <w:p>
                  <w:pPr>
                    <w:adjustRightInd w:val="0"/>
                    <w:snapToGrid w:val="0"/>
                    <w:spacing w:line="300" w:lineRule="exact"/>
                    <w:jc w:val="center"/>
                    <w:rPr>
                      <w:bCs/>
                      <w:color w:val="000000"/>
                      <w:szCs w:val="21"/>
                    </w:rPr>
                  </w:pPr>
                  <w:r>
                    <w:rPr>
                      <w:bCs/>
                      <w:color w:val="000000"/>
                      <w:szCs w:val="21"/>
                    </w:rPr>
                    <w:t>联防联控要求</w:t>
                  </w:r>
                </w:p>
              </w:tc>
              <w:tc>
                <w:tcPr>
                  <w:tcW w:w="5741" w:type="dxa"/>
                  <w:vAlign w:val="center"/>
                </w:tcPr>
                <w:p>
                  <w:pPr>
                    <w:adjustRightInd w:val="0"/>
                    <w:snapToGrid w:val="0"/>
                    <w:spacing w:line="300" w:lineRule="exact"/>
                    <w:rPr>
                      <w:color w:val="000000"/>
                    </w:rPr>
                  </w:pPr>
                  <w:r>
                    <w:rPr>
                      <w:rFonts w:hint="eastAsia"/>
                      <w:color w:val="000000"/>
                    </w:rPr>
                    <w:t>1、建立自然资源（规划）、发改、工信、住建、交通运输、生态环境、公安等部门间的信息沟通机制，实行联动监管。</w:t>
                  </w:r>
                </w:p>
                <w:p>
                  <w:pPr>
                    <w:adjustRightInd w:val="0"/>
                    <w:snapToGrid w:val="0"/>
                    <w:spacing w:after="0" w:line="300" w:lineRule="exact"/>
                    <w:rPr>
                      <w:color w:val="000000"/>
                    </w:rPr>
                  </w:pPr>
                </w:p>
              </w:tc>
              <w:tc>
                <w:tcPr>
                  <w:tcW w:w="1010" w:type="dxa"/>
                  <w:vAlign w:val="center"/>
                </w:tcPr>
                <w:p>
                  <w:pPr>
                    <w:adjustRightInd w:val="0"/>
                    <w:snapToGrid w:val="0"/>
                    <w:spacing w:line="300" w:lineRule="exact"/>
                    <w:rPr>
                      <w:bCs/>
                      <w:color w:val="000000"/>
                      <w:szCs w:val="21"/>
                    </w:rPr>
                  </w:pPr>
                  <w:r>
                    <w:rPr>
                      <w:bCs/>
                      <w:color w:val="000000"/>
                      <w:szCs w:val="21"/>
                    </w:rPr>
                    <w:t>项目无重大风险源，污染环境的风险较小，符合要求</w:t>
                  </w:r>
                  <w:r>
                    <w:rPr>
                      <w:rFonts w:hint="eastAsia"/>
                      <w:bCs/>
                      <w:color w:val="000000"/>
                      <w:szCs w:val="21"/>
                    </w:rPr>
                    <w:t>。</w:t>
                  </w:r>
                </w:p>
              </w:tc>
            </w:tr>
          </w:tbl>
          <w:p/>
        </w:tc>
      </w:tr>
    </w:tbl>
    <w:p>
      <w:pPr>
        <w:sectPr>
          <w:footerReference w:type="default" r:id="rId17"/>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2"/>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210"/>
                <w:jc w:val="center"/>
              </w:trPr>
              <w:tc>
                <w:tcPr>
                  <w:tcW w:w="724" w:type="dxa"/>
                  <w:vAlign w:val="center"/>
                </w:tcPr>
                <w:p/>
              </w:tc>
              <w:tc>
                <w:tcPr>
                  <w:tcW w:w="429" w:type="dxa"/>
                  <w:vAlign w:val="center"/>
                </w:tcPr>
                <w:p/>
              </w:tc>
              <w:tc>
                <w:tcPr>
                  <w:tcW w:w="5741" w:type="dxa"/>
                  <w:vAlign w:val="center"/>
                </w:tcPr>
                <w:p>
                  <w:pPr>
                    <w:adjustRightInd w:val="0"/>
                    <w:snapToGrid w:val="0"/>
                    <w:spacing w:before="0" w:line="300" w:lineRule="exact"/>
                    <w:rPr>
                      <w:color w:val="000000"/>
                    </w:rPr>
                  </w:pPr>
                  <w:r>
                    <w:rPr>
                      <w:rFonts w:hint="eastAsia"/>
                      <w:color w:val="000000"/>
                    </w:rPr>
                    <w:t>2、与山东省济南市、聊城市、滨州市及河北省衡水市、沧州市等城市建立统一的空气重污染预警会商和应急联动协调机制，逐步实现预警分级标准、应急措施力度的统一，共同提前采取措施，应对区域性、大范围重污染天气，最大限度减缓不利扩散条件下污染物的累积速度，有效遏制污染程度，保障公众健康。以大气污染联防联控为重点，针对跨区域环境污染等问题组织环保执法力量开展联合执法、跨区域执法、交叉执法，共同打击违法排污行动。针对可能对区域大气环境产生重大影响的重点行业规划、园区建设规划和重大工程项目进行会商。</w:t>
                  </w:r>
                </w:p>
                <w:p>
                  <w:pPr>
                    <w:adjustRightInd w:val="0"/>
                    <w:snapToGrid w:val="0"/>
                    <w:spacing w:line="300" w:lineRule="exact"/>
                    <w:rPr>
                      <w:color w:val="000000"/>
                    </w:rPr>
                  </w:pPr>
                  <w:r>
                    <w:rPr>
                      <w:rFonts w:hint="eastAsia"/>
                      <w:color w:val="000000"/>
                    </w:rPr>
                    <w:t>3、加强风险源监管，完善应急管理体系，通过智能化利用环境应急值守、风险隐患排查治理、风险源管理、事故应急指挥等模块全面提高环保部门应急管理、风险防控和应急处置工作水平，有效预防各类环境事件。</w:t>
                  </w:r>
                </w:p>
                <w:p>
                  <w:pPr>
                    <w:adjustRightInd w:val="0"/>
                    <w:snapToGrid w:val="0"/>
                    <w:spacing w:line="300" w:lineRule="exact"/>
                    <w:rPr>
                      <w:color w:val="000000"/>
                    </w:rPr>
                  </w:pPr>
                  <w:r>
                    <w:rPr>
                      <w:rFonts w:hint="eastAsia"/>
                      <w:color w:val="000000"/>
                    </w:rPr>
                    <w:t>4、合理布局，严格管控高环境风险项目特别是高环境风险工业项目建设。</w:t>
                  </w:r>
                </w:p>
                <w:p>
                  <w:pPr>
                    <w:adjustRightInd w:val="0"/>
                    <w:snapToGrid w:val="0"/>
                    <w:spacing w:line="300" w:lineRule="exact"/>
                    <w:rPr>
                      <w:color w:val="000000"/>
                    </w:rPr>
                  </w:pPr>
                  <w:r>
                    <w:rPr>
                      <w:rFonts w:hint="eastAsia"/>
                      <w:color w:val="000000"/>
                    </w:rPr>
                    <w:t>5、加强对危险化学品及危废暂存、运输、处置或利用的管理，最大限度控制环境风险的产生。</w:t>
                  </w:r>
                </w:p>
                <w:p>
                  <w:pPr>
                    <w:adjustRightInd w:val="0"/>
                    <w:snapToGrid w:val="0"/>
                    <w:spacing w:line="300" w:lineRule="exact"/>
                    <w:rPr>
                      <w:color w:val="000000"/>
                    </w:rPr>
                  </w:pPr>
                  <w:r>
                    <w:rPr>
                      <w:rFonts w:hint="eastAsia"/>
                      <w:color w:val="000000"/>
                    </w:rPr>
                    <w:t>6、化工园区严格按照《山东省化工园区管理办法（试行）》（鲁工信化工〔2020〕141号）具体要求执行，推进化工园区安全生产和环境管理信息化智能平台建设，实现对园区内企业、重点场所、重大污染源、重大危险源和基础设施实行风险监控预警。各乡镇现有的具有风险的化工企业，禁止进行改建和扩建，并加强监管力度。</w:t>
                  </w:r>
                </w:p>
                <w:p>
                  <w:pPr>
                    <w:adjustRightInd w:val="0"/>
                    <w:snapToGrid w:val="0"/>
                    <w:spacing w:line="300" w:lineRule="exact"/>
                    <w:rPr>
                      <w:color w:val="000000"/>
                    </w:rPr>
                  </w:pPr>
                  <w:r>
                    <w:rPr>
                      <w:rFonts w:hint="eastAsia"/>
                      <w:color w:val="000000"/>
                    </w:rPr>
                    <w:t>7、建立土壤和地下水污染隐患排查制度、风险防控体系和长效监管机制。加强对化工、农药等类型企业（包括已经停产）场地土壤污染环境风险的防控力度。</w:t>
                  </w:r>
                </w:p>
              </w:tc>
              <w:tc>
                <w:tcPr>
                  <w:tcW w:w="1010" w:type="dxa"/>
                  <w:vAlign w:val="center"/>
                </w:tcPr>
                <w:p/>
              </w:tc>
            </w:tr>
            <w:tr>
              <w:tblPrEx>
                <w:tblW w:w="7904" w:type="dxa"/>
                <w:jc w:val="center"/>
                <w:tblLayout w:type="fixed"/>
                <w:tblCellMar>
                  <w:top w:w="0" w:type="dxa"/>
                  <w:left w:w="108" w:type="dxa"/>
                  <w:bottom w:w="0" w:type="dxa"/>
                  <w:right w:w="108" w:type="dxa"/>
                </w:tblCellMar>
              </w:tblPrEx>
              <w:trPr>
                <w:trHeight w:val="2210"/>
                <w:jc w:val="center"/>
              </w:trPr>
              <w:tc>
                <w:tcPr>
                  <w:tcW w:w="724" w:type="dxa"/>
                  <w:vAlign w:val="center"/>
                </w:tcPr>
                <w:p>
                  <w:pPr>
                    <w:adjustRightInd w:val="0"/>
                    <w:snapToGrid w:val="0"/>
                    <w:spacing w:line="300" w:lineRule="exact"/>
                    <w:jc w:val="center"/>
                    <w:rPr>
                      <w:color w:val="000000"/>
                    </w:rPr>
                  </w:pPr>
                  <w:r>
                    <w:rPr>
                      <w:rFonts w:hint="eastAsia"/>
                      <w:color w:val="000000"/>
                    </w:rPr>
                    <w:t>资源利用效率要求</w:t>
                  </w:r>
                </w:p>
              </w:tc>
              <w:tc>
                <w:tcPr>
                  <w:tcW w:w="429" w:type="dxa"/>
                  <w:vAlign w:val="center"/>
                </w:tcPr>
                <w:p>
                  <w:pPr>
                    <w:adjustRightInd w:val="0"/>
                    <w:snapToGrid w:val="0"/>
                    <w:spacing w:line="300" w:lineRule="exact"/>
                    <w:jc w:val="center"/>
                    <w:rPr>
                      <w:bCs/>
                      <w:color w:val="000000"/>
                      <w:szCs w:val="21"/>
                    </w:rPr>
                  </w:pPr>
                  <w:r>
                    <w:rPr>
                      <w:bCs/>
                      <w:color w:val="000000"/>
                      <w:szCs w:val="21"/>
                    </w:rPr>
                    <w:t>水资源利用总量要求</w:t>
                  </w:r>
                </w:p>
              </w:tc>
              <w:tc>
                <w:tcPr>
                  <w:tcW w:w="5741" w:type="dxa"/>
                  <w:vAlign w:val="center"/>
                </w:tcPr>
                <w:p>
                  <w:pPr>
                    <w:adjustRightInd w:val="0"/>
                    <w:snapToGrid w:val="0"/>
                    <w:spacing w:line="300" w:lineRule="exact"/>
                    <w:rPr>
                      <w:color w:val="000000"/>
                    </w:rPr>
                  </w:pPr>
                  <w:r>
                    <w:rPr>
                      <w:rFonts w:hint="eastAsia"/>
                      <w:color w:val="000000"/>
                    </w:rPr>
                    <w:t>1、统筹全市地表水等各类水资源，优先保证生活用水，合理安排农业用水和工业用水，实行最严格的水咨源管理制度，把水资源作为最大的刚性约束，加强水资源的开发利用管理。积极开展再生水利用，提高再生水利用率。严格落实水资源双控制度，健全市具行政区域规划期及年度用水总量、用水强度控制指标体系，县级以上行政区制定年度用水控制目标，规模以上用水户实行计划用水。</w:t>
                  </w:r>
                </w:p>
                <w:p>
                  <w:pPr>
                    <w:adjustRightInd w:val="0"/>
                    <w:snapToGrid w:val="0"/>
                    <w:spacing w:line="300" w:lineRule="exact"/>
                    <w:rPr>
                      <w:color w:val="000000"/>
                    </w:rPr>
                  </w:pPr>
                  <w:r>
                    <w:rPr>
                      <w:rFonts w:hint="eastAsia"/>
                      <w:color w:val="000000"/>
                    </w:rPr>
                    <w:t>2、根据水资源承载能力合理规划区域发展和产业布局。控制高耗水行业发展和高耗水工业项目建设，加强固定资产投资项目节能节水审查，严格建设项目水资源论证审查把关。</w:t>
                  </w:r>
                </w:p>
                <w:p>
                  <w:pPr>
                    <w:adjustRightInd w:val="0"/>
                    <w:snapToGrid w:val="0"/>
                    <w:spacing w:line="300" w:lineRule="exact"/>
                    <w:rPr>
                      <w:color w:val="000000"/>
                    </w:rPr>
                  </w:pPr>
                  <w:r>
                    <w:rPr>
                      <w:rFonts w:hint="eastAsia"/>
                      <w:color w:val="000000"/>
                    </w:rPr>
                    <w:t>3、创新水权交易措施，用好财税杠杆，实施水价综合改革，倒逼提升节水效果。</w:t>
                  </w:r>
                </w:p>
                <w:p>
                  <w:pPr>
                    <w:adjustRightInd w:val="0"/>
                    <w:snapToGrid w:val="0"/>
                    <w:spacing w:line="300" w:lineRule="exact"/>
                    <w:rPr>
                      <w:color w:val="000000"/>
                    </w:rPr>
                  </w:pPr>
                  <w:r>
                    <w:rPr>
                      <w:rFonts w:hint="eastAsia"/>
                      <w:color w:val="000000"/>
                    </w:rPr>
                    <w:t>4、到2025年，万元GDP用水量比2020年下降10%以上；农田灌溉水有效利用系数达到0.6381左右。到2035年，万元GDP用水量比2020年下降21%以上；农田灌溉水有效利用系数达到0.6411左右。</w:t>
                  </w:r>
                </w:p>
                <w:p>
                  <w:pPr>
                    <w:adjustRightInd w:val="0"/>
                    <w:snapToGrid w:val="0"/>
                    <w:spacing w:line="300" w:lineRule="exact"/>
                    <w:ind w:firstLine="420" w:firstLineChars="200"/>
                    <w:rPr>
                      <w:color w:val="000000"/>
                    </w:rPr>
                  </w:pPr>
                  <w:r>
                    <w:rPr>
                      <w:rFonts w:hint="eastAsia"/>
                      <w:color w:val="000000"/>
                    </w:rPr>
                    <w:t>加强水资源利用管控，对于城镇建设和生活用水：</w:t>
                  </w:r>
                </w:p>
                <w:p>
                  <w:pPr>
                    <w:adjustRightInd w:val="0"/>
                    <w:snapToGrid w:val="0"/>
                    <w:spacing w:line="300" w:lineRule="exact"/>
                    <w:rPr>
                      <w:color w:val="000000"/>
                    </w:rPr>
                  </w:pPr>
                  <w:r>
                    <w:rPr>
                      <w:rFonts w:hint="eastAsia"/>
                      <w:color w:val="000000"/>
                    </w:rPr>
                    <w:t>1、深入推进城市建成区雨污分流，建设雨水收集、调蓄、利用设施；</w:t>
                  </w:r>
                </w:p>
                <w:p>
                  <w:pPr>
                    <w:adjustRightInd w:val="0"/>
                    <w:snapToGrid w:val="0"/>
                    <w:spacing w:line="300" w:lineRule="exact"/>
                    <w:rPr>
                      <w:color w:val="000000"/>
                    </w:rPr>
                  </w:pPr>
                  <w:r>
                    <w:rPr>
                      <w:rFonts w:hint="eastAsia"/>
                      <w:color w:val="000000"/>
                    </w:rPr>
                    <w:t>2、在具备条件的城镇污水处理厂排污口下游建设水质深度净化工程，完善再生水利用的基础设施和政策措施，提高再生水利用率，城市建成区景观绿化、市政清洁等原则上应使用再生水；</w:t>
                  </w:r>
                </w:p>
                <w:p>
                  <w:pPr>
                    <w:adjustRightInd w:val="0"/>
                    <w:snapToGrid w:val="0"/>
                    <w:spacing w:line="300" w:lineRule="exact"/>
                    <w:rPr>
                      <w:color w:val="000000"/>
                    </w:rPr>
                  </w:pPr>
                  <w:r>
                    <w:rPr>
                      <w:rFonts w:hint="eastAsia"/>
                      <w:color w:val="000000"/>
                    </w:rPr>
                    <w:t>3、引导和推动合同节水管理，实行节水奖励补贴制度。</w:t>
                  </w:r>
                </w:p>
                <w:p>
                  <w:pPr>
                    <w:adjustRightInd w:val="0"/>
                    <w:snapToGrid w:val="0"/>
                    <w:spacing w:after="0" w:line="300" w:lineRule="exact"/>
                    <w:rPr>
                      <w:color w:val="000000"/>
                    </w:rPr>
                  </w:pPr>
                </w:p>
              </w:tc>
              <w:tc>
                <w:tcPr>
                  <w:tcW w:w="1010" w:type="dxa"/>
                  <w:vAlign w:val="center"/>
                </w:tcPr>
                <w:p>
                  <w:pPr>
                    <w:adjustRightInd w:val="0"/>
                    <w:snapToGrid w:val="0"/>
                    <w:spacing w:line="300" w:lineRule="exact"/>
                    <w:rPr>
                      <w:bCs/>
                      <w:color w:val="000000"/>
                      <w:szCs w:val="21"/>
                    </w:rPr>
                  </w:pPr>
                  <w:r>
                    <w:rPr>
                      <w:bCs/>
                      <w:color w:val="000000"/>
                      <w:szCs w:val="21"/>
                    </w:rPr>
                    <w:t>项目用水量较少，符合要求</w:t>
                  </w:r>
                  <w:r>
                    <w:rPr>
                      <w:rFonts w:hint="eastAsia"/>
                      <w:bCs/>
                      <w:color w:val="000000"/>
                      <w:szCs w:val="21"/>
                    </w:rPr>
                    <w:t>。</w:t>
                  </w:r>
                </w:p>
              </w:tc>
            </w:tr>
          </w:tbl>
          <w:p/>
        </w:tc>
      </w:tr>
    </w:tbl>
    <w:p>
      <w:pPr>
        <w:sectPr>
          <w:footerReference w:type="default" r:id="rId18"/>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3"/>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210"/>
                <w:jc w:val="center"/>
              </w:trPr>
              <w:tc>
                <w:tcPr>
                  <w:tcW w:w="724" w:type="dxa"/>
                  <w:vMerge w:val="restart"/>
                  <w:vAlign w:val="center"/>
                </w:tcPr>
                <w:p/>
              </w:tc>
              <w:tc>
                <w:tcPr>
                  <w:tcW w:w="429" w:type="dxa"/>
                  <w:vAlign w:val="center"/>
                </w:tcPr>
                <w:p/>
              </w:tc>
              <w:tc>
                <w:tcPr>
                  <w:tcW w:w="5741" w:type="dxa"/>
                  <w:vAlign w:val="center"/>
                </w:tcPr>
                <w:p>
                  <w:pPr>
                    <w:adjustRightInd w:val="0"/>
                    <w:snapToGrid w:val="0"/>
                    <w:spacing w:before="0" w:line="300" w:lineRule="exact"/>
                    <w:rPr>
                      <w:color w:val="000000"/>
                    </w:rPr>
                  </w:pPr>
                  <w:r>
                    <w:rPr>
                      <w:rFonts w:hint="eastAsia"/>
                      <w:color w:val="000000"/>
                    </w:rPr>
                    <w:t>4、以学校、医院、景区、体育馆等为重点，开展节水改造，普及节水器具；</w:t>
                  </w:r>
                </w:p>
                <w:p>
                  <w:pPr>
                    <w:adjustRightInd w:val="0"/>
                    <w:snapToGrid w:val="0"/>
                    <w:spacing w:line="300" w:lineRule="exact"/>
                    <w:rPr>
                      <w:color w:val="000000"/>
                    </w:rPr>
                  </w:pPr>
                  <w:r>
                    <w:rPr>
                      <w:rFonts w:hint="eastAsia"/>
                      <w:color w:val="000000"/>
                    </w:rPr>
                    <w:t>5、加强公共供水系统运行监督管理，健全管网检漏机制，推进老旧破损管网更新改造。</w:t>
                  </w:r>
                </w:p>
                <w:p>
                  <w:pPr>
                    <w:adjustRightInd w:val="0"/>
                    <w:snapToGrid w:val="0"/>
                    <w:spacing w:line="300" w:lineRule="exact"/>
                    <w:ind w:firstLine="420" w:firstLineChars="200"/>
                    <w:rPr>
                      <w:color w:val="000000"/>
                    </w:rPr>
                  </w:pPr>
                  <w:r>
                    <w:rPr>
                      <w:rFonts w:hint="eastAsia"/>
                      <w:color w:val="000000"/>
                    </w:rPr>
                    <w:t>对于农业用水：</w:t>
                  </w:r>
                </w:p>
                <w:p>
                  <w:pPr>
                    <w:adjustRightInd w:val="0"/>
                    <w:snapToGrid w:val="0"/>
                    <w:spacing w:line="300" w:lineRule="exact"/>
                    <w:rPr>
                      <w:color w:val="000000"/>
                    </w:rPr>
                  </w:pPr>
                  <w:r>
                    <w:rPr>
                      <w:rFonts w:hint="eastAsia"/>
                      <w:color w:val="000000"/>
                    </w:rPr>
                    <w:t>1、坚持因水施种，降低农业水耗；</w:t>
                  </w:r>
                </w:p>
                <w:p>
                  <w:pPr>
                    <w:adjustRightInd w:val="0"/>
                    <w:snapToGrid w:val="0"/>
                    <w:spacing w:line="300" w:lineRule="exact"/>
                    <w:rPr>
                      <w:color w:val="000000"/>
                    </w:rPr>
                  </w:pPr>
                  <w:r>
                    <w:rPr>
                      <w:rFonts w:hint="eastAsia"/>
                      <w:color w:val="000000"/>
                    </w:rPr>
                    <w:t>2、积极推广水肥一体化和测墒灌溉；</w:t>
                  </w:r>
                </w:p>
                <w:p>
                  <w:pPr>
                    <w:adjustRightInd w:val="0"/>
                    <w:snapToGrid w:val="0"/>
                    <w:spacing w:line="300" w:lineRule="exact"/>
                    <w:rPr>
                      <w:color w:val="000000"/>
                    </w:rPr>
                  </w:pPr>
                  <w:r>
                    <w:rPr>
                      <w:rFonts w:hint="eastAsia"/>
                      <w:color w:val="000000"/>
                    </w:rPr>
                    <w:t>3、推行农业灌溉超定额累进加价制度，建立农业用水精准补贴和节水奖励机制；</w:t>
                  </w:r>
                </w:p>
                <w:p>
                  <w:pPr>
                    <w:adjustRightInd w:val="0"/>
                    <w:snapToGrid w:val="0"/>
                    <w:spacing w:line="300" w:lineRule="exact"/>
                    <w:rPr>
                      <w:color w:val="000000"/>
                    </w:rPr>
                  </w:pPr>
                  <w:r>
                    <w:rPr>
                      <w:rFonts w:hint="eastAsia"/>
                      <w:color w:val="000000"/>
                    </w:rPr>
                    <w:t>4、大中型养殖场推行节水改造，普及节水型养殖方式。</w:t>
                  </w:r>
                </w:p>
                <w:p>
                  <w:pPr>
                    <w:adjustRightInd w:val="0"/>
                    <w:snapToGrid w:val="0"/>
                    <w:spacing w:line="300" w:lineRule="exact"/>
                    <w:ind w:firstLine="420" w:firstLineChars="200"/>
                    <w:rPr>
                      <w:color w:val="000000"/>
                    </w:rPr>
                  </w:pPr>
                  <w:r>
                    <w:rPr>
                      <w:rFonts w:hint="eastAsia"/>
                      <w:color w:val="000000"/>
                    </w:rPr>
                    <w:t>对于工业用水：</w:t>
                  </w:r>
                </w:p>
                <w:p>
                  <w:pPr>
                    <w:adjustRightInd w:val="0"/>
                    <w:snapToGrid w:val="0"/>
                    <w:spacing w:line="300" w:lineRule="exact"/>
                    <w:ind w:left="420" w:hanging="420" w:hangingChars="200"/>
                    <w:rPr>
                      <w:color w:val="000000"/>
                    </w:rPr>
                  </w:pPr>
                  <w:r>
                    <w:rPr>
                      <w:rFonts w:hint="eastAsia"/>
                      <w:color w:val="000000"/>
                    </w:rPr>
                    <w:t>1、控工业项目新鲜水使用量，新建主要耗水工业项目应优先使用再生水；</w:t>
                  </w:r>
                </w:p>
                <w:p>
                  <w:pPr>
                    <w:adjustRightInd w:val="0"/>
                    <w:snapToGrid w:val="0"/>
                    <w:spacing w:line="300" w:lineRule="exact"/>
                    <w:rPr>
                      <w:color w:val="000000"/>
                    </w:rPr>
                  </w:pPr>
                  <w:r>
                    <w:rPr>
                      <w:rFonts w:hint="eastAsia"/>
                      <w:color w:val="000000"/>
                    </w:rPr>
                    <w:t>2、推广高效冷却、洗涤、循环用水、再生水利用、高耗水工艺替代等先进节水工艺，在主要高耗水行业开展水效领跑者引领行动，推进工业房水资源化利用；</w:t>
                  </w:r>
                </w:p>
                <w:p>
                  <w:pPr>
                    <w:adjustRightInd w:val="0"/>
                    <w:snapToGrid w:val="0"/>
                    <w:spacing w:line="300" w:lineRule="exact"/>
                    <w:rPr>
                      <w:color w:val="000000"/>
                    </w:rPr>
                  </w:pPr>
                  <w:r>
                    <w:rPr>
                      <w:rFonts w:hint="eastAsia"/>
                      <w:color w:val="000000"/>
                    </w:rPr>
                    <w:t>3、加强水资源管控，区域黄河干流水资源超载地区销号前原则暂停新增以黄河水为水源的取水许可。</w:t>
                  </w:r>
                </w:p>
              </w:tc>
              <w:tc>
                <w:tcPr>
                  <w:tcW w:w="1010" w:type="dxa"/>
                  <w:vAlign w:val="center"/>
                </w:tcPr>
                <w:p/>
              </w:tc>
            </w:tr>
            <w:tr>
              <w:tblPrEx>
                <w:tblW w:w="7904" w:type="dxa"/>
                <w:jc w:val="center"/>
                <w:tblLayout w:type="fixed"/>
                <w:tblCellMar>
                  <w:top w:w="0" w:type="dxa"/>
                  <w:left w:w="108" w:type="dxa"/>
                  <w:bottom w:w="0" w:type="dxa"/>
                  <w:right w:w="108" w:type="dxa"/>
                </w:tblCellMar>
              </w:tblPrEx>
              <w:trPr>
                <w:trHeight w:val="2210"/>
                <w:jc w:val="center"/>
              </w:trPr>
              <w:tc>
                <w:tcPr>
                  <w:tcW w:w="724" w:type="dxa"/>
                  <w:vMerge/>
                  <w:vAlign w:val="center"/>
                </w:tcPr>
                <w:p>
                  <w:pPr>
                    <w:adjustRightInd w:val="0"/>
                    <w:snapToGrid w:val="0"/>
                    <w:spacing w:line="300" w:lineRule="exact"/>
                    <w:jc w:val="center"/>
                    <w:rPr>
                      <w:color w:val="000000"/>
                    </w:rPr>
                  </w:pPr>
                </w:p>
              </w:tc>
              <w:tc>
                <w:tcPr>
                  <w:tcW w:w="429" w:type="dxa"/>
                  <w:vAlign w:val="center"/>
                </w:tcPr>
                <w:p>
                  <w:pPr>
                    <w:adjustRightInd w:val="0"/>
                    <w:snapToGrid w:val="0"/>
                    <w:spacing w:line="300" w:lineRule="exact"/>
                    <w:jc w:val="center"/>
                    <w:rPr>
                      <w:bCs/>
                      <w:color w:val="000000"/>
                      <w:szCs w:val="21"/>
                    </w:rPr>
                  </w:pPr>
                  <w:r>
                    <w:rPr>
                      <w:bCs/>
                      <w:color w:val="000000"/>
                      <w:szCs w:val="21"/>
                    </w:rPr>
                    <w:t>地下水开采要求</w:t>
                  </w:r>
                </w:p>
              </w:tc>
              <w:tc>
                <w:tcPr>
                  <w:tcW w:w="5741" w:type="dxa"/>
                  <w:vAlign w:val="center"/>
                </w:tcPr>
                <w:p>
                  <w:pPr>
                    <w:adjustRightInd w:val="0"/>
                    <w:snapToGrid w:val="0"/>
                    <w:spacing w:line="300" w:lineRule="exact"/>
                    <w:rPr>
                      <w:color w:val="000000"/>
                    </w:rPr>
                  </w:pPr>
                  <w:r>
                    <w:rPr>
                      <w:rFonts w:hint="eastAsia"/>
                      <w:color w:val="000000"/>
                    </w:rPr>
                    <w:t>1、实行总量与水位双调控制度，区域内取用地下水总量已达到或超过控制指标的地区，暂停审批其建设项目新增取用地下水。在地下水超采区内。除居民生活用水与应急供水外，严禁新增地下水取水量。在超采区内确需取用地下水的，要在现有地下水开采总量控制指标内调剂解决，并逐步削减地下水开采量。</w:t>
                  </w:r>
                </w:p>
                <w:p>
                  <w:pPr>
                    <w:adjustRightInd w:val="0"/>
                    <w:snapToGrid w:val="0"/>
                    <w:spacing w:line="300" w:lineRule="exact"/>
                    <w:rPr>
                      <w:color w:val="000000"/>
                    </w:rPr>
                  </w:pPr>
                  <w:r>
                    <w:rPr>
                      <w:rFonts w:hint="eastAsia"/>
                      <w:color w:val="000000"/>
                    </w:rPr>
                    <w:t>2、对区域内具备使用再生水条件但未充分利用的钢铁、火电、化工、制浆造纸、印染等项目，不得批准其新增取用地下水。</w:t>
                  </w:r>
                </w:p>
                <w:p>
                  <w:pPr>
                    <w:adjustRightInd w:val="0"/>
                    <w:snapToGrid w:val="0"/>
                    <w:spacing w:line="300" w:lineRule="exact"/>
                    <w:rPr>
                      <w:color w:val="000000"/>
                    </w:rPr>
                  </w:pPr>
                  <w:r>
                    <w:rPr>
                      <w:rFonts w:hint="eastAsia"/>
                      <w:color w:val="000000"/>
                    </w:rPr>
                    <w:t>3、深层地下水：深层承压水超采区全部划为禁采区，现状深层承压水开采井要结合替代水源建设逐步封停。逐步关停非生活用水和部分有水源替代条件的深层承压水开采井，2025年前全部关停深层承压水开采井(饮用水按照相关要求执行)。</w:t>
                  </w:r>
                </w:p>
                <w:p>
                  <w:pPr>
                    <w:adjustRightInd w:val="0"/>
                    <w:snapToGrid w:val="0"/>
                    <w:spacing w:line="300" w:lineRule="exact"/>
                    <w:rPr>
                      <w:color w:val="000000"/>
                    </w:rPr>
                  </w:pPr>
                  <w:r>
                    <w:rPr>
                      <w:rFonts w:hint="eastAsia"/>
                      <w:color w:val="000000"/>
                    </w:rPr>
                    <w:t>4、浅层地下水：浅层地下水超采区全部划定为限采区，超采区内工业公共供水管网内浅层地下水分期全部封填。工业公共供水管网外应逐步关停；农业公共供水管网落盖地区的自备井要分期全部封埴，井港区主要通过节水灌溉、地表水源替代等措施压减地下水开采量，农灌机并不要求封填，作为干旱年份的备用水源以确保粮食安全。</w:t>
                  </w:r>
                </w:p>
              </w:tc>
              <w:tc>
                <w:tcPr>
                  <w:tcW w:w="1010" w:type="dxa"/>
                  <w:vAlign w:val="center"/>
                </w:tcPr>
                <w:p>
                  <w:pPr>
                    <w:adjustRightInd w:val="0"/>
                    <w:snapToGrid w:val="0"/>
                    <w:spacing w:line="300" w:lineRule="exact"/>
                    <w:rPr>
                      <w:bCs/>
                      <w:color w:val="000000"/>
                      <w:szCs w:val="21"/>
                    </w:rPr>
                  </w:pPr>
                  <w:r>
                    <w:rPr>
                      <w:bCs/>
                      <w:color w:val="000000"/>
                      <w:szCs w:val="21"/>
                    </w:rPr>
                    <w:t>项目不开采地下水，用水由自来水管网提供，符合要求</w:t>
                  </w:r>
                  <w:r>
                    <w:rPr>
                      <w:rFonts w:hint="eastAsia"/>
                      <w:bCs/>
                      <w:color w:val="000000"/>
                      <w:szCs w:val="21"/>
                    </w:rPr>
                    <w:t>。</w:t>
                  </w:r>
                </w:p>
              </w:tc>
            </w:tr>
            <w:tr>
              <w:tblPrEx>
                <w:tblW w:w="7904" w:type="dxa"/>
                <w:jc w:val="center"/>
                <w:tblLayout w:type="fixed"/>
                <w:tblCellMar>
                  <w:top w:w="0" w:type="dxa"/>
                  <w:left w:w="108" w:type="dxa"/>
                  <w:bottom w:w="0" w:type="dxa"/>
                  <w:right w:w="108" w:type="dxa"/>
                </w:tblCellMar>
              </w:tblPrEx>
              <w:trPr>
                <w:trHeight w:val="2210"/>
                <w:jc w:val="center"/>
              </w:trPr>
              <w:tc>
                <w:tcPr>
                  <w:tcW w:w="724" w:type="dxa"/>
                  <w:vMerge/>
                  <w:vAlign w:val="center"/>
                </w:tcPr>
                <w:p>
                  <w:pPr>
                    <w:adjustRightInd w:val="0"/>
                    <w:snapToGrid w:val="0"/>
                    <w:spacing w:line="300" w:lineRule="exact"/>
                    <w:jc w:val="center"/>
                    <w:rPr>
                      <w:color w:val="000000"/>
                    </w:rPr>
                  </w:pPr>
                </w:p>
              </w:tc>
              <w:tc>
                <w:tcPr>
                  <w:tcW w:w="429" w:type="dxa"/>
                  <w:vAlign w:val="center"/>
                </w:tcPr>
                <w:p>
                  <w:pPr>
                    <w:adjustRightInd w:val="0"/>
                    <w:snapToGrid w:val="0"/>
                    <w:spacing w:line="300" w:lineRule="exact"/>
                    <w:jc w:val="center"/>
                    <w:rPr>
                      <w:bCs/>
                      <w:color w:val="000000"/>
                      <w:szCs w:val="21"/>
                    </w:rPr>
                  </w:pPr>
                  <w:r>
                    <w:rPr>
                      <w:bCs/>
                      <w:color w:val="000000"/>
                      <w:szCs w:val="21"/>
                    </w:rPr>
                    <w:t>能源利用总量及效率要求</w:t>
                  </w:r>
                </w:p>
              </w:tc>
              <w:tc>
                <w:tcPr>
                  <w:tcW w:w="5741" w:type="dxa"/>
                  <w:vAlign w:val="center"/>
                </w:tcPr>
                <w:p>
                  <w:pPr>
                    <w:adjustRightInd w:val="0"/>
                    <w:snapToGrid w:val="0"/>
                    <w:spacing w:line="300" w:lineRule="exact"/>
                    <w:rPr>
                      <w:color w:val="000000"/>
                    </w:rPr>
                  </w:pPr>
                  <w:r>
                    <w:rPr>
                      <w:rFonts w:hint="eastAsia"/>
                      <w:color w:val="000000"/>
                    </w:rPr>
                    <w:t>1、限制高耗能项目特别是高耗能工业项目建设，严格控制新增煤耗项目，新（改、扩）建耗煤项目须取得煤炭消费总量控制部门出具的审查意见。</w:t>
                  </w:r>
                </w:p>
                <w:p>
                  <w:pPr>
                    <w:adjustRightInd w:val="0"/>
                    <w:snapToGrid w:val="0"/>
                    <w:spacing w:line="300" w:lineRule="exact"/>
                    <w:rPr>
                      <w:color w:val="000000"/>
                    </w:rPr>
                  </w:pPr>
                  <w:r>
                    <w:rPr>
                      <w:rFonts w:hint="eastAsia"/>
                      <w:color w:val="000000"/>
                    </w:rPr>
                    <w:t>2、按照能源消费强度和消费总量“双控”机制要求，制定实施全市煤炭消费压减工作方案，完成省定减压任务。</w:t>
                  </w:r>
                </w:p>
                <w:p>
                  <w:pPr>
                    <w:adjustRightInd w:val="0"/>
                    <w:snapToGrid w:val="0"/>
                    <w:spacing w:line="300" w:lineRule="exact"/>
                    <w:rPr>
                      <w:color w:val="000000"/>
                    </w:rPr>
                  </w:pPr>
                  <w:r>
                    <w:rPr>
                      <w:rFonts w:hint="eastAsia"/>
                      <w:color w:val="000000"/>
                    </w:rPr>
                    <w:t>3、各类工业园区与工业集中区应实施热电联产或集中供热改造，全面取消分散的自备燃煤锅炉。在供热供气管网覆盖不到的其他地区，应使用清洁能源。</w:t>
                  </w:r>
                </w:p>
                <w:p>
                  <w:pPr>
                    <w:adjustRightInd w:val="0"/>
                    <w:snapToGrid w:val="0"/>
                    <w:spacing w:line="300" w:lineRule="exact"/>
                    <w:rPr>
                      <w:color w:val="000000"/>
                    </w:rPr>
                  </w:pPr>
                  <w:r>
                    <w:rPr>
                      <w:rFonts w:hint="eastAsia"/>
                      <w:color w:val="000000"/>
                    </w:rPr>
                    <w:t>4、逐步提高城镇建成区集中供暖率，减少散煤消耗量。</w:t>
                  </w:r>
                </w:p>
              </w:tc>
              <w:tc>
                <w:tcPr>
                  <w:tcW w:w="1010" w:type="dxa"/>
                  <w:vAlign w:val="center"/>
                </w:tcPr>
                <w:p>
                  <w:pPr>
                    <w:adjustRightInd w:val="0"/>
                    <w:snapToGrid w:val="0"/>
                    <w:spacing w:line="300" w:lineRule="exact"/>
                    <w:rPr>
                      <w:bCs/>
                      <w:color w:val="000000"/>
                      <w:szCs w:val="21"/>
                    </w:rPr>
                  </w:pPr>
                  <w:r>
                    <w:rPr>
                      <w:bCs/>
                      <w:color w:val="000000"/>
                      <w:szCs w:val="21"/>
                    </w:rPr>
                    <w:t>项目不属于高耗能项目，符合要求</w:t>
                  </w:r>
                  <w:r>
                    <w:rPr>
                      <w:rFonts w:hint="eastAsia"/>
                      <w:bCs/>
                      <w:color w:val="000000"/>
                      <w:szCs w:val="21"/>
                    </w:rPr>
                    <w:t>。</w:t>
                  </w:r>
                </w:p>
              </w:tc>
            </w:tr>
          </w:tbl>
          <w:p/>
        </w:tc>
      </w:tr>
    </w:tbl>
    <w:p>
      <w:pPr>
        <w:sectPr>
          <w:footerReference w:type="default" r:id="rId19"/>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4"/>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29"/>
              <w:gridCol w:w="5741"/>
              <w:gridCol w:w="10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784"/>
                <w:jc w:val="center"/>
              </w:trPr>
              <w:tc>
                <w:tcPr>
                  <w:tcW w:w="724" w:type="dxa"/>
                  <w:vMerge w:val="restart"/>
                  <w:vAlign w:val="center"/>
                </w:tcPr>
                <w:p>
                  <w:pPr>
                    <w:adjustRightInd w:val="0"/>
                    <w:snapToGrid w:val="0"/>
                    <w:spacing w:line="300" w:lineRule="exact"/>
                    <w:jc w:val="center"/>
                    <w:rPr>
                      <w:color w:val="000000"/>
                    </w:rPr>
                  </w:pPr>
                </w:p>
              </w:tc>
              <w:tc>
                <w:tcPr>
                  <w:tcW w:w="429" w:type="dxa"/>
                  <w:vAlign w:val="center"/>
                </w:tcPr>
                <w:p>
                  <w:pPr>
                    <w:adjustRightInd w:val="0"/>
                    <w:snapToGrid w:val="0"/>
                    <w:spacing w:line="300" w:lineRule="exact"/>
                    <w:jc w:val="center"/>
                    <w:rPr>
                      <w:bCs/>
                      <w:color w:val="000000"/>
                      <w:szCs w:val="21"/>
                    </w:rPr>
                  </w:pPr>
                  <w:r>
                    <w:rPr>
                      <w:bCs/>
                      <w:color w:val="000000"/>
                      <w:szCs w:val="21"/>
                    </w:rPr>
                    <w:t>禁燃区要求</w:t>
                  </w:r>
                </w:p>
              </w:tc>
              <w:tc>
                <w:tcPr>
                  <w:tcW w:w="5741" w:type="dxa"/>
                  <w:vAlign w:val="center"/>
                </w:tcPr>
                <w:p>
                  <w:pPr>
                    <w:adjustRightInd w:val="0"/>
                    <w:snapToGrid w:val="0"/>
                    <w:spacing w:line="400" w:lineRule="exact"/>
                    <w:rPr>
                      <w:color w:val="000000"/>
                    </w:rPr>
                  </w:pPr>
                  <w:r>
                    <w:rPr>
                      <w:rFonts w:hint="eastAsia"/>
                      <w:color w:val="000000"/>
                    </w:rPr>
                    <w:t>1、各县市区根据实际情况及时调整公布本行政区域高污染燃料禁燃区。</w:t>
                  </w:r>
                </w:p>
                <w:p>
                  <w:pPr>
                    <w:adjustRightInd w:val="0"/>
                    <w:snapToGrid w:val="0"/>
                    <w:spacing w:line="400" w:lineRule="exact"/>
                    <w:rPr>
                      <w:color w:val="000000"/>
                    </w:rPr>
                  </w:pPr>
                  <w:r>
                    <w:rPr>
                      <w:rFonts w:hint="eastAsia"/>
                      <w:color w:val="000000"/>
                    </w:rPr>
                    <w:t>2、各县市区调整划定的禁燃区应明确管理要求，禁燃区内禁止生产和销售高污染燃料。</w:t>
                  </w:r>
                </w:p>
                <w:p>
                  <w:pPr>
                    <w:adjustRightInd w:val="0"/>
                    <w:snapToGrid w:val="0"/>
                    <w:spacing w:line="400" w:lineRule="exact"/>
                    <w:rPr>
                      <w:color w:val="000000"/>
                    </w:rPr>
                  </w:pPr>
                  <w:r>
                    <w:rPr>
                      <w:rFonts w:hint="eastAsia"/>
                      <w:color w:val="000000"/>
                    </w:rPr>
                    <w:t>3、各县市区禁燃区内禁止新建、扩建、改建使用高污染燃料的项目。</w:t>
                  </w:r>
                </w:p>
              </w:tc>
              <w:tc>
                <w:tcPr>
                  <w:tcW w:w="1010" w:type="dxa"/>
                  <w:vAlign w:val="center"/>
                </w:tcPr>
                <w:p>
                  <w:pPr>
                    <w:adjustRightInd w:val="0"/>
                    <w:snapToGrid w:val="0"/>
                    <w:spacing w:line="400" w:lineRule="exact"/>
                    <w:rPr>
                      <w:bCs/>
                      <w:color w:val="000000"/>
                      <w:szCs w:val="21"/>
                    </w:rPr>
                  </w:pPr>
                  <w:r>
                    <w:rPr>
                      <w:bCs/>
                      <w:color w:val="000000"/>
                      <w:szCs w:val="21"/>
                    </w:rPr>
                    <w:t>项目不</w:t>
                  </w:r>
                  <w:r>
                    <w:rPr>
                      <w:rFonts w:hint="eastAsia"/>
                      <w:bCs/>
                      <w:color w:val="000000"/>
                      <w:szCs w:val="21"/>
                    </w:rPr>
                    <w:t>使用</w:t>
                  </w:r>
                  <w:r>
                    <w:rPr>
                      <w:bCs/>
                      <w:color w:val="000000"/>
                      <w:szCs w:val="21"/>
                    </w:rPr>
                    <w:t>高污染燃料，符合要求</w:t>
                  </w:r>
                  <w:r>
                    <w:rPr>
                      <w:rFonts w:hint="eastAsia"/>
                      <w:bCs/>
                      <w:color w:val="000000"/>
                      <w:szCs w:val="21"/>
                    </w:rPr>
                    <w:t>。</w:t>
                  </w:r>
                </w:p>
              </w:tc>
            </w:tr>
            <w:tr>
              <w:tblPrEx>
                <w:tblW w:w="7904" w:type="dxa"/>
                <w:jc w:val="center"/>
                <w:tblLayout w:type="fixed"/>
                <w:tblCellMar>
                  <w:top w:w="0" w:type="dxa"/>
                  <w:left w:w="108" w:type="dxa"/>
                  <w:bottom w:w="0" w:type="dxa"/>
                  <w:right w:w="108" w:type="dxa"/>
                </w:tblCellMar>
              </w:tblPrEx>
              <w:trPr>
                <w:trHeight w:val="3292"/>
                <w:jc w:val="center"/>
              </w:trPr>
              <w:tc>
                <w:tcPr>
                  <w:tcW w:w="724" w:type="dxa"/>
                  <w:vMerge/>
                  <w:vAlign w:val="center"/>
                </w:tcPr>
                <w:p>
                  <w:pPr>
                    <w:adjustRightInd w:val="0"/>
                    <w:snapToGrid w:val="0"/>
                    <w:spacing w:line="300" w:lineRule="exact"/>
                    <w:jc w:val="center"/>
                    <w:rPr>
                      <w:color w:val="000000"/>
                    </w:rPr>
                  </w:pPr>
                </w:p>
              </w:tc>
              <w:tc>
                <w:tcPr>
                  <w:tcW w:w="429" w:type="dxa"/>
                  <w:vAlign w:val="center"/>
                </w:tcPr>
                <w:p>
                  <w:pPr>
                    <w:adjustRightInd w:val="0"/>
                    <w:snapToGrid w:val="0"/>
                    <w:spacing w:line="300" w:lineRule="exact"/>
                    <w:jc w:val="center"/>
                    <w:rPr>
                      <w:bCs/>
                      <w:color w:val="000000"/>
                      <w:szCs w:val="21"/>
                    </w:rPr>
                  </w:pPr>
                  <w:r>
                    <w:rPr>
                      <w:bCs/>
                      <w:color w:val="000000"/>
                      <w:szCs w:val="21"/>
                    </w:rPr>
                    <w:t>土地资源</w:t>
                  </w:r>
                </w:p>
              </w:tc>
              <w:tc>
                <w:tcPr>
                  <w:tcW w:w="5741" w:type="dxa"/>
                  <w:vAlign w:val="center"/>
                </w:tcPr>
                <w:p>
                  <w:pPr>
                    <w:adjustRightInd w:val="0"/>
                    <w:snapToGrid w:val="0"/>
                    <w:spacing w:line="400" w:lineRule="exact"/>
                    <w:rPr>
                      <w:color w:val="000000"/>
                    </w:rPr>
                  </w:pPr>
                  <w:r>
                    <w:rPr>
                      <w:rFonts w:hint="eastAsia"/>
                      <w:color w:val="000000"/>
                    </w:rPr>
                    <w:t>1、制定建设项目特别是工业项目土地建设投资强度等限制要求，提高土地利用率。推广共享工厂、共享车间。</w:t>
                  </w:r>
                </w:p>
                <w:p>
                  <w:pPr>
                    <w:adjustRightInd w:val="0"/>
                    <w:snapToGrid w:val="0"/>
                    <w:spacing w:line="400" w:lineRule="exact"/>
                    <w:rPr>
                      <w:color w:val="000000"/>
                    </w:rPr>
                  </w:pPr>
                  <w:r>
                    <w:rPr>
                      <w:rFonts w:hint="eastAsia"/>
                      <w:color w:val="000000"/>
                    </w:rPr>
                    <w:t>2、推进工业园区或工业集中区建设，乡镇及街道新等新建工业项目应进入工业园区或工业集中区，现有工业企业应逐步向工业园区或工业集中区搬迁，以提高建设用地利用率。</w:t>
                  </w:r>
                </w:p>
              </w:tc>
              <w:tc>
                <w:tcPr>
                  <w:tcW w:w="1010" w:type="dxa"/>
                  <w:vAlign w:val="center"/>
                </w:tcPr>
                <w:p>
                  <w:pPr>
                    <w:adjustRightInd w:val="0"/>
                    <w:snapToGrid w:val="0"/>
                    <w:spacing w:line="400" w:lineRule="exact"/>
                    <w:rPr>
                      <w:bCs/>
                      <w:color w:val="000000"/>
                      <w:szCs w:val="21"/>
                    </w:rPr>
                  </w:pPr>
                  <w:r>
                    <w:rPr>
                      <w:rFonts w:hint="eastAsia"/>
                      <w:color w:val="000000"/>
                    </w:rPr>
                    <w:t>项目位于平原经济开发区，属于工业园区，符合要求。</w:t>
                  </w:r>
                </w:p>
              </w:tc>
            </w:tr>
          </w:tbl>
          <w:p>
            <w:pPr>
              <w:widowControl/>
              <w:spacing w:line="240" w:lineRule="exact"/>
              <w:ind w:firstLine="480" w:firstLineChars="200"/>
              <w:jc w:val="left"/>
              <w:rPr>
                <w:color w:val="000000"/>
                <w:sz w:val="24"/>
              </w:rPr>
            </w:pPr>
          </w:p>
          <w:p>
            <w:pPr>
              <w:pStyle w:val="Default"/>
              <w:spacing w:line="360" w:lineRule="auto"/>
              <w:jc w:val="center"/>
              <w:rPr>
                <w:rFonts w:ascii="Times New Roman" w:hAnsi="Times New Roman" w:cs="Times New Roman"/>
                <w:b/>
                <w:bCs/>
                <w:sz w:val="21"/>
                <w:szCs w:val="21"/>
              </w:rPr>
            </w:pPr>
            <w:r>
              <w:rPr>
                <w:rFonts w:ascii="Times New Roman" w:hAnsi="Times New Roman" w:cs="Times New Roman"/>
                <w:b/>
                <w:bCs/>
                <w:color w:val="000000"/>
                <w:sz w:val="21"/>
                <w:szCs w:val="21"/>
              </w:rPr>
              <w:t>表</w:t>
            </w:r>
            <w:r>
              <w:rPr>
                <w:rFonts w:ascii="Times New Roman" w:hAnsi="Times New Roman" w:cs="Times New Roman" w:hint="eastAsia"/>
                <w:b/>
                <w:bCs/>
                <w:color w:val="000000"/>
                <w:sz w:val="21"/>
                <w:szCs w:val="21"/>
              </w:rPr>
              <w:t>1-4</w:t>
            </w:r>
            <w:r>
              <w:rPr>
                <w:rFonts w:ascii="Times New Roman" w:hAnsi="Times New Roman" w:cs="Times New Roman"/>
                <w:b/>
                <w:bCs/>
                <w:color w:val="000000"/>
                <w:sz w:val="21"/>
                <w:szCs w:val="21"/>
              </w:rPr>
              <w:t xml:space="preserve"> </w:t>
            </w:r>
            <w:r>
              <w:rPr>
                <w:rFonts w:ascii="Times New Roman" w:hAnsi="Times New Roman" w:cs="Times New Roman" w:hint="eastAsia"/>
                <w:b/>
                <w:color w:val="000000"/>
                <w:sz w:val="21"/>
                <w:szCs w:val="21"/>
              </w:rPr>
              <w:t>项目与德州市生态环境准入清单（单元）符合性分析</w:t>
            </w:r>
          </w:p>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070"/>
              <w:gridCol w:w="31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567"/>
                <w:jc w:val="center"/>
              </w:trPr>
              <w:tc>
                <w:tcPr>
                  <w:tcW w:w="7904" w:type="dxa"/>
                  <w:gridSpan w:val="3"/>
                  <w:vAlign w:val="center"/>
                </w:tcPr>
                <w:p>
                  <w:pPr>
                    <w:adjustRightInd w:val="0"/>
                    <w:snapToGrid w:val="0"/>
                    <w:jc w:val="center"/>
                    <w:rPr>
                      <w:b/>
                      <w:color w:val="000000"/>
                      <w:szCs w:val="21"/>
                    </w:rPr>
                  </w:pPr>
                  <w:r>
                    <w:rPr>
                      <w:bCs/>
                      <w:color w:val="000000"/>
                      <w:szCs w:val="21"/>
                    </w:rPr>
                    <w:t>平原经济开发区工业区</w:t>
                  </w:r>
                </w:p>
              </w:tc>
            </w:tr>
            <w:tr>
              <w:tblPrEx>
                <w:tblW w:w="7904" w:type="dxa"/>
                <w:jc w:val="center"/>
                <w:tblLayout w:type="fixed"/>
                <w:tblCellMar>
                  <w:top w:w="0" w:type="dxa"/>
                  <w:left w:w="108" w:type="dxa"/>
                  <w:bottom w:w="0" w:type="dxa"/>
                  <w:right w:w="108" w:type="dxa"/>
                </w:tblCellMar>
              </w:tblPrEx>
              <w:trPr>
                <w:trHeight w:hRule="exact" w:val="567"/>
                <w:jc w:val="center"/>
              </w:trPr>
              <w:tc>
                <w:tcPr>
                  <w:tcW w:w="7904" w:type="dxa"/>
                  <w:gridSpan w:val="3"/>
                  <w:vAlign w:val="center"/>
                </w:tcPr>
                <w:p>
                  <w:pPr>
                    <w:adjustRightInd w:val="0"/>
                    <w:snapToGrid w:val="0"/>
                    <w:jc w:val="center"/>
                    <w:rPr>
                      <w:b/>
                      <w:color w:val="000000"/>
                      <w:szCs w:val="21"/>
                    </w:rPr>
                  </w:pPr>
                  <w:r>
                    <w:rPr>
                      <w:rFonts w:hint="eastAsia"/>
                      <w:bCs/>
                      <w:color w:val="000000"/>
                      <w:szCs w:val="21"/>
                    </w:rPr>
                    <w:t>ZH37142620006</w:t>
                  </w:r>
                </w:p>
              </w:tc>
            </w:tr>
            <w:tr>
              <w:tblPrEx>
                <w:tblW w:w="7904" w:type="dxa"/>
                <w:jc w:val="center"/>
                <w:tblLayout w:type="fixed"/>
                <w:tblCellMar>
                  <w:top w:w="0" w:type="dxa"/>
                  <w:left w:w="108" w:type="dxa"/>
                  <w:bottom w:w="0" w:type="dxa"/>
                  <w:right w:w="108" w:type="dxa"/>
                </w:tblCellMar>
              </w:tblPrEx>
              <w:trPr>
                <w:trHeight w:hRule="exact" w:val="567"/>
                <w:jc w:val="center"/>
              </w:trPr>
              <w:tc>
                <w:tcPr>
                  <w:tcW w:w="7904" w:type="dxa"/>
                  <w:gridSpan w:val="3"/>
                  <w:vAlign w:val="center"/>
                </w:tcPr>
                <w:p>
                  <w:pPr>
                    <w:adjustRightInd w:val="0"/>
                    <w:snapToGrid w:val="0"/>
                    <w:jc w:val="center"/>
                    <w:rPr>
                      <w:bCs/>
                      <w:color w:val="000000"/>
                      <w:szCs w:val="21"/>
                    </w:rPr>
                  </w:pPr>
                  <w:r>
                    <w:rPr>
                      <w:rFonts w:hint="eastAsia"/>
                      <w:bCs/>
                      <w:color w:val="000000"/>
                      <w:szCs w:val="21"/>
                    </w:rPr>
                    <w:t>重点管控单元</w:t>
                  </w:r>
                </w:p>
              </w:tc>
            </w:tr>
            <w:tr>
              <w:tblPrEx>
                <w:tblW w:w="7904" w:type="dxa"/>
                <w:jc w:val="center"/>
                <w:tblLayout w:type="fixed"/>
                <w:tblCellMar>
                  <w:top w:w="0" w:type="dxa"/>
                  <w:left w:w="108" w:type="dxa"/>
                  <w:bottom w:w="0" w:type="dxa"/>
                  <w:right w:w="108" w:type="dxa"/>
                </w:tblCellMar>
              </w:tblPrEx>
              <w:trPr>
                <w:trHeight w:val="5078"/>
                <w:jc w:val="center"/>
              </w:trPr>
              <w:tc>
                <w:tcPr>
                  <w:tcW w:w="724" w:type="dxa"/>
                  <w:vAlign w:val="center"/>
                </w:tcPr>
                <w:p>
                  <w:pPr>
                    <w:pStyle w:val="Default"/>
                    <w:jc w:val="center"/>
                    <w:rPr>
                      <w:rFonts w:ascii="Times New Roman" w:hAnsi="Times New Roman" w:cs="Times New Roman"/>
                      <w:bCs/>
                      <w:sz w:val="21"/>
                      <w:szCs w:val="21"/>
                    </w:rPr>
                  </w:pPr>
                  <w:r>
                    <w:rPr>
                      <w:rFonts w:ascii="Times New Roman" w:hAnsi="Times New Roman" w:cs="Times New Roman"/>
                      <w:bCs/>
                      <w:color w:val="000000"/>
                      <w:kern w:val="0"/>
                      <w:sz w:val="21"/>
                      <w:szCs w:val="21"/>
                    </w:rPr>
                    <w:t>空间布局约束</w:t>
                  </w:r>
                </w:p>
              </w:tc>
              <w:tc>
                <w:tcPr>
                  <w:tcW w:w="4070" w:type="dxa"/>
                  <w:vAlign w:val="center"/>
                </w:tcPr>
                <w:p>
                  <w:pPr>
                    <w:adjustRightInd w:val="0"/>
                    <w:snapToGrid w:val="0"/>
                    <w:spacing w:line="340" w:lineRule="exact"/>
                    <w:rPr>
                      <w:color w:val="000000"/>
                      <w:szCs w:val="21"/>
                    </w:rPr>
                  </w:pPr>
                  <w:r>
                    <w:rPr>
                      <w:rFonts w:hint="eastAsia"/>
                      <w:color w:val="000000"/>
                      <w:szCs w:val="21"/>
                    </w:rPr>
                    <w:t>1</w:t>
                  </w:r>
                  <w:r>
                    <w:rPr>
                      <w:color w:val="000000"/>
                      <w:szCs w:val="21"/>
                    </w:rPr>
                    <w:t xml:space="preserve">.执行全市空间布局约束要求。 </w:t>
                  </w:r>
                </w:p>
                <w:p>
                  <w:pPr>
                    <w:adjustRightInd w:val="0"/>
                    <w:snapToGrid w:val="0"/>
                    <w:spacing w:line="340" w:lineRule="exact"/>
                    <w:rPr>
                      <w:color w:val="000000"/>
                      <w:szCs w:val="21"/>
                    </w:rPr>
                  </w:pPr>
                  <w:r>
                    <w:rPr>
                      <w:rFonts w:hint="eastAsia"/>
                      <w:color w:val="000000"/>
                      <w:szCs w:val="21"/>
                    </w:rPr>
                    <w:t>2</w:t>
                  </w:r>
                  <w:r>
                    <w:rPr>
                      <w:color w:val="000000"/>
                      <w:szCs w:val="21"/>
                    </w:rPr>
                    <w:t xml:space="preserve">.工业建设建设应符合开发区规划环评中产业准入要求。 </w:t>
                  </w:r>
                </w:p>
                <w:p>
                  <w:pPr>
                    <w:adjustRightInd w:val="0"/>
                    <w:snapToGrid w:val="0"/>
                    <w:spacing w:line="340" w:lineRule="exact"/>
                    <w:rPr>
                      <w:color w:val="000000"/>
                      <w:szCs w:val="21"/>
                    </w:rPr>
                  </w:pPr>
                  <w:r>
                    <w:rPr>
                      <w:rFonts w:hint="eastAsia"/>
                      <w:color w:val="000000"/>
                      <w:szCs w:val="21"/>
                    </w:rPr>
                    <w:t>3</w:t>
                  </w:r>
                  <w:r>
                    <w:rPr>
                      <w:color w:val="000000"/>
                      <w:szCs w:val="21"/>
                    </w:rPr>
                    <w:t xml:space="preserve">.项目建设应充分考虑开发区内上下游产业链，突出产业协同优势。完善智能制造产业链。 </w:t>
                  </w:r>
                </w:p>
                <w:p>
                  <w:pPr>
                    <w:adjustRightInd w:val="0"/>
                    <w:snapToGrid w:val="0"/>
                    <w:spacing w:line="340" w:lineRule="exact"/>
                    <w:rPr>
                      <w:color w:val="000000"/>
                      <w:szCs w:val="21"/>
                    </w:rPr>
                  </w:pPr>
                  <w:r>
                    <w:rPr>
                      <w:rFonts w:hint="eastAsia"/>
                      <w:color w:val="000000"/>
                      <w:szCs w:val="21"/>
                    </w:rPr>
                    <w:t>4</w:t>
                  </w:r>
                  <w:r>
                    <w:rPr>
                      <w:color w:val="000000"/>
                      <w:szCs w:val="21"/>
                    </w:rPr>
                    <w:t>.禁止印染、制革、电镀、碳素等项目建设。控制用水量及废水排放量较大的工业项目建设，限制机制砂、机制石子等废气污染物排放量较大的工业项目建设。</w:t>
                  </w:r>
                </w:p>
                <w:p>
                  <w:pPr>
                    <w:adjustRightInd w:val="0"/>
                    <w:snapToGrid w:val="0"/>
                    <w:spacing w:line="340" w:lineRule="exact"/>
                    <w:rPr>
                      <w:bCs/>
                      <w:color w:val="000000"/>
                      <w:szCs w:val="21"/>
                    </w:rPr>
                  </w:pPr>
                  <w:r>
                    <w:rPr>
                      <w:color w:val="000000"/>
                      <w:szCs w:val="21"/>
                    </w:rPr>
                    <w:t>5.控制高耗水、高耗能（特别是煤炭）工业项目建设。</w:t>
                  </w:r>
                </w:p>
              </w:tc>
              <w:tc>
                <w:tcPr>
                  <w:tcW w:w="3110" w:type="dxa"/>
                  <w:vAlign w:val="center"/>
                </w:tcPr>
                <w:p>
                  <w:pPr>
                    <w:adjustRightInd w:val="0"/>
                    <w:snapToGrid w:val="0"/>
                    <w:spacing w:line="340" w:lineRule="exact"/>
                    <w:rPr>
                      <w:color w:val="000000"/>
                      <w:szCs w:val="21"/>
                    </w:rPr>
                  </w:pPr>
                  <w:r>
                    <w:rPr>
                      <w:color w:val="000000"/>
                      <w:szCs w:val="21"/>
                    </w:rPr>
                    <w:t>符合。</w:t>
                  </w:r>
                </w:p>
                <w:p>
                  <w:pPr>
                    <w:adjustRightInd w:val="0"/>
                    <w:snapToGrid w:val="0"/>
                    <w:spacing w:line="340" w:lineRule="exact"/>
                    <w:rPr>
                      <w:color w:val="000000"/>
                      <w:szCs w:val="21"/>
                    </w:rPr>
                  </w:pPr>
                  <w:r>
                    <w:rPr>
                      <w:color w:val="000000"/>
                      <w:szCs w:val="21"/>
                    </w:rPr>
                    <w:t>1.项目满足全市空间布局约束空间准入要求。</w:t>
                  </w:r>
                </w:p>
                <w:p>
                  <w:pPr>
                    <w:adjustRightInd w:val="0"/>
                    <w:snapToGrid w:val="0"/>
                    <w:spacing w:line="340" w:lineRule="exact"/>
                    <w:rPr>
                      <w:color w:val="000000"/>
                      <w:szCs w:val="21"/>
                    </w:rPr>
                  </w:pPr>
                  <w:r>
                    <w:rPr>
                      <w:color w:val="000000"/>
                      <w:szCs w:val="21"/>
                    </w:rPr>
                    <w:t>2.项目符合开发区规划环评中产业准入要求。</w:t>
                  </w:r>
                </w:p>
                <w:p>
                  <w:pPr>
                    <w:adjustRightInd w:val="0"/>
                    <w:snapToGrid w:val="0"/>
                    <w:spacing w:line="340" w:lineRule="exact"/>
                    <w:rPr>
                      <w:color w:val="000000"/>
                      <w:szCs w:val="21"/>
                    </w:rPr>
                  </w:pPr>
                  <w:r>
                    <w:rPr>
                      <w:color w:val="000000"/>
                      <w:szCs w:val="21"/>
                    </w:rPr>
                    <w:t>3.项目充分考虑开发区内上下游产业链，突出产业协同优势。完善智能制造产业链。</w:t>
                  </w:r>
                </w:p>
                <w:p>
                  <w:pPr>
                    <w:pStyle w:val="TOC2"/>
                    <w:spacing w:line="340" w:lineRule="exact"/>
                    <w:ind w:left="0"/>
                    <w:jc w:val="both"/>
                    <w:rPr>
                      <w:color w:val="000000"/>
                      <w:sz w:val="21"/>
                      <w:szCs w:val="21"/>
                    </w:rPr>
                  </w:pPr>
                  <w:r>
                    <w:rPr>
                      <w:color w:val="000000"/>
                      <w:sz w:val="21"/>
                      <w:szCs w:val="21"/>
                    </w:rPr>
                    <w:t>4.项目不属于印染、制革、电镀、碳素等项目，用水量较少，不属于机制砂、机制石子等废气污染物排放量较大的工业项目。</w:t>
                  </w:r>
                </w:p>
                <w:p>
                  <w:pPr>
                    <w:spacing w:line="340" w:lineRule="exact"/>
                    <w:rPr>
                      <w:bCs/>
                      <w:color w:val="000000"/>
                      <w:szCs w:val="21"/>
                    </w:rPr>
                  </w:pPr>
                  <w:r>
                    <w:rPr>
                      <w:color w:val="000000"/>
                      <w:szCs w:val="21"/>
                    </w:rPr>
                    <w:t>5.项目不属于高耗水高耗能工业项目。</w:t>
                  </w:r>
                </w:p>
              </w:tc>
            </w:tr>
          </w:tbl>
          <w:p/>
        </w:tc>
      </w:tr>
    </w:tbl>
    <w:p>
      <w:pPr>
        <w:sectPr>
          <w:footerReference w:type="default" r:id="rId20"/>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5"/>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070"/>
              <w:gridCol w:w="31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410"/>
                <w:jc w:val="center"/>
              </w:trPr>
              <w:tc>
                <w:tcPr>
                  <w:tcW w:w="724" w:type="dxa"/>
                  <w:vAlign w:val="center"/>
                </w:tcPr>
                <w:p>
                  <w:pPr>
                    <w:pStyle w:val="Default"/>
                    <w:jc w:val="center"/>
                    <w:rPr>
                      <w:rFonts w:ascii="Times New Roman" w:hAnsi="Times New Roman" w:cs="Times New Roman"/>
                      <w:bCs/>
                      <w:sz w:val="21"/>
                      <w:szCs w:val="21"/>
                    </w:rPr>
                  </w:pPr>
                  <w:r>
                    <w:rPr>
                      <w:rFonts w:ascii="Times New Roman" w:hAnsi="Times New Roman" w:cs="Times New Roman"/>
                      <w:bCs/>
                      <w:color w:val="000000"/>
                      <w:kern w:val="0"/>
                      <w:sz w:val="21"/>
                      <w:szCs w:val="21"/>
                    </w:rPr>
                    <w:t>污染物排放管控</w:t>
                  </w:r>
                </w:p>
              </w:tc>
              <w:tc>
                <w:tcPr>
                  <w:tcW w:w="4070" w:type="dxa"/>
                  <w:vAlign w:val="center"/>
                </w:tcPr>
                <w:p>
                  <w:pPr>
                    <w:adjustRightInd w:val="0"/>
                    <w:snapToGrid w:val="0"/>
                    <w:spacing w:line="300" w:lineRule="exact"/>
                    <w:rPr>
                      <w:color w:val="000000"/>
                      <w:szCs w:val="21"/>
                    </w:rPr>
                  </w:pPr>
                  <w:r>
                    <w:rPr>
                      <w:rFonts w:hint="eastAsia"/>
                      <w:color w:val="000000"/>
                      <w:szCs w:val="21"/>
                    </w:rPr>
                    <w:t>1</w:t>
                  </w:r>
                  <w:r>
                    <w:rPr>
                      <w:color w:val="000000"/>
                      <w:szCs w:val="21"/>
                    </w:rPr>
                    <w:t>.</w:t>
                  </w:r>
                  <w:r>
                    <w:rPr>
                      <w:rFonts w:hint="eastAsia"/>
                      <w:color w:val="000000"/>
                      <w:szCs w:val="21"/>
                    </w:rPr>
                    <w:t>除执行（DB37/2376-2019）《区域行大气污染物综合排放标准》外，山东省有行业排放标准的，如锅炉、建材工业等，均按照行业排放标准分区域执行。</w:t>
                  </w:r>
                </w:p>
                <w:p>
                  <w:pPr>
                    <w:adjustRightInd w:val="0"/>
                    <w:snapToGrid w:val="0"/>
                    <w:spacing w:line="300" w:lineRule="exact"/>
                    <w:rPr>
                      <w:color w:val="000000"/>
                      <w:szCs w:val="21"/>
                    </w:rPr>
                  </w:pPr>
                  <w:r>
                    <w:rPr>
                      <w:rFonts w:hint="eastAsia"/>
                      <w:color w:val="000000"/>
                      <w:szCs w:val="21"/>
                    </w:rPr>
                    <w:t>2</w:t>
                  </w:r>
                  <w:r>
                    <w:rPr>
                      <w:color w:val="000000"/>
                      <w:szCs w:val="21"/>
                    </w:rPr>
                    <w:t>.严格控制VOCs排放重点行业新增污染物排放量，单元内涉及挥发性有机物排放的行业应严格遵守山东省地方标准《挥发性有机物排放标准》（DB37/2801）。涉VOCs企业无组织排放控制执行《挥发性有机物无组织排放控制标准（GB37822-2019）》。玻璃钢、工业涂装等行业执行《山东省涉挥发性有机物企业分行业治理指导意见》，推行源头替代、加强过程控制和末端治理，加强挥发性有机物(VOCs)废气收集与治理，建设有效的废气收集系统和VOC</w:t>
                  </w:r>
                  <w:r>
                    <w:rPr>
                      <w:rFonts w:hint="eastAsia"/>
                      <w:color w:val="000000"/>
                      <w:szCs w:val="21"/>
                    </w:rPr>
                    <w:t>s</w:t>
                  </w:r>
                  <w:r>
                    <w:rPr>
                      <w:color w:val="000000"/>
                      <w:szCs w:val="21"/>
                    </w:rPr>
                    <w:t>处理设施。重点排放源VOC</w:t>
                  </w:r>
                  <w:r>
                    <w:rPr>
                      <w:rFonts w:hint="eastAsia"/>
                      <w:color w:val="000000"/>
                      <w:szCs w:val="21"/>
                    </w:rPr>
                    <w:t>s</w:t>
                  </w:r>
                  <w:r>
                    <w:rPr>
                      <w:color w:val="000000"/>
                      <w:szCs w:val="21"/>
                    </w:rPr>
                    <w:t>处理效率达到80%以上。</w:t>
                  </w:r>
                </w:p>
                <w:p>
                  <w:pPr>
                    <w:adjustRightInd w:val="0"/>
                    <w:snapToGrid w:val="0"/>
                    <w:spacing w:line="300" w:lineRule="exact"/>
                    <w:rPr>
                      <w:bCs/>
                      <w:color w:val="000000"/>
                      <w:szCs w:val="21"/>
                    </w:rPr>
                  </w:pPr>
                  <w:r>
                    <w:rPr>
                      <w:color w:val="000000"/>
                      <w:szCs w:val="21"/>
                    </w:rPr>
                    <w:t>3.执行《流域水污染物综合排放标准</w:t>
                  </w:r>
                  <w:r>
                    <w:rPr>
                      <w:rFonts w:hint="eastAsia"/>
                      <w:color w:val="000000"/>
                      <w:szCs w:val="21"/>
                    </w:rPr>
                    <w:t xml:space="preserve"> </w:t>
                  </w:r>
                  <w:r>
                    <w:rPr>
                      <w:color w:val="000000"/>
                      <w:szCs w:val="21"/>
                    </w:rPr>
                    <w:t>第4部分：海河流域》标准。排入集中污水处理设施的工业企业，所排废水经预处理后须达到集中处理要求。</w:t>
                  </w:r>
                  <w:r>
                    <w:rPr>
                      <w:color w:val="000000"/>
                      <w:kern w:val="0"/>
                      <w:szCs w:val="21"/>
                    </w:rPr>
                    <w:t>对影响集中污水处理设施出水稳定达标的企业进行生产工艺和污染治理设施升级改造，确保集中污水处理设施出水稳定达标。</w:t>
                  </w:r>
                </w:p>
              </w:tc>
              <w:tc>
                <w:tcPr>
                  <w:tcW w:w="3110" w:type="dxa"/>
                  <w:vAlign w:val="center"/>
                </w:tcPr>
                <w:p>
                  <w:pPr>
                    <w:adjustRightInd w:val="0"/>
                    <w:snapToGrid w:val="0"/>
                    <w:spacing w:line="300" w:lineRule="exact"/>
                    <w:rPr>
                      <w:color w:val="000000"/>
                      <w:spacing w:val="6"/>
                      <w:szCs w:val="21"/>
                    </w:rPr>
                  </w:pPr>
                  <w:r>
                    <w:rPr>
                      <w:color w:val="000000"/>
                      <w:spacing w:val="6"/>
                      <w:szCs w:val="21"/>
                    </w:rPr>
                    <w:t>符合。</w:t>
                  </w:r>
                </w:p>
                <w:p>
                  <w:pPr>
                    <w:adjustRightInd w:val="0"/>
                    <w:snapToGrid w:val="0"/>
                    <w:spacing w:line="300" w:lineRule="exact"/>
                    <w:rPr>
                      <w:bCs/>
                      <w:color w:val="000000"/>
                      <w:szCs w:val="21"/>
                    </w:rPr>
                  </w:pPr>
                  <w:r>
                    <w:rPr>
                      <w:color w:val="000000"/>
                      <w:szCs w:val="21"/>
                    </w:rPr>
                    <w:t>项目VOCs</w:t>
                  </w:r>
                  <w:r>
                    <w:rPr>
                      <w:rFonts w:hint="eastAsia"/>
                      <w:color w:val="000000"/>
                      <w:szCs w:val="21"/>
                    </w:rPr>
                    <w:t>排放严格遵守</w:t>
                  </w:r>
                  <w:r>
                    <w:rPr>
                      <w:color w:val="000000"/>
                      <w:szCs w:val="21"/>
                    </w:rPr>
                    <w:t>《挥发性有机物排放标准》（DB37/2801）</w:t>
                  </w:r>
                  <w:r>
                    <w:rPr>
                      <w:rFonts w:hint="eastAsia"/>
                      <w:color w:val="000000"/>
                      <w:szCs w:val="21"/>
                    </w:rPr>
                    <w:t>，</w:t>
                  </w:r>
                  <w:r>
                    <w:rPr>
                      <w:color w:val="000000"/>
                      <w:szCs w:val="21"/>
                    </w:rPr>
                    <w:t>无组织排放控制执行《挥发性有机物无组织排放控制标准（GB37822-2019）》</w:t>
                  </w:r>
                  <w:r>
                    <w:rPr>
                      <w:rFonts w:hint="eastAsia"/>
                      <w:color w:val="000000"/>
                      <w:szCs w:val="21"/>
                    </w:rPr>
                    <w:t>，</w:t>
                  </w:r>
                  <w:r>
                    <w:rPr>
                      <w:color w:val="000000"/>
                      <w:szCs w:val="21"/>
                    </w:rPr>
                    <w:t>加强挥发性有机物(VOCs)废气收集与治理，建设有效的废气收集系统和VOC</w:t>
                  </w:r>
                  <w:r>
                    <w:rPr>
                      <w:rFonts w:hint="eastAsia"/>
                      <w:color w:val="000000"/>
                      <w:szCs w:val="21"/>
                    </w:rPr>
                    <w:t>s</w:t>
                  </w:r>
                  <w:r>
                    <w:rPr>
                      <w:color w:val="000000"/>
                      <w:szCs w:val="21"/>
                    </w:rPr>
                    <w:t>处理设施。</w:t>
                  </w:r>
                  <w:r>
                    <w:rPr>
                      <w:rFonts w:hint="eastAsia"/>
                      <w:color w:val="000000"/>
                      <w:szCs w:val="21"/>
                    </w:rPr>
                    <w:t>循环冷却水循环使用，不外排；生活污水</w:t>
                  </w:r>
                  <w:r>
                    <w:rPr>
                      <w:color w:val="000000"/>
                      <w:szCs w:val="21"/>
                    </w:rPr>
                    <w:t>经化粪池处理后排入</w:t>
                  </w:r>
                  <w:r>
                    <w:rPr>
                      <w:rFonts w:hint="eastAsia"/>
                      <w:color w:val="000000"/>
                      <w:szCs w:val="21"/>
                    </w:rPr>
                    <w:t>市政</w:t>
                  </w:r>
                  <w:r>
                    <w:rPr>
                      <w:color w:val="000000"/>
                      <w:szCs w:val="21"/>
                    </w:rPr>
                    <w:t>管网</w:t>
                  </w:r>
                  <w:r>
                    <w:rPr>
                      <w:rFonts w:hint="eastAsia"/>
                      <w:color w:val="000000"/>
                      <w:szCs w:val="21"/>
                    </w:rPr>
                    <w:t>，</w:t>
                  </w:r>
                  <w:r>
                    <w:rPr>
                      <w:color w:val="000000"/>
                      <w:szCs w:val="21"/>
                    </w:rPr>
                    <w:t>由</w:t>
                  </w:r>
                  <w:r>
                    <w:rPr>
                      <w:rFonts w:hint="eastAsia"/>
                      <w:color w:val="000000"/>
                      <w:szCs w:val="21"/>
                    </w:rPr>
                    <w:t>平原县中设水务有限公司</w:t>
                  </w:r>
                  <w:r>
                    <w:rPr>
                      <w:color w:val="000000"/>
                      <w:szCs w:val="21"/>
                    </w:rPr>
                    <w:t>集中处理后达标排放。</w:t>
                  </w:r>
                </w:p>
              </w:tc>
            </w:tr>
            <w:tr>
              <w:tblPrEx>
                <w:tblW w:w="7904" w:type="dxa"/>
                <w:jc w:val="center"/>
                <w:tblLayout w:type="fixed"/>
                <w:tblCellMar>
                  <w:top w:w="0" w:type="dxa"/>
                  <w:left w:w="108" w:type="dxa"/>
                  <w:bottom w:w="0" w:type="dxa"/>
                  <w:right w:w="108" w:type="dxa"/>
                </w:tblCellMar>
              </w:tblPrEx>
              <w:trPr>
                <w:trHeight w:val="6198"/>
                <w:jc w:val="center"/>
              </w:trPr>
              <w:tc>
                <w:tcPr>
                  <w:tcW w:w="724" w:type="dxa"/>
                  <w:vAlign w:val="center"/>
                </w:tcPr>
                <w:p>
                  <w:pPr>
                    <w:pStyle w:val="Default"/>
                    <w:jc w:val="center"/>
                    <w:rPr>
                      <w:rFonts w:ascii="Times New Roman" w:hAnsi="Times New Roman" w:cs="Times New Roman"/>
                      <w:bCs/>
                      <w:sz w:val="21"/>
                      <w:szCs w:val="21"/>
                    </w:rPr>
                  </w:pPr>
                  <w:r>
                    <w:rPr>
                      <w:rFonts w:ascii="Times New Roman" w:hAnsi="Times New Roman" w:cs="Times New Roman"/>
                      <w:bCs/>
                      <w:color w:val="000000"/>
                      <w:kern w:val="0"/>
                      <w:sz w:val="21"/>
                      <w:szCs w:val="21"/>
                    </w:rPr>
                    <w:t>环境风险防控</w:t>
                  </w:r>
                </w:p>
              </w:tc>
              <w:tc>
                <w:tcPr>
                  <w:tcW w:w="4070" w:type="dxa"/>
                  <w:vAlign w:val="center"/>
                </w:tcPr>
                <w:p>
                  <w:pPr>
                    <w:adjustRightInd w:val="0"/>
                    <w:snapToGrid w:val="0"/>
                    <w:rPr>
                      <w:color w:val="000000"/>
                      <w:szCs w:val="21"/>
                    </w:rPr>
                  </w:pPr>
                  <w:r>
                    <w:rPr>
                      <w:rFonts w:hint="eastAsia"/>
                      <w:color w:val="000000"/>
                      <w:szCs w:val="21"/>
                    </w:rPr>
                    <w:t>1</w:t>
                  </w:r>
                  <w:r>
                    <w:rPr>
                      <w:color w:val="000000"/>
                      <w:szCs w:val="21"/>
                    </w:rPr>
                    <w:t>.建立健全环境风险管控体系，编制应急预案，建设环境应急管理机构、专职环境救援机构；按照应急预案要求组织演练。</w:t>
                  </w:r>
                </w:p>
                <w:p>
                  <w:pPr>
                    <w:adjustRightInd w:val="0"/>
                    <w:snapToGrid w:val="0"/>
                    <w:rPr>
                      <w:color w:val="000000"/>
                      <w:szCs w:val="21"/>
                    </w:rPr>
                  </w:pPr>
                  <w:r>
                    <w:rPr>
                      <w:rFonts w:hint="eastAsia"/>
                      <w:color w:val="000000"/>
                      <w:szCs w:val="21"/>
                    </w:rPr>
                    <w:t>2</w:t>
                  </w:r>
                  <w:r>
                    <w:rPr>
                      <w:color w:val="000000"/>
                      <w:szCs w:val="21"/>
                    </w:rPr>
                    <w:t>.涉及有毒有害气体的企业应制定并落实监测计划，开发区应具备相应的特征污染物自行监测能力。</w:t>
                  </w:r>
                </w:p>
                <w:p>
                  <w:pPr>
                    <w:adjustRightInd w:val="0"/>
                    <w:snapToGrid w:val="0"/>
                    <w:rPr>
                      <w:color w:val="000000"/>
                      <w:szCs w:val="21"/>
                    </w:rPr>
                  </w:pPr>
                  <w:r>
                    <w:rPr>
                      <w:rFonts w:hint="eastAsia"/>
                      <w:color w:val="000000"/>
                      <w:szCs w:val="21"/>
                    </w:rPr>
                    <w:t>3</w:t>
                  </w:r>
                  <w:r>
                    <w:rPr>
                      <w:color w:val="000000"/>
                      <w:szCs w:val="21"/>
                    </w:rPr>
                    <w:t xml:space="preserve">.按照应急预案要求配置污染物拦截、处置等应急物资。 </w:t>
                  </w:r>
                </w:p>
                <w:p>
                  <w:pPr>
                    <w:adjustRightInd w:val="0"/>
                    <w:snapToGrid w:val="0"/>
                    <w:rPr>
                      <w:color w:val="000000"/>
                      <w:szCs w:val="21"/>
                    </w:rPr>
                  </w:pPr>
                  <w:r>
                    <w:rPr>
                      <w:rFonts w:hint="eastAsia"/>
                      <w:color w:val="000000"/>
                      <w:szCs w:val="21"/>
                    </w:rPr>
                    <w:t>4</w:t>
                  </w:r>
                  <w:r>
                    <w:rPr>
                      <w:color w:val="000000"/>
                      <w:szCs w:val="21"/>
                    </w:rPr>
                    <w:t>.环境高风险企业（《突发环境事件风险评估报告》中风险等级为较大或重大的企业）应向保险公司投保环境污染责任保险。主动公开生态环境相关信息。</w:t>
                  </w:r>
                </w:p>
                <w:p>
                  <w:pPr>
                    <w:adjustRightInd w:val="0"/>
                    <w:snapToGrid w:val="0"/>
                    <w:rPr>
                      <w:color w:val="000000"/>
                      <w:szCs w:val="21"/>
                    </w:rPr>
                  </w:pPr>
                  <w:r>
                    <w:rPr>
                      <w:rFonts w:hint="eastAsia"/>
                      <w:color w:val="000000"/>
                      <w:szCs w:val="21"/>
                    </w:rPr>
                    <w:t>5</w:t>
                  </w:r>
                  <w:r>
                    <w:rPr>
                      <w:color w:val="000000"/>
                      <w:szCs w:val="21"/>
                    </w:rPr>
                    <w:t>.开发区内企业存在生产、储存装置与学校、医院、居民集中区等敏感点的距离应当符合安全、卫生防护等有关要求。危险化学品生产和储存装置安全防护距离测算参考《危险化学品生产和储存装置外部安全防护距离确定方法》（GB/T37243-2019)。</w:t>
                  </w:r>
                </w:p>
                <w:p>
                  <w:pPr>
                    <w:adjustRightInd w:val="0"/>
                    <w:snapToGrid w:val="0"/>
                    <w:rPr>
                      <w:bCs/>
                      <w:color w:val="000000"/>
                      <w:szCs w:val="21"/>
                    </w:rPr>
                  </w:pPr>
                  <w:r>
                    <w:rPr>
                      <w:color w:val="000000"/>
                      <w:szCs w:val="21"/>
                    </w:rPr>
                    <w:t>6.对从业和管理人员进行环境和安全专业教育，提高环境防控和安全意识以及技术素养，形成与园区环境和安全风险相匹配的管理能力和管理水平。</w:t>
                  </w:r>
                </w:p>
              </w:tc>
              <w:tc>
                <w:tcPr>
                  <w:tcW w:w="3110" w:type="dxa"/>
                  <w:vAlign w:val="center"/>
                </w:tcPr>
                <w:p>
                  <w:pPr>
                    <w:adjustRightInd w:val="0"/>
                    <w:snapToGrid w:val="0"/>
                    <w:rPr>
                      <w:color w:val="000000"/>
                      <w:szCs w:val="21"/>
                    </w:rPr>
                  </w:pPr>
                  <w:r>
                    <w:rPr>
                      <w:color w:val="000000"/>
                      <w:szCs w:val="21"/>
                    </w:rPr>
                    <w:t>符合。</w:t>
                  </w:r>
                </w:p>
                <w:p>
                  <w:pPr>
                    <w:adjustRightInd w:val="0"/>
                    <w:snapToGrid w:val="0"/>
                    <w:rPr>
                      <w:bCs/>
                      <w:color w:val="000000"/>
                      <w:szCs w:val="21"/>
                    </w:rPr>
                  </w:pPr>
                  <w:r>
                    <w:rPr>
                      <w:color w:val="000000"/>
                      <w:szCs w:val="21"/>
                    </w:rPr>
                    <w:t>对从业和管理人员定期进行环境和安全专业教育，提高环境防控和安全意识以及技术素养，建立各企业危险废物的贮存、申报、经营许可、转移和处置管理制度。</w:t>
                  </w:r>
                </w:p>
              </w:tc>
            </w:tr>
          </w:tbl>
          <w:p/>
        </w:tc>
      </w:tr>
    </w:tbl>
    <w:p>
      <w:pPr>
        <w:sectPr>
          <w:footerReference w:type="default" r:id="rId21"/>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6"/>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4"/>
              <w:gridCol w:w="4070"/>
              <w:gridCol w:w="3110"/>
            </w:tblGrid>
            <w:tr>
              <w:tblPrEx>
                <w:tblW w:w="7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420"/>
                <w:jc w:val="center"/>
              </w:trPr>
              <w:tc>
                <w:tcPr>
                  <w:tcW w:w="724" w:type="dxa"/>
                  <w:vAlign w:val="center"/>
                </w:tcPr>
                <w:p>
                  <w:pPr>
                    <w:pStyle w:val="Default"/>
                    <w:jc w:val="center"/>
                    <w:rPr>
                      <w:rFonts w:ascii="Times New Roman" w:hAnsi="Times New Roman" w:cs="Times New Roman"/>
                      <w:bCs/>
                      <w:sz w:val="21"/>
                      <w:szCs w:val="21"/>
                    </w:rPr>
                  </w:pPr>
                  <w:r>
                    <w:rPr>
                      <w:rFonts w:ascii="Times New Roman" w:hAnsi="Times New Roman" w:cs="Times New Roman"/>
                      <w:bCs/>
                      <w:color w:val="000000"/>
                      <w:kern w:val="0"/>
                      <w:sz w:val="21"/>
                      <w:szCs w:val="21"/>
                    </w:rPr>
                    <w:t>资源开发效率要求</w:t>
                  </w:r>
                </w:p>
              </w:tc>
              <w:tc>
                <w:tcPr>
                  <w:tcW w:w="4070" w:type="dxa"/>
                  <w:vAlign w:val="center"/>
                </w:tcPr>
                <w:p>
                  <w:pPr>
                    <w:widowControl/>
                    <w:rPr>
                      <w:color w:val="000000"/>
                      <w:kern w:val="0"/>
                      <w:szCs w:val="21"/>
                    </w:rPr>
                  </w:pPr>
                  <w:r>
                    <w:rPr>
                      <w:rFonts w:hint="eastAsia"/>
                      <w:color w:val="000000"/>
                      <w:kern w:val="0"/>
                      <w:szCs w:val="21"/>
                    </w:rPr>
                    <w:t>1.</w:t>
                  </w:r>
                  <w:r>
                    <w:rPr>
                      <w:color w:val="000000"/>
                      <w:kern w:val="0"/>
                      <w:szCs w:val="21"/>
                    </w:rPr>
                    <w:t>现有高耗水行业水资源消耗强度和污染物排放水平应要达到国内同行先进水平，落后工艺限期进行升级改造。</w:t>
                  </w:r>
                </w:p>
                <w:p>
                  <w:pPr>
                    <w:widowControl/>
                    <w:rPr>
                      <w:color w:val="000000"/>
                      <w:kern w:val="0"/>
                      <w:szCs w:val="21"/>
                    </w:rPr>
                  </w:pPr>
                  <w:r>
                    <w:rPr>
                      <w:color w:val="000000"/>
                      <w:kern w:val="0"/>
                      <w:szCs w:val="21"/>
                    </w:rPr>
                    <w:t>2.推进重点企业清洁生产审核。</w:t>
                  </w:r>
                </w:p>
                <w:p>
                  <w:pPr>
                    <w:widowControl/>
                    <w:rPr>
                      <w:color w:val="000000"/>
                      <w:kern w:val="0"/>
                      <w:szCs w:val="21"/>
                    </w:rPr>
                  </w:pPr>
                  <w:r>
                    <w:rPr>
                      <w:color w:val="000000"/>
                      <w:kern w:val="0"/>
                      <w:szCs w:val="21"/>
                    </w:rPr>
                    <w:t>3.提高节水型企业比例，提高工业用水重复利用率，提高再生水利用率，降低万元工业增加值新鲜水消耗量。</w:t>
                  </w:r>
                </w:p>
                <w:p>
                  <w:pPr>
                    <w:widowControl/>
                    <w:rPr>
                      <w:bCs/>
                      <w:color w:val="000000"/>
                      <w:szCs w:val="21"/>
                    </w:rPr>
                  </w:pPr>
                  <w:r>
                    <w:rPr>
                      <w:color w:val="000000"/>
                      <w:kern w:val="0"/>
                      <w:szCs w:val="21"/>
                    </w:rPr>
                    <w:t>4.开展国家生态工业示范园区建设。</w:t>
                  </w:r>
                </w:p>
              </w:tc>
              <w:tc>
                <w:tcPr>
                  <w:tcW w:w="3110" w:type="dxa"/>
                  <w:vAlign w:val="center"/>
                </w:tcPr>
                <w:p>
                  <w:pPr>
                    <w:adjustRightInd w:val="0"/>
                    <w:snapToGrid w:val="0"/>
                    <w:rPr>
                      <w:color w:val="000000"/>
                      <w:szCs w:val="21"/>
                    </w:rPr>
                  </w:pPr>
                  <w:r>
                    <w:rPr>
                      <w:color w:val="000000"/>
                      <w:szCs w:val="21"/>
                    </w:rPr>
                    <w:t>符合。</w:t>
                  </w:r>
                </w:p>
                <w:p>
                  <w:pPr>
                    <w:adjustRightInd w:val="0"/>
                    <w:snapToGrid w:val="0"/>
                    <w:rPr>
                      <w:color w:val="000000"/>
                      <w:szCs w:val="21"/>
                    </w:rPr>
                  </w:pPr>
                  <w:r>
                    <w:rPr>
                      <w:color w:val="000000"/>
                      <w:szCs w:val="21"/>
                    </w:rPr>
                    <w:t>1.项目不属于高耗水行业。</w:t>
                  </w:r>
                </w:p>
                <w:p>
                  <w:pPr>
                    <w:adjustRightInd w:val="0"/>
                    <w:snapToGrid w:val="0"/>
                    <w:rPr>
                      <w:color w:val="000000"/>
                      <w:szCs w:val="21"/>
                    </w:rPr>
                  </w:pPr>
                  <w:r>
                    <w:rPr>
                      <w:color w:val="000000"/>
                      <w:szCs w:val="21"/>
                    </w:rPr>
                    <w:t>2.项目生产用水重复利用。</w:t>
                  </w:r>
                </w:p>
                <w:p>
                  <w:pPr>
                    <w:adjustRightInd w:val="0"/>
                    <w:snapToGrid w:val="0"/>
                    <w:rPr>
                      <w:bCs/>
                      <w:color w:val="000000"/>
                      <w:szCs w:val="21"/>
                    </w:rPr>
                  </w:pPr>
                  <w:r>
                    <w:rPr>
                      <w:color w:val="000000"/>
                      <w:szCs w:val="21"/>
                    </w:rPr>
                    <w:t xml:space="preserve">3.在生产及生活过程中节约用水。 </w:t>
                  </w:r>
                </w:p>
              </w:tc>
            </w:tr>
          </w:tbl>
          <w:p>
            <w:pPr>
              <w:pStyle w:val="Heading3"/>
              <w:adjustRightInd w:val="0"/>
              <w:snapToGrid w:val="0"/>
              <w:spacing w:before="0" w:after="0" w:line="240" w:lineRule="exact"/>
              <w:ind w:firstLine="0" w:firstLineChars="0"/>
              <w:rPr>
                <w:color w:val="000000"/>
                <w:sz w:val="21"/>
                <w:szCs w:val="21"/>
              </w:rPr>
            </w:pPr>
          </w:p>
          <w:p>
            <w:pPr>
              <w:pStyle w:val="Heading3"/>
              <w:adjustRightInd w:val="0"/>
              <w:snapToGrid w:val="0"/>
              <w:spacing w:before="0" w:after="0" w:line="360" w:lineRule="auto"/>
              <w:ind w:firstLine="422"/>
              <w:rPr>
                <w:color w:val="000000"/>
                <w:sz w:val="21"/>
                <w:szCs w:val="21"/>
              </w:rPr>
            </w:pPr>
            <w:r>
              <w:rPr>
                <w:rFonts w:hint="eastAsia"/>
                <w:color w:val="000000"/>
                <w:sz w:val="21"/>
                <w:szCs w:val="21"/>
              </w:rPr>
              <w:t>四、与《山东省环境保护条例》符合性分析</w:t>
            </w:r>
          </w:p>
          <w:p>
            <w:pPr>
              <w:pStyle w:val="Caption"/>
              <w:adjustRightInd w:val="0"/>
              <w:snapToGrid w:val="0"/>
              <w:spacing w:before="0" w:after="0"/>
              <w:ind w:firstLine="0" w:firstLineChars="0"/>
              <w:rPr>
                <w:rFonts w:ascii="Times New Roman" w:eastAsia="宋体" w:hAnsi="Times New Roman"/>
                <w:color w:val="000000"/>
                <w:kern w:val="0"/>
                <w:szCs w:val="21"/>
                <w:u w:val="none"/>
              </w:rPr>
            </w:pPr>
            <w:r>
              <w:rPr>
                <w:rFonts w:ascii="Times New Roman" w:eastAsia="宋体" w:hAnsi="Times New Roman" w:hint="eastAsia"/>
                <w:b/>
                <w:color w:val="000000"/>
                <w:kern w:val="0"/>
                <w:szCs w:val="21"/>
                <w:u w:val="none"/>
              </w:rPr>
              <w:t xml:space="preserve">表1-5 </w:t>
            </w:r>
            <w:r>
              <w:rPr>
                <w:rFonts w:ascii="Times New Roman" w:eastAsia="宋体" w:hAnsi="Times New Roman"/>
                <w:b/>
                <w:color w:val="000000"/>
                <w:kern w:val="0"/>
                <w:szCs w:val="21"/>
                <w:u w:val="none"/>
              </w:rPr>
              <w:t>与《山东省环境保护</w:t>
            </w:r>
            <w:r>
              <w:rPr>
                <w:rFonts w:ascii="Times New Roman" w:eastAsia="宋体" w:hAnsi="Times New Roman" w:hint="eastAsia"/>
                <w:b/>
                <w:color w:val="000000"/>
                <w:kern w:val="0"/>
                <w:szCs w:val="21"/>
                <w:u w:val="none"/>
              </w:rPr>
              <w:t>条例</w:t>
            </w:r>
            <w:r>
              <w:rPr>
                <w:rFonts w:ascii="Times New Roman" w:eastAsia="宋体" w:hAnsi="Times New Roman"/>
                <w:b/>
                <w:color w:val="000000"/>
                <w:kern w:val="0"/>
                <w:szCs w:val="21"/>
                <w:u w:val="none"/>
              </w:rPr>
              <w:t>》符合性分析</w:t>
            </w:r>
          </w:p>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
            <w:tblGrid>
              <w:gridCol w:w="4260"/>
              <w:gridCol w:w="2018"/>
              <w:gridCol w:w="1402"/>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08" w:type="dxa"/>
                  <w:bottom w:w="57" w:type="dxa"/>
                  <w:right w:w="108" w:type="dxa"/>
                </w:tblCellMar>
              </w:tblPrEx>
              <w:trPr>
                <w:jc w:val="center"/>
              </w:trPr>
              <w:tc>
                <w:tcPr>
                  <w:tcW w:w="4260" w:type="dxa"/>
                  <w:vAlign w:val="center"/>
                </w:tcPr>
                <w:p>
                  <w:pPr>
                    <w:adjustRightInd w:val="0"/>
                    <w:snapToGrid w:val="0"/>
                    <w:jc w:val="center"/>
                    <w:rPr>
                      <w:b/>
                      <w:color w:val="000000"/>
                      <w:szCs w:val="21"/>
                    </w:rPr>
                  </w:pPr>
                  <w:r>
                    <w:rPr>
                      <w:rFonts w:hint="eastAsia"/>
                      <w:b/>
                      <w:color w:val="000000"/>
                      <w:szCs w:val="21"/>
                    </w:rPr>
                    <w:t>要求</w:t>
                  </w:r>
                </w:p>
              </w:tc>
              <w:tc>
                <w:tcPr>
                  <w:tcW w:w="2018" w:type="dxa"/>
                  <w:vAlign w:val="center"/>
                </w:tcPr>
                <w:p>
                  <w:pPr>
                    <w:adjustRightInd w:val="0"/>
                    <w:snapToGrid w:val="0"/>
                    <w:jc w:val="center"/>
                    <w:rPr>
                      <w:b/>
                      <w:color w:val="000000"/>
                      <w:szCs w:val="21"/>
                    </w:rPr>
                  </w:pPr>
                  <w:r>
                    <w:rPr>
                      <w:rFonts w:hint="eastAsia"/>
                      <w:b/>
                      <w:bCs/>
                      <w:color w:val="000000"/>
                      <w:szCs w:val="21"/>
                    </w:rPr>
                    <w:t>本项目情况</w:t>
                  </w:r>
                </w:p>
              </w:tc>
              <w:tc>
                <w:tcPr>
                  <w:tcW w:w="1402" w:type="dxa"/>
                  <w:vAlign w:val="center"/>
                </w:tcPr>
                <w:p>
                  <w:pPr>
                    <w:adjustRightInd w:val="0"/>
                    <w:snapToGrid w:val="0"/>
                    <w:jc w:val="center"/>
                    <w:rPr>
                      <w:b/>
                      <w:color w:val="000000"/>
                      <w:szCs w:val="21"/>
                    </w:rPr>
                  </w:pPr>
                  <w:r>
                    <w:rPr>
                      <w:b/>
                      <w:color w:val="000000"/>
                      <w:szCs w:val="21"/>
                    </w:rPr>
                    <w:t>符合性分析</w:t>
                  </w:r>
                </w:p>
              </w:tc>
            </w:tr>
            <w:tr>
              <w:tblPrEx>
                <w:tblW w:w="7680" w:type="dxa"/>
                <w:jc w:val="center"/>
                <w:tblLayout w:type="fixed"/>
                <w:tblCellMar>
                  <w:top w:w="57" w:type="dxa"/>
                  <w:left w:w="108" w:type="dxa"/>
                  <w:bottom w:w="57" w:type="dxa"/>
                  <w:right w:w="108" w:type="dxa"/>
                </w:tblCellMar>
              </w:tblPrEx>
              <w:trPr>
                <w:jc w:val="center"/>
              </w:trPr>
              <w:tc>
                <w:tcPr>
                  <w:tcW w:w="4260" w:type="dxa"/>
                  <w:vAlign w:val="center"/>
                </w:tcPr>
                <w:p>
                  <w:pPr>
                    <w:adjustRightInd w:val="0"/>
                    <w:snapToGrid w:val="0"/>
                    <w:rPr>
                      <w:bCs/>
                      <w:color w:val="000000"/>
                      <w:szCs w:val="21"/>
                    </w:rPr>
                  </w:pPr>
                  <w:r>
                    <w:rPr>
                      <w:rFonts w:hint="eastAsia"/>
                      <w:bCs/>
                      <w:color w:val="000000"/>
                      <w:szCs w:val="21"/>
                    </w:rPr>
                    <w:t>禁止建设不符合国家和省产业政策的小型造纸、制革、印染、染料、炼焦、炼硫、炼砷、炼汞、炼油、电镀、农药、石棉、水泥、玻璃、钢铁、火电以及其他严重污染环境的生产项目已经建设的，由所在地的县级以上人民政府责令拆除或者关闭。</w:t>
                  </w:r>
                </w:p>
              </w:tc>
              <w:tc>
                <w:tcPr>
                  <w:tcW w:w="2018" w:type="dxa"/>
                  <w:vAlign w:val="center"/>
                </w:tcPr>
                <w:p>
                  <w:pPr>
                    <w:adjustRightInd w:val="0"/>
                    <w:snapToGrid w:val="0"/>
                    <w:rPr>
                      <w:color w:val="000000" w:themeColor="text1"/>
                      <w:szCs w:val="21"/>
                    </w:rPr>
                  </w:pPr>
                  <w:r>
                    <w:rPr>
                      <w:rFonts w:hint="eastAsia"/>
                      <w:color w:val="000000" w:themeColor="text1"/>
                      <w:szCs w:val="21"/>
                    </w:rPr>
                    <w:t>项目</w:t>
                  </w:r>
                  <w:r>
                    <w:rPr>
                      <w:rFonts w:hint="eastAsia"/>
                      <w:color w:val="000000" w:themeColor="text1"/>
                      <w:szCs w:val="21"/>
                      <w:lang w:val="en-US" w:eastAsia="zh-CN"/>
                    </w:rPr>
                    <w:t>为</w:t>
                  </w:r>
                  <w:r>
                    <w:rPr>
                      <w:rFonts w:hint="eastAsia"/>
                      <w:color w:val="000000" w:themeColor="text1"/>
                      <w:szCs w:val="21"/>
                    </w:rPr>
                    <w:t>医用级PET/PETG制造，不属于左侧所述行业。</w:t>
                  </w:r>
                </w:p>
              </w:tc>
              <w:tc>
                <w:tcPr>
                  <w:tcW w:w="1402" w:type="dxa"/>
                  <w:vAlign w:val="center"/>
                </w:tcPr>
                <w:p>
                  <w:pPr>
                    <w:adjustRightInd w:val="0"/>
                    <w:snapToGrid w:val="0"/>
                    <w:jc w:val="center"/>
                    <w:rPr>
                      <w:bCs/>
                      <w:color w:val="000000"/>
                      <w:szCs w:val="21"/>
                    </w:rPr>
                  </w:pPr>
                  <w:r>
                    <w:rPr>
                      <w:rFonts w:hint="eastAsia"/>
                      <w:bCs/>
                      <w:color w:val="000000"/>
                      <w:szCs w:val="21"/>
                    </w:rPr>
                    <w:t>符合</w:t>
                  </w:r>
                </w:p>
              </w:tc>
            </w:tr>
            <w:tr>
              <w:tblPrEx>
                <w:tblW w:w="7680" w:type="dxa"/>
                <w:jc w:val="center"/>
                <w:tblLayout w:type="fixed"/>
                <w:tblCellMar>
                  <w:top w:w="57" w:type="dxa"/>
                  <w:left w:w="108" w:type="dxa"/>
                  <w:bottom w:w="57" w:type="dxa"/>
                  <w:right w:w="108" w:type="dxa"/>
                </w:tblCellMar>
              </w:tblPrEx>
              <w:trPr>
                <w:jc w:val="center"/>
              </w:trPr>
              <w:tc>
                <w:tcPr>
                  <w:tcW w:w="4260" w:type="dxa"/>
                  <w:vAlign w:val="center"/>
                </w:tcPr>
                <w:p>
                  <w:pPr>
                    <w:adjustRightInd w:val="0"/>
                    <w:snapToGrid w:val="0"/>
                    <w:rPr>
                      <w:bCs/>
                      <w:color w:val="000000"/>
                      <w:szCs w:val="21"/>
                    </w:rPr>
                  </w:pPr>
                  <w:r>
                    <w:rPr>
                      <w:rFonts w:hint="eastAsia"/>
                      <w:bCs/>
                      <w:color w:val="000000"/>
                      <w:szCs w:val="21"/>
                    </w:rPr>
                    <w:t>新建、改建、扩建建设项目，应当依法进行环境影响评价。建设项目可能对相邻地区造成重大环境影响的，生态环境主管部门在审批其环境影响评价文件时，应当征求相邻地区同级生态环境主管部门的意见；意见不一致的，由共同的上一级人民政府生态环境主管部门作出处理。</w:t>
                  </w:r>
                </w:p>
              </w:tc>
              <w:tc>
                <w:tcPr>
                  <w:tcW w:w="2018" w:type="dxa"/>
                  <w:vAlign w:val="center"/>
                </w:tcPr>
                <w:p>
                  <w:pPr>
                    <w:adjustRightInd w:val="0"/>
                    <w:snapToGrid w:val="0"/>
                    <w:rPr>
                      <w:color w:val="000000"/>
                      <w:szCs w:val="21"/>
                    </w:rPr>
                  </w:pPr>
                  <w:r>
                    <w:rPr>
                      <w:rFonts w:hint="eastAsia"/>
                      <w:color w:val="000000"/>
                      <w:szCs w:val="21"/>
                    </w:rPr>
                    <w:t>项目属于新建项目，正在进行环境影响评价工作。</w:t>
                  </w:r>
                </w:p>
              </w:tc>
              <w:tc>
                <w:tcPr>
                  <w:tcW w:w="1402" w:type="dxa"/>
                  <w:vAlign w:val="center"/>
                </w:tcPr>
                <w:p>
                  <w:pPr>
                    <w:adjustRightInd w:val="0"/>
                    <w:snapToGrid w:val="0"/>
                    <w:jc w:val="center"/>
                    <w:rPr>
                      <w:b/>
                      <w:color w:val="000000"/>
                      <w:szCs w:val="21"/>
                    </w:rPr>
                  </w:pPr>
                  <w:r>
                    <w:rPr>
                      <w:rFonts w:hint="eastAsia"/>
                      <w:bCs/>
                      <w:color w:val="000000"/>
                      <w:szCs w:val="21"/>
                    </w:rPr>
                    <w:t>符合</w:t>
                  </w:r>
                </w:p>
              </w:tc>
            </w:tr>
            <w:tr>
              <w:tblPrEx>
                <w:tblW w:w="7680" w:type="dxa"/>
                <w:jc w:val="center"/>
                <w:tblLayout w:type="fixed"/>
                <w:tblCellMar>
                  <w:top w:w="57" w:type="dxa"/>
                  <w:left w:w="108" w:type="dxa"/>
                  <w:bottom w:w="57" w:type="dxa"/>
                  <w:right w:w="108" w:type="dxa"/>
                </w:tblCellMar>
              </w:tblPrEx>
              <w:trPr>
                <w:jc w:val="center"/>
              </w:trPr>
              <w:tc>
                <w:tcPr>
                  <w:tcW w:w="4260" w:type="dxa"/>
                  <w:vAlign w:val="center"/>
                </w:tcPr>
                <w:p>
                  <w:pPr>
                    <w:adjustRightInd w:val="0"/>
                    <w:snapToGrid w:val="0"/>
                    <w:rPr>
                      <w:bCs/>
                      <w:color w:val="000000"/>
                      <w:szCs w:val="21"/>
                    </w:rPr>
                  </w:pPr>
                  <w:r>
                    <w:rPr>
                      <w:rFonts w:hint="eastAsia"/>
                      <w:bCs/>
                      <w:color w:val="000000"/>
                      <w:szCs w:val="21"/>
                    </w:rPr>
                    <w:t>排污单位应当采取措施，防治在生产建设或者其他活动中产生的废气、废水、废渣、医疗废物、粉尘、恶臭气体、放射性物质以及噪声、振动、光辐射、电磁辐射等对环境的污染和危害，其污染排放不得超过排放标准和重点污染物排放总量控制指标。</w:t>
                  </w:r>
                </w:p>
              </w:tc>
              <w:tc>
                <w:tcPr>
                  <w:tcW w:w="2018" w:type="dxa"/>
                  <w:vAlign w:val="center"/>
                </w:tcPr>
                <w:p>
                  <w:pPr>
                    <w:adjustRightInd w:val="0"/>
                    <w:snapToGrid w:val="0"/>
                    <w:rPr>
                      <w:color w:val="000000"/>
                      <w:szCs w:val="21"/>
                    </w:rPr>
                  </w:pPr>
                  <w:r>
                    <w:rPr>
                      <w:rFonts w:hint="eastAsia"/>
                      <w:color w:val="000000"/>
                      <w:szCs w:val="21"/>
                    </w:rPr>
                    <w:t>项目正在办理环评手续，拟采取污染物治理措施，合理处置，经预测分析污染物可达标排放。</w:t>
                  </w:r>
                </w:p>
              </w:tc>
              <w:tc>
                <w:tcPr>
                  <w:tcW w:w="1402" w:type="dxa"/>
                  <w:vAlign w:val="center"/>
                </w:tcPr>
                <w:p>
                  <w:pPr>
                    <w:adjustRightInd w:val="0"/>
                    <w:snapToGrid w:val="0"/>
                    <w:jc w:val="center"/>
                    <w:rPr>
                      <w:b/>
                      <w:color w:val="000000"/>
                      <w:szCs w:val="21"/>
                    </w:rPr>
                  </w:pPr>
                  <w:r>
                    <w:rPr>
                      <w:rFonts w:hint="eastAsia"/>
                      <w:bCs/>
                      <w:color w:val="000000"/>
                      <w:szCs w:val="21"/>
                    </w:rPr>
                    <w:t>符合</w:t>
                  </w:r>
                </w:p>
              </w:tc>
            </w:tr>
          </w:tbl>
          <w:p>
            <w:pPr>
              <w:rPr>
                <w:color w:val="000000"/>
              </w:rPr>
            </w:pPr>
          </w:p>
          <w:p>
            <w:pPr>
              <w:pStyle w:val="Heading3"/>
              <w:adjustRightInd w:val="0"/>
              <w:snapToGrid w:val="0"/>
              <w:spacing w:before="0" w:after="0" w:line="360" w:lineRule="auto"/>
              <w:ind w:firstLine="422"/>
              <w:rPr>
                <w:color w:val="000000"/>
                <w:sz w:val="21"/>
                <w:szCs w:val="21"/>
              </w:rPr>
            </w:pPr>
            <w:r>
              <w:rPr>
                <w:color w:val="000000"/>
                <w:sz w:val="21"/>
                <w:szCs w:val="21"/>
              </w:rPr>
              <w:t>五、与</w:t>
            </w:r>
            <w:r>
              <w:rPr>
                <w:color w:val="000000"/>
                <w:kern w:val="0"/>
                <w:sz w:val="21"/>
                <w:szCs w:val="21"/>
              </w:rPr>
              <w:t>《山东省“十四五”生态环境保护规划》（鲁政发〔2021〕12号）</w:t>
            </w:r>
            <w:r>
              <w:rPr>
                <w:color w:val="000000"/>
                <w:sz w:val="21"/>
                <w:szCs w:val="21"/>
              </w:rPr>
              <w:t>符合性分析</w:t>
            </w:r>
          </w:p>
          <w:p>
            <w:pPr>
              <w:pStyle w:val="Default"/>
              <w:jc w:val="center"/>
              <w:rPr>
                <w:rFonts w:ascii="Times New Roman" w:hAnsi="Times New Roman" w:cs="Times New Roman"/>
                <w:b/>
                <w:bCs/>
                <w:sz w:val="21"/>
                <w:szCs w:val="21"/>
              </w:rPr>
            </w:pPr>
            <w:r>
              <w:rPr>
                <w:rFonts w:ascii="Times New Roman" w:hAnsi="Times New Roman" w:cs="Times New Roman"/>
                <w:b/>
                <w:bCs/>
                <w:color w:val="000000"/>
                <w:sz w:val="21"/>
                <w:szCs w:val="21"/>
              </w:rPr>
              <w:t>表1-6</w:t>
            </w:r>
            <w:r>
              <w:rPr>
                <w:rFonts w:ascii="Times New Roman" w:hAnsi="Times New Roman" w:cs="Times New Roman" w:hint="eastAsia"/>
                <w:b/>
                <w:bCs/>
                <w:color w:val="000000"/>
                <w:sz w:val="21"/>
                <w:szCs w:val="21"/>
              </w:rPr>
              <w:t xml:space="preserve"> </w:t>
            </w:r>
            <w:r>
              <w:rPr>
                <w:rFonts w:ascii="Times New Roman" w:hAnsi="Times New Roman" w:cs="Times New Roman"/>
                <w:b/>
                <w:bCs/>
                <w:color w:val="000000"/>
                <w:sz w:val="21"/>
                <w:szCs w:val="21"/>
              </w:rPr>
              <w:t>与</w:t>
            </w:r>
            <w:r>
              <w:rPr>
                <w:rFonts w:ascii="Times New Roman" w:hAnsi="Times New Roman" w:cs="Times New Roman"/>
                <w:b/>
                <w:bCs/>
                <w:color w:val="000000"/>
                <w:kern w:val="0"/>
                <w:sz w:val="21"/>
                <w:szCs w:val="21"/>
              </w:rPr>
              <w:t>《山东省“十四五”生态环境保护规划》（鲁政发〔2021〕12号）</w:t>
            </w:r>
            <w:r>
              <w:rPr>
                <w:rFonts w:ascii="Times New Roman" w:hAnsi="Times New Roman" w:cs="Times New Roman"/>
                <w:b/>
                <w:bCs/>
                <w:color w:val="000000"/>
                <w:sz w:val="21"/>
                <w:szCs w:val="21"/>
              </w:rPr>
              <w:t>符合性分析</w:t>
            </w:r>
          </w:p>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69"/>
              <w:gridCol w:w="1629"/>
              <w:gridCol w:w="1382"/>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45"/>
                <w:jc w:val="center"/>
              </w:trPr>
              <w:tc>
                <w:tcPr>
                  <w:tcW w:w="4669" w:type="dxa"/>
                  <w:vAlign w:val="center"/>
                </w:tcPr>
                <w:p>
                  <w:pPr>
                    <w:jc w:val="center"/>
                    <w:rPr>
                      <w:color w:val="000000"/>
                      <w:szCs w:val="21"/>
                    </w:rPr>
                  </w:pPr>
                  <w:r>
                    <w:rPr>
                      <w:rFonts w:hint="eastAsia"/>
                      <w:b/>
                      <w:bCs/>
                      <w:color w:val="000000"/>
                      <w:szCs w:val="21"/>
                    </w:rPr>
                    <w:t>要求</w:t>
                  </w:r>
                </w:p>
              </w:tc>
              <w:tc>
                <w:tcPr>
                  <w:tcW w:w="1629" w:type="dxa"/>
                  <w:vAlign w:val="center"/>
                </w:tcPr>
                <w:p>
                  <w:pPr>
                    <w:jc w:val="center"/>
                    <w:rPr>
                      <w:color w:val="000000"/>
                      <w:szCs w:val="21"/>
                    </w:rPr>
                  </w:pPr>
                  <w:r>
                    <w:rPr>
                      <w:rFonts w:hint="eastAsia"/>
                      <w:b/>
                      <w:color w:val="000000"/>
                      <w:szCs w:val="21"/>
                    </w:rPr>
                    <w:t>本项目情况</w:t>
                  </w:r>
                </w:p>
              </w:tc>
              <w:tc>
                <w:tcPr>
                  <w:tcW w:w="1382" w:type="dxa"/>
                  <w:vAlign w:val="center"/>
                </w:tcPr>
                <w:p>
                  <w:pPr>
                    <w:jc w:val="center"/>
                    <w:rPr>
                      <w:b/>
                      <w:color w:val="000000"/>
                      <w:szCs w:val="21"/>
                    </w:rPr>
                  </w:pPr>
                  <w:r>
                    <w:rPr>
                      <w:b/>
                      <w:color w:val="000000"/>
                      <w:szCs w:val="21"/>
                    </w:rPr>
                    <w:t>符合性</w:t>
                  </w:r>
                  <w:r>
                    <w:rPr>
                      <w:rFonts w:hint="eastAsia"/>
                      <w:b/>
                      <w:color w:val="000000"/>
                      <w:szCs w:val="21"/>
                    </w:rPr>
                    <w:t>分析</w:t>
                  </w:r>
                </w:p>
              </w:tc>
            </w:tr>
            <w:tr>
              <w:tblPrEx>
                <w:tblW w:w="7680" w:type="dxa"/>
                <w:jc w:val="center"/>
                <w:tblLayout w:type="fixed"/>
                <w:tblCellMar>
                  <w:top w:w="0" w:type="dxa"/>
                  <w:left w:w="108" w:type="dxa"/>
                  <w:bottom w:w="0" w:type="dxa"/>
                  <w:right w:w="108" w:type="dxa"/>
                </w:tblCellMar>
              </w:tblPrEx>
              <w:trPr>
                <w:trHeight w:val="2982"/>
                <w:jc w:val="center"/>
              </w:trPr>
              <w:tc>
                <w:tcPr>
                  <w:tcW w:w="4669" w:type="dxa"/>
                  <w:vAlign w:val="center"/>
                </w:tcPr>
                <w:p>
                  <w:pPr>
                    <w:rPr>
                      <w:color w:val="000000"/>
                      <w:szCs w:val="21"/>
                    </w:rPr>
                  </w:pPr>
                  <w:r>
                    <w:rPr>
                      <w:rFonts w:hint="eastAsia"/>
                      <w:color w:val="000000"/>
                      <w:szCs w:val="21"/>
                    </w:rPr>
                    <w:t>着力提高工业园区绿色化水平。提高铸造、有色、化工、砖瓦、玻璃、耐火材料、陶瓷、制革、印染等行业的园区集聚水平，深入推进园区循环化改造。加快生态工业园区建设，将生态工业园区建设作为园区发展考核的重要内容，对获得国家和省级命名的生态工业园区予以政策支持，推动园区公共设施共建共享、能源梯级利用、资源循环利用和污染物集中安全处置等。</w:t>
                  </w:r>
                </w:p>
                <w:p>
                  <w:pPr>
                    <w:rPr>
                      <w:color w:val="000000"/>
                      <w:szCs w:val="21"/>
                    </w:rPr>
                  </w:pPr>
                  <w:r>
                    <w:rPr>
                      <w:rFonts w:hint="eastAsia"/>
                      <w:color w:val="000000"/>
                      <w:szCs w:val="21"/>
                    </w:rPr>
                    <w:t>2025年年底前，生态工业园区比例力争达到工业园区的50%以上。</w:t>
                  </w:r>
                </w:p>
              </w:tc>
              <w:tc>
                <w:tcPr>
                  <w:tcW w:w="1629" w:type="dxa"/>
                  <w:vAlign w:val="center"/>
                </w:tcPr>
                <w:p>
                  <w:pPr>
                    <w:rPr>
                      <w:color w:val="000000"/>
                      <w:szCs w:val="21"/>
                    </w:rPr>
                  </w:pPr>
                  <w:r>
                    <w:rPr>
                      <w:rFonts w:hint="eastAsia"/>
                      <w:color w:val="000000"/>
                      <w:szCs w:val="21"/>
                    </w:rPr>
                    <w:t>项目位于工业园区内。</w:t>
                  </w:r>
                </w:p>
              </w:tc>
              <w:tc>
                <w:tcPr>
                  <w:tcW w:w="1382" w:type="dxa"/>
                  <w:vAlign w:val="center"/>
                </w:tcPr>
                <w:p>
                  <w:pPr>
                    <w:jc w:val="center"/>
                    <w:rPr>
                      <w:color w:val="000000"/>
                      <w:szCs w:val="21"/>
                    </w:rPr>
                  </w:pPr>
                  <w:r>
                    <w:rPr>
                      <w:rFonts w:hint="eastAsia"/>
                      <w:color w:val="000000"/>
                      <w:szCs w:val="21"/>
                    </w:rPr>
                    <w:t>符合</w:t>
                  </w:r>
                </w:p>
              </w:tc>
            </w:tr>
          </w:tbl>
          <w:p/>
        </w:tc>
      </w:tr>
    </w:tbl>
    <w:p>
      <w:pPr>
        <w:sectPr>
          <w:footerReference w:type="default" r:id="rId22"/>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7"/>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69"/>
              <w:gridCol w:w="1629"/>
              <w:gridCol w:w="1382"/>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418"/>
                <w:jc w:val="center"/>
              </w:trPr>
              <w:tc>
                <w:tcPr>
                  <w:tcW w:w="4669" w:type="dxa"/>
                  <w:vAlign w:val="center"/>
                </w:tcPr>
                <w:p>
                  <w:pPr>
                    <w:rPr>
                      <w:color w:val="000000"/>
                      <w:szCs w:val="21"/>
                    </w:rPr>
                  </w:pPr>
                  <w:r>
                    <w:rPr>
                      <w:rFonts w:hint="eastAsia"/>
                      <w:color w:val="000000"/>
                      <w:szCs w:val="21"/>
                    </w:rPr>
                    <w:t>重点行业NOx等污染物深度治理。持续推进钢铁行业超低排放改造，开展焦化、水泥行业超低排放改造。推进玻璃、陶瓷、铸造、铁合金、有色等行业污染度治理。</w:t>
                  </w:r>
                </w:p>
                <w:p>
                  <w:pPr>
                    <w:rPr>
                      <w:color w:val="000000"/>
                      <w:szCs w:val="21"/>
                    </w:rPr>
                  </w:pPr>
                  <w:r>
                    <w:rPr>
                      <w:rFonts w:hint="eastAsia"/>
                      <w:color w:val="000000"/>
                      <w:szCs w:val="21"/>
                    </w:rPr>
                    <w:t>重点行业VOCs治理。石化、化工、包装印刷、工业涂装等重点行业建立完善源头替代、过程管控和末端治理的VOCs全过程控制体系。开展原油、成品油、有机化学品等涉VOCs物质储罐排查。除因安全生产等原因必须保留的以外，逐步取消炼油、石化、煤化工、制药、农药、化工、工业涂装、包装印刷等企业非必要的VOCs废气排放系统旁路。</w:t>
                  </w:r>
                </w:p>
              </w:tc>
              <w:tc>
                <w:tcPr>
                  <w:tcW w:w="1629" w:type="dxa"/>
                  <w:vAlign w:val="center"/>
                </w:tcPr>
                <w:p>
                  <w:pPr>
                    <w:rPr>
                      <w:color w:val="000000" w:themeColor="text1"/>
                      <w:szCs w:val="21"/>
                    </w:rPr>
                  </w:pPr>
                  <w:r>
                    <w:rPr>
                      <w:rFonts w:hint="eastAsia"/>
                      <w:color w:val="000000" w:themeColor="text1"/>
                      <w:szCs w:val="21"/>
                    </w:rPr>
                    <w:t>项目</w:t>
                  </w:r>
                  <w:r>
                    <w:rPr>
                      <w:rFonts w:hint="eastAsia"/>
                      <w:color w:val="000000" w:themeColor="text1"/>
                      <w:szCs w:val="21"/>
                      <w:lang w:val="en-US" w:eastAsia="zh-CN"/>
                    </w:rPr>
                    <w:t>为</w:t>
                  </w:r>
                  <w:r>
                    <w:rPr>
                      <w:rFonts w:hint="eastAsia"/>
                      <w:color w:val="000000" w:themeColor="text1"/>
                      <w:szCs w:val="21"/>
                    </w:rPr>
                    <w:t>医用级PET/PETG</w:t>
                  </w:r>
                  <w:r>
                    <w:rPr>
                      <w:rFonts w:hint="eastAsia"/>
                      <w:color w:val="000000" w:themeColor="text1"/>
                      <w:szCs w:val="21"/>
                      <w:lang w:val="en-US" w:eastAsia="zh-CN"/>
                    </w:rPr>
                    <w:t>制造</w:t>
                  </w:r>
                  <w:r>
                    <w:rPr>
                      <w:rFonts w:hint="eastAsia"/>
                      <w:color w:val="000000" w:themeColor="text1"/>
                      <w:szCs w:val="21"/>
                    </w:rPr>
                    <w:t>，使用</w:t>
                  </w:r>
                  <w:r>
                    <w:rPr>
                      <w:rFonts w:ascii="Times New Roman" w:eastAsia="宋体" w:hAnsi="Times New Roman" w:cs="Times New Roman" w:hint="eastAsia"/>
                      <w:color w:val="000000"/>
                      <w:szCs w:val="21"/>
                    </w:rPr>
                    <w:t>UV光油</w:t>
                  </w: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水性触感油</w:t>
                  </w:r>
                  <w:r>
                    <w:rPr>
                      <w:rFonts w:hint="eastAsia"/>
                      <w:color w:val="000000" w:themeColor="text1"/>
                      <w:szCs w:val="21"/>
                    </w:rPr>
                    <w:t>，为</w:t>
                  </w:r>
                  <w:r>
                    <w:rPr>
                      <w:rFonts w:hint="eastAsia"/>
                      <w:color w:val="000000" w:themeColor="text1"/>
                      <w:szCs w:val="21"/>
                      <w:lang w:val="en-US" w:eastAsia="zh-CN"/>
                    </w:rPr>
                    <w:t>低</w:t>
                  </w:r>
                  <w:r>
                    <w:rPr>
                      <w:rFonts w:hint="eastAsia"/>
                      <w:color w:val="000000" w:themeColor="text1"/>
                      <w:szCs w:val="21"/>
                    </w:rPr>
                    <w:t>VOCs</w:t>
                  </w:r>
                  <w:r>
                    <w:rPr>
                      <w:rFonts w:hint="eastAsia"/>
                      <w:color w:val="000000" w:themeColor="text1"/>
                      <w:szCs w:val="21"/>
                      <w:lang w:val="en-US" w:eastAsia="zh-CN"/>
                    </w:rPr>
                    <w:t>含量</w:t>
                  </w:r>
                  <w:r>
                    <w:rPr>
                      <w:rFonts w:hint="eastAsia"/>
                      <w:color w:val="000000" w:themeColor="text1"/>
                      <w:szCs w:val="21"/>
                    </w:rPr>
                    <w:t>原料。</w:t>
                  </w:r>
                </w:p>
              </w:tc>
              <w:tc>
                <w:tcPr>
                  <w:tcW w:w="1382" w:type="dxa"/>
                  <w:vAlign w:val="center"/>
                </w:tcPr>
                <w:p>
                  <w:pPr>
                    <w:jc w:val="center"/>
                    <w:rPr>
                      <w:color w:val="000000"/>
                      <w:szCs w:val="21"/>
                    </w:rPr>
                  </w:pPr>
                  <w:r>
                    <w:rPr>
                      <w:rFonts w:hint="eastAsia"/>
                      <w:color w:val="000000"/>
                      <w:szCs w:val="21"/>
                    </w:rPr>
                    <w:t>符合</w:t>
                  </w:r>
                </w:p>
              </w:tc>
            </w:tr>
          </w:tbl>
          <w:p>
            <w:pPr>
              <w:adjustRightInd w:val="0"/>
              <w:snapToGrid w:val="0"/>
              <w:spacing w:line="240" w:lineRule="exact"/>
              <w:ind w:firstLine="420" w:firstLineChars="200"/>
              <w:rPr>
                <w:color w:val="000000"/>
                <w:szCs w:val="21"/>
              </w:rPr>
            </w:pPr>
          </w:p>
          <w:p>
            <w:pPr>
              <w:adjustRightInd w:val="0"/>
              <w:snapToGrid w:val="0"/>
              <w:spacing w:line="360" w:lineRule="auto"/>
              <w:ind w:firstLine="420" w:firstLineChars="200"/>
              <w:rPr>
                <w:b/>
                <w:bCs/>
                <w:color w:val="000000"/>
                <w:szCs w:val="21"/>
              </w:rPr>
            </w:pPr>
            <w:r>
              <w:rPr>
                <w:rFonts w:hint="eastAsia"/>
                <w:b/>
                <w:bCs/>
                <w:color w:val="000000"/>
                <w:szCs w:val="21"/>
              </w:rPr>
              <w:t>六、与《山东省深入打好蓝天保卫战行动计划（2021-2025年）》符合性分析</w:t>
            </w:r>
          </w:p>
          <w:p>
            <w:pPr>
              <w:pStyle w:val="Default"/>
              <w:jc w:val="center"/>
              <w:rPr>
                <w:rFonts w:ascii="Times New Roman" w:hAnsi="Times New Roman" w:cs="Times New Roman"/>
                <w:b/>
                <w:bCs/>
                <w:sz w:val="21"/>
                <w:szCs w:val="21"/>
              </w:rPr>
            </w:pPr>
            <w:r>
              <w:rPr>
                <w:rFonts w:ascii="Times New Roman" w:hAnsi="Times New Roman" w:cs="Times New Roman"/>
                <w:b/>
                <w:bCs/>
                <w:color w:val="000000"/>
                <w:sz w:val="21"/>
                <w:szCs w:val="21"/>
              </w:rPr>
              <w:t>表1-7 与《山东省深入打好蓝天保卫战行动计划（2021-2025年）》符合性分析</w:t>
            </w:r>
          </w:p>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69"/>
              <w:gridCol w:w="1629"/>
              <w:gridCol w:w="1382"/>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45"/>
                <w:jc w:val="center"/>
              </w:trPr>
              <w:tc>
                <w:tcPr>
                  <w:tcW w:w="4669" w:type="dxa"/>
                  <w:vAlign w:val="center"/>
                </w:tcPr>
                <w:p>
                  <w:pPr>
                    <w:jc w:val="center"/>
                    <w:rPr>
                      <w:color w:val="000000"/>
                      <w:szCs w:val="21"/>
                    </w:rPr>
                  </w:pPr>
                  <w:r>
                    <w:rPr>
                      <w:rFonts w:hint="eastAsia"/>
                      <w:b/>
                      <w:bCs/>
                      <w:color w:val="000000"/>
                      <w:szCs w:val="21"/>
                    </w:rPr>
                    <w:t>要求</w:t>
                  </w:r>
                </w:p>
              </w:tc>
              <w:tc>
                <w:tcPr>
                  <w:tcW w:w="1629" w:type="dxa"/>
                  <w:vAlign w:val="center"/>
                </w:tcPr>
                <w:p>
                  <w:pPr>
                    <w:jc w:val="center"/>
                    <w:rPr>
                      <w:color w:val="000000"/>
                      <w:szCs w:val="21"/>
                    </w:rPr>
                  </w:pPr>
                  <w:r>
                    <w:rPr>
                      <w:rFonts w:hint="eastAsia"/>
                      <w:b/>
                      <w:color w:val="000000"/>
                      <w:szCs w:val="21"/>
                    </w:rPr>
                    <w:t>本项目情况</w:t>
                  </w:r>
                </w:p>
              </w:tc>
              <w:tc>
                <w:tcPr>
                  <w:tcW w:w="1382" w:type="dxa"/>
                  <w:vAlign w:val="center"/>
                </w:tcPr>
                <w:p>
                  <w:pPr>
                    <w:jc w:val="center"/>
                    <w:rPr>
                      <w:b/>
                      <w:color w:val="000000"/>
                      <w:szCs w:val="21"/>
                    </w:rPr>
                  </w:pPr>
                  <w:r>
                    <w:rPr>
                      <w:b/>
                      <w:color w:val="000000"/>
                      <w:szCs w:val="21"/>
                    </w:rPr>
                    <w:t>符合性</w:t>
                  </w:r>
                  <w:r>
                    <w:rPr>
                      <w:rFonts w:hint="eastAsia"/>
                      <w:b/>
                      <w:color w:val="000000"/>
                      <w:szCs w:val="21"/>
                    </w:rPr>
                    <w:t>分析</w:t>
                  </w:r>
                </w:p>
              </w:tc>
            </w:tr>
            <w:tr>
              <w:tblPrEx>
                <w:tblW w:w="7680" w:type="dxa"/>
                <w:jc w:val="center"/>
                <w:tblLayout w:type="fixed"/>
                <w:tblCellMar>
                  <w:top w:w="0" w:type="dxa"/>
                  <w:left w:w="108" w:type="dxa"/>
                  <w:bottom w:w="0" w:type="dxa"/>
                  <w:right w:w="108" w:type="dxa"/>
                </w:tblCellMar>
              </w:tblPrEx>
              <w:trPr>
                <w:trHeight w:val="2399"/>
                <w:jc w:val="center"/>
              </w:trPr>
              <w:tc>
                <w:tcPr>
                  <w:tcW w:w="4669" w:type="dxa"/>
                  <w:vAlign w:val="center"/>
                </w:tcPr>
                <w:p>
                  <w:pPr>
                    <w:rPr>
                      <w:color w:val="000000"/>
                      <w:szCs w:val="21"/>
                    </w:rPr>
                  </w:pPr>
                  <w:r>
                    <w:rPr>
                      <w:rFonts w:hint="eastAsia"/>
                      <w:color w:val="000000"/>
                    </w:rPr>
                    <w:t>淘汰低效落后产能：聚焦钢铁、地炼、焦化、煤电、水泥、轮胎、煤炭、化工8个重点行业，加快淘汰低效落后产能。严格执行质量、环保、能耗、安全等法规标准，按照《产业结构调整指导目录》，对“淘汰类”落后生产工艺装备和落后产品全部淘汰出清。各市聚焦“高耗能、高污染、高排放、高风险”等行业，分类组织实施转移、压减、整合、关停任务。</w:t>
                  </w:r>
                </w:p>
              </w:tc>
              <w:tc>
                <w:tcPr>
                  <w:tcW w:w="1629" w:type="dxa"/>
                  <w:vAlign w:val="center"/>
                </w:tcPr>
                <w:p>
                  <w:pPr>
                    <w:rPr>
                      <w:color w:val="000000"/>
                      <w:szCs w:val="21"/>
                    </w:rPr>
                  </w:pPr>
                  <w:r>
                    <w:rPr>
                      <w:rFonts w:hint="eastAsia"/>
                      <w:color w:val="000000"/>
                    </w:rPr>
                    <w:t>项目不属于左侧所述行业。</w:t>
                  </w:r>
                </w:p>
              </w:tc>
              <w:tc>
                <w:tcPr>
                  <w:tcW w:w="1382" w:type="dxa"/>
                  <w:vAlign w:val="center"/>
                </w:tcPr>
                <w:p>
                  <w:pPr>
                    <w:jc w:val="center"/>
                    <w:rPr>
                      <w:color w:val="000000"/>
                      <w:szCs w:val="21"/>
                    </w:rPr>
                  </w:pPr>
                  <w:r>
                    <w:rPr>
                      <w:rFonts w:hint="eastAsia"/>
                      <w:color w:val="000000"/>
                      <w:szCs w:val="21"/>
                    </w:rPr>
                    <w:t>符合</w:t>
                  </w:r>
                </w:p>
              </w:tc>
            </w:tr>
            <w:tr>
              <w:tblPrEx>
                <w:tblW w:w="7680" w:type="dxa"/>
                <w:jc w:val="center"/>
                <w:tblLayout w:type="fixed"/>
                <w:tblCellMar>
                  <w:top w:w="0" w:type="dxa"/>
                  <w:left w:w="108" w:type="dxa"/>
                  <w:bottom w:w="0" w:type="dxa"/>
                  <w:right w:w="108" w:type="dxa"/>
                </w:tblCellMar>
              </w:tblPrEx>
              <w:trPr>
                <w:trHeight w:val="1536"/>
                <w:jc w:val="center"/>
              </w:trPr>
              <w:tc>
                <w:tcPr>
                  <w:tcW w:w="4669" w:type="dxa"/>
                  <w:vAlign w:val="center"/>
                </w:tcPr>
                <w:p>
                  <w:pPr>
                    <w:rPr>
                      <w:color w:val="000000"/>
                    </w:rPr>
                  </w:pPr>
                  <w:r>
                    <w:rPr>
                      <w:color w:val="000000"/>
                    </w:rPr>
                    <w:t>优化货物运输方式：优化交通运输结构，大力发展铁港联运，基本形成大宗货物和集装箱中长距离运输以铁路、水路或管道为主的格局。PM</w:t>
                  </w:r>
                  <w:r>
                    <w:rPr>
                      <w:color w:val="000000"/>
                      <w:vertAlign w:val="subscript"/>
                    </w:rPr>
                    <w:t>2.5</w:t>
                  </w:r>
                  <w:r>
                    <w:rPr>
                      <w:color w:val="000000"/>
                    </w:rPr>
                    <w:t>和O</w:t>
                  </w:r>
                  <w:r>
                    <w:rPr>
                      <w:color w:val="000000"/>
                      <w:vertAlign w:val="subscript"/>
                    </w:rPr>
                    <w:t>3</w:t>
                  </w:r>
                  <w:r>
                    <w:rPr>
                      <w:color w:val="000000"/>
                    </w:rPr>
                    <w:t>未达标的城市，新、改、扩建项目涉及大宗物料运输的，应采用清洁运输方式。</w:t>
                  </w:r>
                </w:p>
              </w:tc>
              <w:tc>
                <w:tcPr>
                  <w:tcW w:w="1629" w:type="dxa"/>
                  <w:vAlign w:val="center"/>
                </w:tcPr>
                <w:p>
                  <w:pPr>
                    <w:rPr>
                      <w:color w:val="000000"/>
                    </w:rPr>
                  </w:pPr>
                  <w:r>
                    <w:rPr>
                      <w:rFonts w:hint="eastAsia"/>
                      <w:color w:val="000000"/>
                    </w:rPr>
                    <w:t>项目不涉及大宗物料运输。</w:t>
                  </w:r>
                </w:p>
              </w:tc>
              <w:tc>
                <w:tcPr>
                  <w:tcW w:w="1382" w:type="dxa"/>
                  <w:vAlign w:val="center"/>
                </w:tcPr>
                <w:p>
                  <w:pPr>
                    <w:jc w:val="center"/>
                    <w:rPr>
                      <w:color w:val="000000"/>
                      <w:szCs w:val="21"/>
                    </w:rPr>
                  </w:pPr>
                  <w:r>
                    <w:rPr>
                      <w:rFonts w:hint="eastAsia"/>
                      <w:color w:val="000000"/>
                      <w:szCs w:val="21"/>
                    </w:rPr>
                    <w:t>符合</w:t>
                  </w:r>
                </w:p>
              </w:tc>
            </w:tr>
          </w:tbl>
          <w:p>
            <w:pPr>
              <w:adjustRightInd w:val="0"/>
              <w:snapToGrid w:val="0"/>
              <w:spacing w:line="240" w:lineRule="exact"/>
              <w:ind w:firstLine="420" w:firstLineChars="200"/>
              <w:rPr>
                <w:b/>
                <w:color w:val="000000"/>
                <w:szCs w:val="21"/>
              </w:rPr>
            </w:pPr>
          </w:p>
          <w:p>
            <w:pPr>
              <w:adjustRightInd w:val="0"/>
              <w:snapToGrid w:val="0"/>
              <w:spacing w:line="360" w:lineRule="auto"/>
              <w:ind w:firstLine="420" w:firstLineChars="200"/>
              <w:rPr>
                <w:b/>
                <w:color w:val="000000"/>
                <w:szCs w:val="21"/>
              </w:rPr>
            </w:pPr>
            <w:r>
              <w:rPr>
                <w:rFonts w:hint="eastAsia"/>
                <w:b/>
                <w:bCs/>
                <w:color w:val="000000"/>
                <w:szCs w:val="21"/>
              </w:rPr>
              <w:t>七、与《山东省深入打好碧水保卫战行动计划（2021-2025年）》符合性分析</w:t>
            </w:r>
          </w:p>
          <w:p>
            <w:pPr>
              <w:pStyle w:val="Default"/>
              <w:jc w:val="center"/>
              <w:rPr>
                <w:rFonts w:ascii="Times New Roman" w:hAnsi="Times New Roman" w:cs="Times New Roman"/>
                <w:b/>
                <w:bCs/>
                <w:sz w:val="21"/>
                <w:szCs w:val="21"/>
              </w:rPr>
            </w:pPr>
            <w:r>
              <w:rPr>
                <w:rFonts w:ascii="Times New Roman" w:hAnsi="Times New Roman" w:cs="Times New Roman"/>
                <w:b/>
                <w:bCs/>
                <w:color w:val="000000"/>
                <w:sz w:val="21"/>
                <w:szCs w:val="21"/>
              </w:rPr>
              <w:t>表1-8 与《山东省深入打好碧水保卫战行动计划（2021-2025年）》符合性分析</w:t>
            </w:r>
          </w:p>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69"/>
              <w:gridCol w:w="1629"/>
              <w:gridCol w:w="1382"/>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45"/>
                <w:jc w:val="center"/>
              </w:trPr>
              <w:tc>
                <w:tcPr>
                  <w:tcW w:w="4669" w:type="dxa"/>
                  <w:vAlign w:val="center"/>
                </w:tcPr>
                <w:p>
                  <w:pPr>
                    <w:jc w:val="center"/>
                    <w:rPr>
                      <w:color w:val="000000"/>
                      <w:szCs w:val="21"/>
                    </w:rPr>
                  </w:pPr>
                  <w:r>
                    <w:rPr>
                      <w:rFonts w:hint="eastAsia"/>
                      <w:b/>
                      <w:bCs/>
                      <w:color w:val="000000"/>
                      <w:szCs w:val="21"/>
                    </w:rPr>
                    <w:t>要求</w:t>
                  </w:r>
                </w:p>
              </w:tc>
              <w:tc>
                <w:tcPr>
                  <w:tcW w:w="1629" w:type="dxa"/>
                  <w:vAlign w:val="center"/>
                </w:tcPr>
                <w:p>
                  <w:pPr>
                    <w:jc w:val="center"/>
                    <w:rPr>
                      <w:color w:val="000000"/>
                      <w:szCs w:val="21"/>
                    </w:rPr>
                  </w:pPr>
                  <w:r>
                    <w:rPr>
                      <w:rFonts w:hint="eastAsia"/>
                      <w:b/>
                      <w:color w:val="000000"/>
                      <w:szCs w:val="21"/>
                    </w:rPr>
                    <w:t>本项目情况</w:t>
                  </w:r>
                </w:p>
              </w:tc>
              <w:tc>
                <w:tcPr>
                  <w:tcW w:w="1382" w:type="dxa"/>
                  <w:vAlign w:val="center"/>
                </w:tcPr>
                <w:p>
                  <w:pPr>
                    <w:jc w:val="center"/>
                    <w:rPr>
                      <w:b/>
                      <w:color w:val="000000"/>
                      <w:szCs w:val="21"/>
                    </w:rPr>
                  </w:pPr>
                  <w:r>
                    <w:rPr>
                      <w:b/>
                      <w:color w:val="000000"/>
                      <w:szCs w:val="21"/>
                    </w:rPr>
                    <w:t>符合性</w:t>
                  </w:r>
                  <w:r>
                    <w:rPr>
                      <w:rFonts w:hint="eastAsia"/>
                      <w:b/>
                      <w:color w:val="000000"/>
                      <w:szCs w:val="21"/>
                    </w:rPr>
                    <w:t>分析</w:t>
                  </w:r>
                </w:p>
              </w:tc>
            </w:tr>
            <w:tr>
              <w:tblPrEx>
                <w:tblW w:w="7680" w:type="dxa"/>
                <w:jc w:val="center"/>
                <w:tblLayout w:type="fixed"/>
                <w:tblCellMar>
                  <w:top w:w="0" w:type="dxa"/>
                  <w:left w:w="108" w:type="dxa"/>
                  <w:bottom w:w="0" w:type="dxa"/>
                  <w:right w:w="108" w:type="dxa"/>
                </w:tblCellMar>
              </w:tblPrEx>
              <w:trPr>
                <w:trHeight w:val="3431"/>
                <w:jc w:val="center"/>
              </w:trPr>
              <w:tc>
                <w:tcPr>
                  <w:tcW w:w="4669" w:type="dxa"/>
                  <w:vAlign w:val="center"/>
                </w:tcPr>
                <w:p>
                  <w:pPr>
                    <w:rPr>
                      <w:color w:val="000000"/>
                      <w:szCs w:val="21"/>
                    </w:rPr>
                  </w:pPr>
                  <w:r>
                    <w:rPr>
                      <w:rFonts w:hint="eastAsia"/>
                      <w:color w:val="000000"/>
                    </w:rPr>
                    <w:t>继续推进化工、有色金属、农副食品加工、印染、制革、原料药制造、电镀、冶金等行业退城入园，提高工业园区集聚水平。指导工业园区对污水实施科学收集、分类处理，梯级循环利用工业废水。逐步推进园区纳管企业废水“一企一管、明管输送、实时监控，统一调度”，第一时间锁定园区集中污水处理设施超标来水源头，及时有效处理处置。大力推进生态工业园区建设，对获得国家和省级命名的生态工业园区给予政策支持。鼓励有条件的园区引进“环保管家”服务，提供定制化、全产业链的第三方环保服务，实现园区污水精细化、专业化管理。</w:t>
                  </w:r>
                </w:p>
              </w:tc>
              <w:tc>
                <w:tcPr>
                  <w:tcW w:w="1629" w:type="dxa"/>
                  <w:vAlign w:val="center"/>
                </w:tcPr>
                <w:p>
                  <w:pPr>
                    <w:rPr>
                      <w:color w:val="000000"/>
                      <w:szCs w:val="21"/>
                    </w:rPr>
                  </w:pPr>
                  <w:r>
                    <w:rPr>
                      <w:rFonts w:hint="eastAsia"/>
                      <w:color w:val="000000"/>
                    </w:rPr>
                    <w:t>项目生活废水经化粪池处理后，通过城市污水管网排入平原县中设水务有限公司处理。</w:t>
                  </w:r>
                </w:p>
              </w:tc>
              <w:tc>
                <w:tcPr>
                  <w:tcW w:w="1382" w:type="dxa"/>
                  <w:vAlign w:val="center"/>
                </w:tcPr>
                <w:p>
                  <w:pPr>
                    <w:jc w:val="center"/>
                    <w:rPr>
                      <w:color w:val="000000"/>
                      <w:szCs w:val="21"/>
                    </w:rPr>
                  </w:pPr>
                  <w:r>
                    <w:rPr>
                      <w:rFonts w:hint="eastAsia"/>
                      <w:color w:val="000000"/>
                      <w:szCs w:val="21"/>
                    </w:rPr>
                    <w:t>符合</w:t>
                  </w:r>
                </w:p>
              </w:tc>
            </w:tr>
          </w:tbl>
          <w:p/>
        </w:tc>
      </w:tr>
    </w:tbl>
    <w:p>
      <w:pPr>
        <w:sectPr>
          <w:footerReference w:type="default" r:id="rId23"/>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8"/>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69"/>
              <w:gridCol w:w="1629"/>
              <w:gridCol w:w="1382"/>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716"/>
                <w:jc w:val="center"/>
              </w:trPr>
              <w:tc>
                <w:tcPr>
                  <w:tcW w:w="4669" w:type="dxa"/>
                  <w:vAlign w:val="center"/>
                </w:tcPr>
                <w:p>
                  <w:pPr>
                    <w:rPr>
                      <w:color w:val="000000"/>
                    </w:rPr>
                  </w:pPr>
                  <w:r>
                    <w:rPr>
                      <w:rFonts w:hint="eastAsia"/>
                      <w:color w:val="000000"/>
                    </w:rPr>
                    <w:t>开展入河排污口溯源分析，建立“排污单位—排污通道—排污口—受纳水体”的排污路径，完成排污口分类、命名、编码和标志牌树立等工作，形成规范的排污口“户籍”管理。按照“取缔一批、合并一批、规范一批”要求，编制整治工作方案，提出“一口一策”整治措施。</w:t>
                  </w:r>
                </w:p>
              </w:tc>
              <w:tc>
                <w:tcPr>
                  <w:tcW w:w="1629" w:type="dxa"/>
                  <w:vAlign w:val="center"/>
                </w:tcPr>
                <w:p>
                  <w:pPr>
                    <w:rPr>
                      <w:color w:val="000000"/>
                      <w:szCs w:val="21"/>
                    </w:rPr>
                  </w:pPr>
                  <w:r>
                    <w:rPr>
                      <w:rFonts w:hint="eastAsia"/>
                      <w:color w:val="000000"/>
                    </w:rPr>
                    <w:t>项目生活废水经化粪池处理后，通过城市污水管网排入平原县中设水务有限公司处理。</w:t>
                  </w:r>
                </w:p>
              </w:tc>
              <w:tc>
                <w:tcPr>
                  <w:tcW w:w="1382" w:type="dxa"/>
                  <w:vAlign w:val="center"/>
                </w:tcPr>
                <w:p>
                  <w:pPr>
                    <w:jc w:val="center"/>
                    <w:rPr>
                      <w:color w:val="000000"/>
                      <w:szCs w:val="21"/>
                    </w:rPr>
                  </w:pPr>
                  <w:r>
                    <w:rPr>
                      <w:rFonts w:hint="eastAsia"/>
                      <w:color w:val="000000"/>
                      <w:szCs w:val="21"/>
                    </w:rPr>
                    <w:t>符合</w:t>
                  </w:r>
                </w:p>
              </w:tc>
            </w:tr>
          </w:tbl>
          <w:p>
            <w:pPr>
              <w:adjustRightInd w:val="0"/>
              <w:snapToGrid w:val="0"/>
              <w:spacing w:line="240" w:lineRule="exact"/>
              <w:ind w:firstLine="420" w:firstLineChars="200"/>
              <w:rPr>
                <w:b/>
                <w:color w:val="000000"/>
                <w:szCs w:val="21"/>
              </w:rPr>
            </w:pPr>
          </w:p>
          <w:p>
            <w:pPr>
              <w:adjustRightInd w:val="0"/>
              <w:snapToGrid w:val="0"/>
              <w:spacing w:line="360" w:lineRule="auto"/>
              <w:ind w:firstLine="420" w:firstLineChars="200"/>
              <w:rPr>
                <w:b/>
                <w:color w:val="000000"/>
                <w:szCs w:val="21"/>
              </w:rPr>
            </w:pPr>
            <w:r>
              <w:rPr>
                <w:rFonts w:hint="eastAsia"/>
                <w:b/>
                <w:bCs/>
                <w:color w:val="000000"/>
                <w:szCs w:val="21"/>
              </w:rPr>
              <w:t>八、与《山东省深入打好净土保卫战行动计划（2021-2025年）》符合性分析</w:t>
            </w:r>
          </w:p>
          <w:p>
            <w:pPr>
              <w:pStyle w:val="Default"/>
              <w:jc w:val="center"/>
              <w:rPr>
                <w:rFonts w:ascii="Times New Roman" w:hAnsi="Times New Roman" w:cs="Times New Roman"/>
                <w:b/>
                <w:bCs/>
                <w:sz w:val="21"/>
                <w:szCs w:val="21"/>
              </w:rPr>
            </w:pPr>
            <w:r>
              <w:rPr>
                <w:rFonts w:ascii="Times New Roman" w:hAnsi="Times New Roman" w:cs="Times New Roman"/>
                <w:b/>
                <w:bCs/>
                <w:color w:val="000000"/>
                <w:sz w:val="21"/>
                <w:szCs w:val="21"/>
              </w:rPr>
              <w:t>表1-9 与《山东省深入打好净土保卫战行动计划（2021-2025年）》符合性分析</w:t>
            </w:r>
          </w:p>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69"/>
              <w:gridCol w:w="1629"/>
              <w:gridCol w:w="1382"/>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67"/>
                <w:jc w:val="center"/>
              </w:trPr>
              <w:tc>
                <w:tcPr>
                  <w:tcW w:w="4669" w:type="dxa"/>
                  <w:vAlign w:val="center"/>
                </w:tcPr>
                <w:p>
                  <w:pPr>
                    <w:jc w:val="center"/>
                    <w:rPr>
                      <w:color w:val="000000"/>
                      <w:szCs w:val="21"/>
                    </w:rPr>
                  </w:pPr>
                  <w:r>
                    <w:rPr>
                      <w:rFonts w:hint="eastAsia"/>
                      <w:b/>
                      <w:bCs/>
                      <w:color w:val="000000"/>
                      <w:szCs w:val="21"/>
                    </w:rPr>
                    <w:t>要求</w:t>
                  </w:r>
                </w:p>
              </w:tc>
              <w:tc>
                <w:tcPr>
                  <w:tcW w:w="1629" w:type="dxa"/>
                  <w:vAlign w:val="center"/>
                </w:tcPr>
                <w:p>
                  <w:pPr>
                    <w:jc w:val="center"/>
                    <w:rPr>
                      <w:color w:val="000000"/>
                      <w:szCs w:val="21"/>
                    </w:rPr>
                  </w:pPr>
                  <w:r>
                    <w:rPr>
                      <w:rFonts w:hint="eastAsia"/>
                      <w:b/>
                      <w:color w:val="000000"/>
                      <w:szCs w:val="21"/>
                    </w:rPr>
                    <w:t>本项目情况</w:t>
                  </w:r>
                </w:p>
              </w:tc>
              <w:tc>
                <w:tcPr>
                  <w:tcW w:w="1382" w:type="dxa"/>
                  <w:vAlign w:val="center"/>
                </w:tcPr>
                <w:p>
                  <w:pPr>
                    <w:jc w:val="center"/>
                    <w:rPr>
                      <w:b/>
                      <w:color w:val="000000"/>
                      <w:szCs w:val="21"/>
                    </w:rPr>
                  </w:pPr>
                  <w:r>
                    <w:rPr>
                      <w:b/>
                      <w:color w:val="000000"/>
                      <w:szCs w:val="21"/>
                    </w:rPr>
                    <w:t>符合性</w:t>
                  </w:r>
                  <w:r>
                    <w:rPr>
                      <w:rFonts w:hint="eastAsia"/>
                      <w:b/>
                      <w:color w:val="000000"/>
                      <w:szCs w:val="21"/>
                    </w:rPr>
                    <w:t>分析</w:t>
                  </w:r>
                </w:p>
              </w:tc>
            </w:tr>
            <w:tr>
              <w:tblPrEx>
                <w:tblW w:w="7680" w:type="dxa"/>
                <w:jc w:val="center"/>
                <w:tblLayout w:type="fixed"/>
                <w:tblCellMar>
                  <w:top w:w="0" w:type="dxa"/>
                  <w:left w:w="108" w:type="dxa"/>
                  <w:bottom w:w="0" w:type="dxa"/>
                  <w:right w:w="108" w:type="dxa"/>
                </w:tblCellMar>
              </w:tblPrEx>
              <w:trPr>
                <w:trHeight w:val="3390"/>
                <w:jc w:val="center"/>
              </w:trPr>
              <w:tc>
                <w:tcPr>
                  <w:tcW w:w="4669" w:type="dxa"/>
                  <w:vAlign w:val="center"/>
                </w:tcPr>
                <w:p>
                  <w:pPr>
                    <w:rPr>
                      <w:color w:val="000000"/>
                      <w:szCs w:val="21"/>
                    </w:rPr>
                  </w:pPr>
                  <w:r>
                    <w:rPr>
                      <w:color w:val="000000"/>
                    </w:rPr>
                    <w:t>每年更新土壤污染重点监管单位名录并向社会公开。全省1415家土壤污染重点监管单位在2021年年底前应完成一轮隐患排查，制定整改方案并落实。新增纳入土壤污染重点监管单位名录的单位，在一年内应开展隐患排查，2025年年底前，至少完成一轮隐患排查。土壤污染重点监管单位应制定、实施自行监测方案，将监测数据公开并报生态环境部门；严格控制有毒有害物质排放，并按年度向生态环境部门报告排放情况；法定义务在排污许可证发放和变更时应予以载明。生态环境部门每年选取不低于10%的土壤污染重点监管单位开展周边土壤环境监测。</w:t>
                  </w:r>
                </w:p>
              </w:tc>
              <w:tc>
                <w:tcPr>
                  <w:tcW w:w="1629" w:type="dxa"/>
                  <w:vAlign w:val="center"/>
                </w:tcPr>
                <w:p>
                  <w:pPr>
                    <w:rPr>
                      <w:color w:val="000000"/>
                      <w:szCs w:val="21"/>
                    </w:rPr>
                  </w:pPr>
                  <w:r>
                    <w:rPr>
                      <w:rFonts w:hint="eastAsia"/>
                      <w:color w:val="000000"/>
                    </w:rPr>
                    <w:t>项目不属于土壤污染重点监管单位。</w:t>
                  </w:r>
                </w:p>
              </w:tc>
              <w:tc>
                <w:tcPr>
                  <w:tcW w:w="1382" w:type="dxa"/>
                  <w:vAlign w:val="center"/>
                </w:tcPr>
                <w:p>
                  <w:pPr>
                    <w:jc w:val="center"/>
                    <w:rPr>
                      <w:color w:val="000000"/>
                      <w:szCs w:val="21"/>
                    </w:rPr>
                  </w:pPr>
                  <w:r>
                    <w:rPr>
                      <w:rFonts w:hint="eastAsia"/>
                      <w:color w:val="000000"/>
                      <w:szCs w:val="21"/>
                    </w:rPr>
                    <w:t>符合</w:t>
                  </w:r>
                </w:p>
              </w:tc>
            </w:tr>
          </w:tbl>
          <w:p>
            <w:pPr>
              <w:adjustRightInd w:val="0"/>
              <w:snapToGrid w:val="0"/>
              <w:spacing w:line="240" w:lineRule="exact"/>
              <w:ind w:firstLine="420" w:firstLineChars="200"/>
              <w:rPr>
                <w:b/>
                <w:color w:val="000000"/>
                <w:szCs w:val="21"/>
              </w:rPr>
            </w:pPr>
          </w:p>
          <w:p>
            <w:pPr>
              <w:adjustRightInd w:val="0"/>
              <w:snapToGrid w:val="0"/>
              <w:spacing w:line="360" w:lineRule="auto"/>
              <w:ind w:firstLine="420" w:firstLineChars="200"/>
              <w:rPr>
                <w:b/>
                <w:color w:val="000000"/>
                <w:szCs w:val="21"/>
              </w:rPr>
            </w:pPr>
            <w:r>
              <w:rPr>
                <w:rFonts w:hint="eastAsia"/>
                <w:b/>
                <w:color w:val="000000"/>
                <w:szCs w:val="21"/>
              </w:rPr>
              <w:t>九、与《山东省新一轮“四减四增””三年行动方案（2021-2023年）》（鲁环委【2021】3号）符合性分析</w:t>
            </w:r>
          </w:p>
          <w:p>
            <w:pPr>
              <w:pStyle w:val="Default"/>
              <w:jc w:val="center"/>
              <w:rPr>
                <w:rFonts w:ascii="Times New Roman" w:hAnsi="Times New Roman" w:cs="Times New Roman"/>
                <w:b/>
                <w:sz w:val="21"/>
                <w:szCs w:val="21"/>
              </w:rPr>
            </w:pPr>
            <w:r>
              <w:rPr>
                <w:rFonts w:ascii="Times New Roman" w:hAnsi="Times New Roman" w:cs="Times New Roman"/>
                <w:b/>
                <w:bCs/>
                <w:color w:val="000000"/>
                <w:sz w:val="21"/>
                <w:szCs w:val="21"/>
              </w:rPr>
              <w:t>表1-10 与</w:t>
            </w:r>
            <w:r>
              <w:rPr>
                <w:rFonts w:ascii="Times New Roman" w:hAnsi="Times New Roman" w:cs="Times New Roman"/>
                <w:b/>
                <w:color w:val="000000"/>
                <w:sz w:val="21"/>
                <w:szCs w:val="21"/>
              </w:rPr>
              <w:t>《山东省新一轮“四减四增””三年行动方案（2021-2023年）》</w:t>
            </w:r>
          </w:p>
          <w:p>
            <w:pPr>
              <w:pStyle w:val="Default"/>
              <w:jc w:val="center"/>
              <w:rPr>
                <w:rFonts w:ascii="Times New Roman" w:hAnsi="Times New Roman" w:cs="Times New Roman"/>
                <w:b/>
                <w:bCs/>
                <w:sz w:val="21"/>
                <w:szCs w:val="21"/>
              </w:rPr>
            </w:pPr>
            <w:r>
              <w:rPr>
                <w:rFonts w:ascii="Times New Roman" w:hAnsi="Times New Roman" w:cs="Times New Roman"/>
                <w:b/>
                <w:color w:val="000000"/>
                <w:sz w:val="21"/>
                <w:szCs w:val="21"/>
              </w:rPr>
              <w:t>（鲁环委【2021】3号）</w:t>
            </w:r>
            <w:r>
              <w:rPr>
                <w:rFonts w:ascii="Times New Roman" w:hAnsi="Times New Roman" w:cs="Times New Roman"/>
                <w:b/>
                <w:bCs/>
                <w:color w:val="000000"/>
                <w:sz w:val="21"/>
                <w:szCs w:val="21"/>
              </w:rPr>
              <w:t>符合性分析</w:t>
            </w:r>
          </w:p>
          <w:tbl>
            <w:tblPr>
              <w:tblStyle w:val="TableNormal"/>
              <w:tblW w:w="7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4"/>
              <w:gridCol w:w="6259"/>
              <w:gridCol w:w="873"/>
            </w:tblGrid>
            <w:tr>
              <w:tblPrEx>
                <w:tblW w:w="7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67"/>
                <w:jc w:val="center"/>
              </w:trPr>
              <w:tc>
                <w:tcPr>
                  <w:tcW w:w="714" w:type="dxa"/>
                  <w:vAlign w:val="center"/>
                </w:tcPr>
                <w:p>
                  <w:pPr>
                    <w:jc w:val="center"/>
                    <w:rPr>
                      <w:color w:val="000000"/>
                      <w:szCs w:val="21"/>
                    </w:rPr>
                  </w:pPr>
                  <w:r>
                    <w:rPr>
                      <w:rFonts w:hint="eastAsia"/>
                      <w:b/>
                      <w:bCs/>
                      <w:color w:val="000000"/>
                      <w:szCs w:val="21"/>
                    </w:rPr>
                    <w:t>分类</w:t>
                  </w:r>
                </w:p>
              </w:tc>
              <w:tc>
                <w:tcPr>
                  <w:tcW w:w="6259" w:type="dxa"/>
                  <w:vAlign w:val="center"/>
                </w:tcPr>
                <w:p>
                  <w:pPr>
                    <w:jc w:val="center"/>
                    <w:rPr>
                      <w:b/>
                      <w:bCs/>
                      <w:color w:val="000000"/>
                      <w:szCs w:val="21"/>
                    </w:rPr>
                  </w:pPr>
                  <w:r>
                    <w:rPr>
                      <w:rFonts w:hint="eastAsia"/>
                      <w:b/>
                      <w:bCs/>
                      <w:color w:val="000000"/>
                      <w:szCs w:val="21"/>
                    </w:rPr>
                    <w:t>文件要求</w:t>
                  </w:r>
                </w:p>
              </w:tc>
              <w:tc>
                <w:tcPr>
                  <w:tcW w:w="873" w:type="dxa"/>
                  <w:vAlign w:val="center"/>
                </w:tcPr>
                <w:p>
                  <w:pPr>
                    <w:jc w:val="center"/>
                    <w:rPr>
                      <w:b/>
                      <w:color w:val="000000"/>
                      <w:szCs w:val="21"/>
                    </w:rPr>
                  </w:pPr>
                  <w:r>
                    <w:rPr>
                      <w:b/>
                      <w:color w:val="000000"/>
                      <w:szCs w:val="21"/>
                    </w:rPr>
                    <w:t>符合性</w:t>
                  </w:r>
                  <w:r>
                    <w:rPr>
                      <w:rFonts w:hint="eastAsia"/>
                      <w:b/>
                      <w:color w:val="000000"/>
                      <w:szCs w:val="21"/>
                    </w:rPr>
                    <w:t>分析</w:t>
                  </w:r>
                </w:p>
              </w:tc>
            </w:tr>
            <w:tr>
              <w:tblPrEx>
                <w:tblW w:w="7846" w:type="dxa"/>
                <w:jc w:val="center"/>
                <w:tblLayout w:type="fixed"/>
                <w:tblCellMar>
                  <w:top w:w="0" w:type="dxa"/>
                  <w:left w:w="108" w:type="dxa"/>
                  <w:bottom w:w="0" w:type="dxa"/>
                  <w:right w:w="108" w:type="dxa"/>
                </w:tblCellMar>
              </w:tblPrEx>
              <w:trPr>
                <w:trHeight w:val="3431"/>
                <w:jc w:val="center"/>
              </w:trPr>
              <w:tc>
                <w:tcPr>
                  <w:tcW w:w="714" w:type="dxa"/>
                  <w:vAlign w:val="center"/>
                </w:tcPr>
                <w:p>
                  <w:pPr>
                    <w:rPr>
                      <w:color w:val="000000"/>
                      <w:szCs w:val="21"/>
                    </w:rPr>
                  </w:pPr>
                  <w:r>
                    <w:rPr>
                      <w:color w:val="000000"/>
                      <w:szCs w:val="21"/>
                    </w:rPr>
                    <w:t>深入调整产业结构</w:t>
                  </w:r>
                </w:p>
              </w:tc>
              <w:tc>
                <w:tcPr>
                  <w:tcW w:w="6259" w:type="dxa"/>
                  <w:vAlign w:val="center"/>
                </w:tcPr>
                <w:p>
                  <w:pPr>
                    <w:rPr>
                      <w:color w:val="000000"/>
                    </w:rPr>
                  </w:pPr>
                  <w:r>
                    <w:rPr>
                      <w:rFonts w:hint="eastAsia"/>
                      <w:color w:val="000000"/>
                    </w:rPr>
                    <w:t>依据安全、环保、技术、能耗、效益标准，以钢铁、地炼、焦化、煤电、水泥、轮胎、煤炭、化工等行业为重点，分类组织实施转移、压减、整合、关停任务，加快淘汰低效落后产能。</w:t>
                  </w:r>
                </w:p>
                <w:p>
                  <w:pPr>
                    <w:rPr>
                      <w:color w:val="000000"/>
                    </w:rPr>
                  </w:pPr>
                  <w:r>
                    <w:rPr>
                      <w:rFonts w:hint="eastAsia"/>
                      <w:color w:val="000000"/>
                    </w:rPr>
                    <w:t>实施“散乱污”企业动态清零，按照“发现一起、处置一起”的原则，实施分类整治。各市要制定实施方案，重点围绕再生橡胶、废旧塑料再生、砖瓦、石灰、石膏等行业，对生产工艺装备进行筛查，按照有关法律法规和程序要求，推动低效落后产能退出。</w:t>
                  </w:r>
                </w:p>
                <w:p>
                  <w:pPr>
                    <w:rPr>
                      <w:color w:val="000000"/>
                    </w:rPr>
                  </w:pPr>
                  <w:r>
                    <w:rPr>
                      <w:rFonts w:hint="eastAsia"/>
                      <w:color w:val="000000"/>
                    </w:rPr>
                    <w:t>重大项目建设，必须首先满足环境质量“只能更好，不能变坏”的底线，严格落实污染物排放“减量替代是原则，等量替代是例外”的总量控制刚性要求。</w:t>
                  </w:r>
                </w:p>
                <w:p>
                  <w:pPr>
                    <w:rPr>
                      <w:color w:val="000000"/>
                      <w:szCs w:val="21"/>
                    </w:rPr>
                  </w:pPr>
                  <w:r>
                    <w:rPr>
                      <w:rFonts w:hint="eastAsia"/>
                      <w:color w:val="000000"/>
                    </w:rPr>
                    <w:t>按照国家相关产业政策，深入实施“四上四压”，坚持“上新压旧”“上大压小”“上高压低”“上整压散”。对钢铁、地炼、焦化、煤电、电解铝、水泥、轮胎、平板玻璃等重点行业实施产能总量控制，严格执行产能置换要求，确保产能总量只减不增。严格执行国家煤化工、铁合金等行业产能控制或产能置换办法。“两高”项目建设做到产能减量、能耗减量、煤炭减量、碳排放减量和常规污染物减量等“五个减量”，新建项目要按照规定实施减量替代，不符合要求的高耗能、高排放项目要坚决拿下来。</w:t>
                  </w:r>
                </w:p>
              </w:tc>
              <w:tc>
                <w:tcPr>
                  <w:tcW w:w="873" w:type="dxa"/>
                  <w:vAlign w:val="center"/>
                </w:tcPr>
                <w:p>
                  <w:pPr>
                    <w:rPr>
                      <w:color w:val="000000"/>
                      <w:szCs w:val="21"/>
                    </w:rPr>
                  </w:pPr>
                  <w:r>
                    <w:rPr>
                      <w:rFonts w:hint="eastAsia"/>
                      <w:color w:val="000000"/>
                    </w:rPr>
                    <w:t>符合。项目不属于淘汰低效落后产能，不属于重大建设项目。</w:t>
                  </w:r>
                </w:p>
              </w:tc>
            </w:tr>
          </w:tbl>
          <w:p/>
        </w:tc>
      </w:tr>
    </w:tbl>
    <w:p>
      <w:pPr>
        <w:sectPr>
          <w:footerReference w:type="default" r:id="rId24"/>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19"/>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p>
            <w:pPr>
              <w:adjustRightInd w:val="0"/>
              <w:snapToGrid w:val="0"/>
              <w:spacing w:line="360" w:lineRule="auto"/>
              <w:ind w:firstLine="420" w:firstLineChars="200"/>
              <w:rPr>
                <w:b/>
                <w:color w:val="000000"/>
                <w:szCs w:val="21"/>
              </w:rPr>
            </w:pPr>
            <w:r>
              <w:rPr>
                <w:rFonts w:hint="eastAsia"/>
                <w:b/>
                <w:color w:val="000000"/>
                <w:szCs w:val="21"/>
              </w:rPr>
              <w:t>十、</w:t>
            </w:r>
            <w:r>
              <w:rPr>
                <w:b/>
                <w:color w:val="000000"/>
                <w:szCs w:val="21"/>
              </w:rPr>
              <w:t>与《挥发性有机物无组织排放控制标准》（GB37822-2019）符合性分析</w:t>
            </w:r>
          </w:p>
          <w:p>
            <w:pPr>
              <w:jc w:val="center"/>
              <w:rPr>
                <w:b/>
                <w:color w:val="000000"/>
                <w:szCs w:val="21"/>
              </w:rPr>
            </w:pPr>
            <w:r>
              <w:rPr>
                <w:b/>
                <w:color w:val="000000"/>
                <w:szCs w:val="21"/>
              </w:rPr>
              <w:t>表1-</w:t>
            </w:r>
            <w:r>
              <w:rPr>
                <w:rFonts w:hint="eastAsia"/>
                <w:b/>
                <w:color w:val="000000"/>
                <w:szCs w:val="21"/>
              </w:rPr>
              <w:t>11</w:t>
            </w:r>
            <w:r>
              <w:rPr>
                <w:b/>
                <w:color w:val="000000"/>
                <w:szCs w:val="21"/>
              </w:rPr>
              <w:t>与《挥发性有机物无组织排放控制标准》符合性</w:t>
            </w:r>
            <w:r>
              <w:rPr>
                <w:rFonts w:hint="eastAsia"/>
                <w:b/>
                <w:color w:val="000000"/>
                <w:szCs w:val="21"/>
              </w:rPr>
              <w:t>分析</w:t>
            </w:r>
          </w:p>
          <w:tbl>
            <w:tblPr>
              <w:tblStyle w:val="TableNormal"/>
              <w:tblW w:w="8039"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203"/>
              <w:gridCol w:w="4218"/>
              <w:gridCol w:w="2618"/>
            </w:tblGrid>
            <w:tr>
              <w:tblPrEx>
                <w:tblW w:w="8039"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348"/>
              </w:trPr>
              <w:tc>
                <w:tcPr>
                  <w:tcW w:w="1203" w:type="dxa"/>
                  <w:tcBorders>
                    <w:tl2br w:val="nil"/>
                    <w:tr2bl w:val="nil"/>
                  </w:tcBorders>
                  <w:vAlign w:val="center"/>
                </w:tcPr>
                <w:p>
                  <w:pPr>
                    <w:jc w:val="center"/>
                    <w:rPr>
                      <w:b/>
                      <w:bCs/>
                      <w:color w:val="000000"/>
                      <w:szCs w:val="21"/>
                    </w:rPr>
                  </w:pPr>
                  <w:r>
                    <w:rPr>
                      <w:b/>
                      <w:bCs/>
                      <w:color w:val="000000"/>
                      <w:szCs w:val="21"/>
                    </w:rPr>
                    <w:t>分类</w:t>
                  </w:r>
                </w:p>
              </w:tc>
              <w:tc>
                <w:tcPr>
                  <w:tcW w:w="4218" w:type="dxa"/>
                  <w:tcBorders>
                    <w:tl2br w:val="nil"/>
                    <w:tr2bl w:val="nil"/>
                  </w:tcBorders>
                  <w:vAlign w:val="center"/>
                </w:tcPr>
                <w:p>
                  <w:pPr>
                    <w:jc w:val="center"/>
                    <w:rPr>
                      <w:b/>
                      <w:bCs/>
                      <w:color w:val="000000"/>
                      <w:szCs w:val="21"/>
                    </w:rPr>
                  </w:pPr>
                  <w:r>
                    <w:rPr>
                      <w:b/>
                      <w:bCs/>
                      <w:color w:val="000000"/>
                      <w:szCs w:val="21"/>
                    </w:rPr>
                    <w:t>文件</w:t>
                  </w:r>
                  <w:r>
                    <w:rPr>
                      <w:rFonts w:hint="eastAsia"/>
                      <w:b/>
                      <w:bCs/>
                      <w:color w:val="000000"/>
                      <w:szCs w:val="21"/>
                    </w:rPr>
                    <w:t>要求</w:t>
                  </w:r>
                </w:p>
              </w:tc>
              <w:tc>
                <w:tcPr>
                  <w:tcW w:w="2618" w:type="dxa"/>
                  <w:tcBorders>
                    <w:tl2br w:val="nil"/>
                    <w:tr2bl w:val="nil"/>
                  </w:tcBorders>
                  <w:vAlign w:val="center"/>
                </w:tcPr>
                <w:p>
                  <w:pPr>
                    <w:jc w:val="center"/>
                    <w:rPr>
                      <w:b/>
                      <w:bCs/>
                      <w:color w:val="000000"/>
                      <w:szCs w:val="21"/>
                    </w:rPr>
                  </w:pPr>
                  <w:r>
                    <w:rPr>
                      <w:b/>
                      <w:bCs/>
                      <w:color w:val="000000"/>
                      <w:szCs w:val="21"/>
                    </w:rPr>
                    <w:t>符合性分析</w:t>
                  </w:r>
                </w:p>
              </w:tc>
            </w:tr>
            <w:tr>
              <w:tblPrEx>
                <w:tblW w:w="8039" w:type="dxa"/>
                <w:tblInd w:w="2" w:type="dxa"/>
                <w:tblLayout w:type="fixed"/>
                <w:tblCellMar>
                  <w:top w:w="0" w:type="dxa"/>
                  <w:left w:w="108" w:type="dxa"/>
                  <w:bottom w:w="0" w:type="dxa"/>
                  <w:right w:w="108" w:type="dxa"/>
                </w:tblCellMar>
              </w:tblPrEx>
              <w:trPr>
                <w:trHeight w:val="1853"/>
              </w:trPr>
              <w:tc>
                <w:tcPr>
                  <w:tcW w:w="1203" w:type="dxa"/>
                  <w:tcBorders>
                    <w:tl2br w:val="nil"/>
                    <w:tr2bl w:val="nil"/>
                  </w:tcBorders>
                  <w:vAlign w:val="center"/>
                </w:tcPr>
                <w:p>
                  <w:pPr>
                    <w:jc w:val="center"/>
                    <w:rPr>
                      <w:color w:val="000000"/>
                      <w:szCs w:val="21"/>
                    </w:rPr>
                  </w:pPr>
                  <w:r>
                    <w:rPr>
                      <w:color w:val="000000"/>
                      <w:szCs w:val="21"/>
                    </w:rPr>
                    <w:t>VOCs物料储存无组织排放控制要求</w:t>
                  </w:r>
                </w:p>
              </w:tc>
              <w:tc>
                <w:tcPr>
                  <w:tcW w:w="4218" w:type="dxa"/>
                  <w:tcBorders>
                    <w:tl2br w:val="nil"/>
                    <w:tr2bl w:val="nil"/>
                  </w:tcBorders>
                  <w:vAlign w:val="center"/>
                </w:tcPr>
                <w:p>
                  <w:pPr>
                    <w:rPr>
                      <w:color w:val="000000"/>
                      <w:szCs w:val="21"/>
                    </w:rPr>
                  </w:pPr>
                  <w:r>
                    <w:rPr>
                      <w:color w:val="000000"/>
                      <w:szCs w:val="21"/>
                    </w:rPr>
                    <w:t>VOCs物料应储存于密闭的容器、包装袋、储罐、储库、料仓中。盛装VOCs物料的容器或包装袋应存放于室内，或存放于设置有雨棚、遮阳和防渗设施的专用场地。盛装VOCs物料的容器或包装袋在非取用状态时应加盖、封口，保持密闭。VOCs物料储罐应密封良好。VOCs物料储库、料仓应满足对密闭空间的要求。</w:t>
                  </w:r>
                </w:p>
              </w:tc>
              <w:tc>
                <w:tcPr>
                  <w:tcW w:w="2618" w:type="dxa"/>
                  <w:tcBorders>
                    <w:tl2br w:val="nil"/>
                    <w:tr2bl w:val="nil"/>
                  </w:tcBorders>
                  <w:vAlign w:val="center"/>
                </w:tcPr>
                <w:p>
                  <w:pPr>
                    <w:rPr>
                      <w:color w:val="000000"/>
                      <w:szCs w:val="21"/>
                    </w:rPr>
                  </w:pPr>
                  <w:r>
                    <w:rPr>
                      <w:color w:val="000000"/>
                      <w:szCs w:val="21"/>
                    </w:rPr>
                    <w:t>项目涉</w:t>
                  </w:r>
                  <w:r>
                    <w:rPr>
                      <w:rFonts w:hint="eastAsia"/>
                      <w:color w:val="000000"/>
                      <w:szCs w:val="21"/>
                      <w:lang w:val="en-US" w:eastAsia="zh-CN"/>
                    </w:rPr>
                    <w:t>及</w:t>
                  </w:r>
                  <w:r>
                    <w:rPr>
                      <w:color w:val="000000"/>
                      <w:szCs w:val="21"/>
                    </w:rPr>
                    <w:t>挥发性有机物的</w:t>
                  </w:r>
                  <w:r>
                    <w:rPr>
                      <w:rFonts w:hint="eastAsia"/>
                      <w:color w:val="000000"/>
                      <w:szCs w:val="21"/>
                      <w:lang w:val="en-US" w:eastAsia="zh-CN"/>
                    </w:rPr>
                    <w:t>物料</w:t>
                  </w:r>
                  <w:r>
                    <w:rPr>
                      <w:color w:val="000000"/>
                      <w:szCs w:val="21"/>
                    </w:rPr>
                    <w:t>均存放于封闭式的包装，在非取用状态时为密封状态，</w:t>
                  </w:r>
                  <w:r>
                    <w:rPr>
                      <w:rFonts w:hint="eastAsia"/>
                      <w:color w:val="000000"/>
                      <w:szCs w:val="21"/>
                      <w:lang w:val="en-US" w:eastAsia="zh-CN"/>
                    </w:rPr>
                    <w:t>物料</w:t>
                  </w:r>
                  <w:r>
                    <w:rPr>
                      <w:color w:val="000000"/>
                      <w:szCs w:val="21"/>
                    </w:rPr>
                    <w:t>位于封闭式物料库内，不露天存放。符合。</w:t>
                  </w:r>
                </w:p>
              </w:tc>
            </w:tr>
            <w:tr>
              <w:tblPrEx>
                <w:tblW w:w="8039" w:type="dxa"/>
                <w:tblInd w:w="2" w:type="dxa"/>
                <w:tblLayout w:type="fixed"/>
                <w:tblCellMar>
                  <w:top w:w="0" w:type="dxa"/>
                  <w:left w:w="108" w:type="dxa"/>
                  <w:bottom w:w="0" w:type="dxa"/>
                  <w:right w:w="108" w:type="dxa"/>
                </w:tblCellMar>
              </w:tblPrEx>
              <w:trPr>
                <w:trHeight w:val="1419"/>
              </w:trPr>
              <w:tc>
                <w:tcPr>
                  <w:tcW w:w="1203" w:type="dxa"/>
                  <w:tcBorders>
                    <w:tl2br w:val="nil"/>
                    <w:tr2bl w:val="nil"/>
                  </w:tcBorders>
                  <w:vAlign w:val="center"/>
                </w:tcPr>
                <w:p>
                  <w:pPr>
                    <w:jc w:val="center"/>
                    <w:rPr>
                      <w:color w:val="000000"/>
                      <w:szCs w:val="21"/>
                      <w:lang w:val="zh-CN"/>
                    </w:rPr>
                  </w:pPr>
                  <w:r>
                    <w:rPr>
                      <w:color w:val="000000"/>
                      <w:szCs w:val="21"/>
                    </w:rPr>
                    <w:t>VOCs物料转移和输送无组织排放控制要求</w:t>
                  </w:r>
                </w:p>
              </w:tc>
              <w:tc>
                <w:tcPr>
                  <w:tcW w:w="4218" w:type="dxa"/>
                  <w:tcBorders>
                    <w:tl2br w:val="nil"/>
                    <w:tr2bl w:val="nil"/>
                  </w:tcBorders>
                  <w:vAlign w:val="center"/>
                </w:tcPr>
                <w:p>
                  <w:pPr>
                    <w:rPr>
                      <w:color w:val="000000"/>
                      <w:szCs w:val="21"/>
                      <w:lang w:val="zh-CN"/>
                    </w:rPr>
                  </w:pPr>
                  <w:r>
                    <w:rPr>
                      <w:color w:val="000000"/>
                      <w:szCs w:val="21"/>
                    </w:rPr>
                    <w:t>液态VOCs物料应采用密闭管道输送。采用非管道输送方式转移液态VOCs物料时，应采用密闭容器、罐车。</w:t>
                  </w:r>
                </w:p>
              </w:tc>
              <w:tc>
                <w:tcPr>
                  <w:tcW w:w="2618" w:type="dxa"/>
                  <w:tcBorders>
                    <w:tl2br w:val="nil"/>
                    <w:tr2bl w:val="nil"/>
                  </w:tcBorders>
                  <w:vAlign w:val="center"/>
                </w:tcPr>
                <w:p>
                  <w:pPr>
                    <w:rPr>
                      <w:color w:val="000000"/>
                      <w:szCs w:val="21"/>
                    </w:rPr>
                  </w:pPr>
                  <w:r>
                    <w:rPr>
                      <w:rFonts w:ascii="Times New Roman" w:eastAsia="宋体" w:hAnsi="Times New Roman" w:cs="Times New Roman"/>
                      <w:color w:val="000000"/>
                      <w:szCs w:val="21"/>
                    </w:rPr>
                    <w:t>项目涉挥发性有机物的液态</w:t>
                  </w:r>
                  <w:r>
                    <w:rPr>
                      <w:rFonts w:ascii="Times New Roman" w:eastAsia="宋体" w:hAnsi="Times New Roman" w:cs="Times New Roman" w:hint="eastAsia"/>
                      <w:color w:val="000000"/>
                      <w:szCs w:val="21"/>
                      <w:lang w:val="en-US" w:eastAsia="zh-CN"/>
                    </w:rPr>
                    <w:t>物料</w:t>
                  </w:r>
                  <w:r>
                    <w:rPr>
                      <w:rFonts w:ascii="Times New Roman" w:eastAsia="宋体" w:hAnsi="Times New Roman" w:cs="Times New Roman"/>
                      <w:color w:val="000000"/>
                      <w:szCs w:val="21"/>
                    </w:rPr>
                    <w:t>为</w:t>
                  </w:r>
                  <w:r>
                    <w:rPr>
                      <w:rFonts w:ascii="Times New Roman" w:eastAsia="宋体" w:hAnsi="Times New Roman" w:cs="Times New Roman" w:hint="eastAsia"/>
                      <w:color w:val="000000"/>
                      <w:szCs w:val="21"/>
                    </w:rPr>
                    <w:t>UV光油</w:t>
                  </w: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水性触感油</w:t>
                  </w:r>
                  <w:r>
                    <w:rPr>
                      <w:rFonts w:ascii="Times New Roman" w:eastAsia="宋体" w:hAnsi="Times New Roman" w:cs="Times New Roman"/>
                      <w:color w:val="000000"/>
                      <w:szCs w:val="21"/>
                    </w:rPr>
                    <w:t>，均为</w:t>
                  </w:r>
                  <w:r>
                    <w:rPr>
                      <w:rFonts w:ascii="Times New Roman" w:eastAsia="宋体" w:hAnsi="Times New Roman" w:cs="Times New Roman" w:hint="eastAsia"/>
                      <w:color w:val="000000"/>
                      <w:szCs w:val="21"/>
                    </w:rPr>
                    <w:t>密</w:t>
                  </w:r>
                  <w:r>
                    <w:rPr>
                      <w:rFonts w:ascii="Times New Roman" w:eastAsia="宋体" w:hAnsi="Times New Roman" w:cs="Times New Roman"/>
                      <w:color w:val="000000"/>
                      <w:szCs w:val="21"/>
                    </w:rPr>
                    <w:t>闭式的包装</w:t>
                  </w:r>
                  <w:r>
                    <w:rPr>
                      <w:rFonts w:ascii="Times New Roman" w:eastAsia="宋体" w:hAnsi="Times New Roman" w:cs="Times New Roman" w:hint="eastAsia"/>
                      <w:color w:val="000000"/>
                      <w:szCs w:val="21"/>
                    </w:rPr>
                    <w:t>。</w:t>
                  </w:r>
                  <w:r>
                    <w:rPr>
                      <w:rFonts w:ascii="Times New Roman" w:eastAsia="宋体" w:hAnsi="Times New Roman" w:cs="Times New Roman"/>
                      <w:color w:val="000000"/>
                      <w:szCs w:val="21"/>
                    </w:rPr>
                    <w:t>符合。</w:t>
                  </w:r>
                </w:p>
              </w:tc>
            </w:tr>
            <w:tr>
              <w:tblPrEx>
                <w:tblW w:w="8039" w:type="dxa"/>
                <w:tblInd w:w="2" w:type="dxa"/>
                <w:tblLayout w:type="fixed"/>
                <w:tblCellMar>
                  <w:top w:w="0" w:type="dxa"/>
                  <w:left w:w="108" w:type="dxa"/>
                  <w:bottom w:w="0" w:type="dxa"/>
                  <w:right w:w="108" w:type="dxa"/>
                </w:tblCellMar>
              </w:tblPrEx>
              <w:trPr>
                <w:trHeight w:val="1418"/>
              </w:trPr>
              <w:tc>
                <w:tcPr>
                  <w:tcW w:w="1203" w:type="dxa"/>
                  <w:tcBorders>
                    <w:tl2br w:val="nil"/>
                    <w:tr2bl w:val="nil"/>
                  </w:tcBorders>
                  <w:vAlign w:val="center"/>
                </w:tcPr>
                <w:p>
                  <w:pPr>
                    <w:jc w:val="center"/>
                    <w:rPr>
                      <w:color w:val="000000"/>
                      <w:szCs w:val="21"/>
                      <w:lang w:val="zh-CN"/>
                    </w:rPr>
                  </w:pPr>
                  <w:r>
                    <w:rPr>
                      <w:color w:val="000000"/>
                      <w:szCs w:val="21"/>
                    </w:rPr>
                    <w:t>工艺过程VOCs无组织排放控制要求</w:t>
                  </w:r>
                </w:p>
              </w:tc>
              <w:tc>
                <w:tcPr>
                  <w:tcW w:w="4218" w:type="dxa"/>
                  <w:tcBorders>
                    <w:tl2br w:val="nil"/>
                    <w:tr2bl w:val="nil"/>
                  </w:tcBorders>
                  <w:vAlign w:val="center"/>
                </w:tcPr>
                <w:p>
                  <w:pPr>
                    <w:rPr>
                      <w:color w:val="000000"/>
                      <w:szCs w:val="21"/>
                      <w:lang w:val="zh-CN"/>
                    </w:rPr>
                  </w:pPr>
                  <w:r>
                    <w:rPr>
                      <w:color w:val="000000"/>
                      <w:szCs w:val="21"/>
                    </w:rPr>
                    <w:t>VOCs质量占比大于等于10%的含VOCs产品，其使用过程应采用密闭设备或在密闭空间内操作，废气应排至VOCs废气收集处理系统；无法密闭的，应采取局部气体收集措施，废气应排至VOCs废气收集处理系统。</w:t>
                  </w:r>
                </w:p>
              </w:tc>
              <w:tc>
                <w:tcPr>
                  <w:tcW w:w="2618" w:type="dxa"/>
                  <w:tcBorders>
                    <w:tl2br w:val="nil"/>
                    <w:tr2bl w:val="nil"/>
                  </w:tcBorders>
                  <w:vAlign w:val="center"/>
                </w:tcPr>
                <w:p>
                  <w:pPr>
                    <w:rPr>
                      <w:color w:val="000000"/>
                      <w:szCs w:val="21"/>
                      <w:lang w:val="zh-CN"/>
                    </w:rPr>
                  </w:pPr>
                  <w:r>
                    <w:rPr>
                      <w:color w:val="000000"/>
                      <w:szCs w:val="21"/>
                    </w:rPr>
                    <w:t>项目涉VOCs物料</w:t>
                  </w:r>
                  <w:r>
                    <w:rPr>
                      <w:rFonts w:hint="eastAsia"/>
                      <w:color w:val="000000"/>
                      <w:szCs w:val="21"/>
                    </w:rPr>
                    <w:t>在</w:t>
                  </w:r>
                  <w:r>
                    <w:rPr>
                      <w:color w:val="000000"/>
                      <w:szCs w:val="21"/>
                    </w:rPr>
                    <w:t>密闭设备内进行，并将废气排至VOCS废气收集处理系统。符合。</w:t>
                  </w:r>
                </w:p>
              </w:tc>
            </w:tr>
            <w:tr>
              <w:tblPrEx>
                <w:tblW w:w="8039" w:type="dxa"/>
                <w:tblInd w:w="2" w:type="dxa"/>
                <w:tblLayout w:type="fixed"/>
                <w:tblCellMar>
                  <w:top w:w="0" w:type="dxa"/>
                  <w:left w:w="108" w:type="dxa"/>
                  <w:bottom w:w="0" w:type="dxa"/>
                  <w:right w:w="108" w:type="dxa"/>
                </w:tblCellMar>
              </w:tblPrEx>
              <w:trPr>
                <w:trHeight w:val="3434"/>
              </w:trPr>
              <w:tc>
                <w:tcPr>
                  <w:tcW w:w="1203" w:type="dxa"/>
                  <w:tcBorders>
                    <w:tl2br w:val="nil"/>
                    <w:tr2bl w:val="nil"/>
                  </w:tcBorders>
                  <w:vAlign w:val="center"/>
                </w:tcPr>
                <w:p>
                  <w:pPr>
                    <w:jc w:val="center"/>
                    <w:rPr>
                      <w:color w:val="000000"/>
                      <w:szCs w:val="21"/>
                    </w:rPr>
                  </w:pPr>
                  <w:r>
                    <w:rPr>
                      <w:color w:val="000000"/>
                      <w:szCs w:val="21"/>
                    </w:rPr>
                    <w:t>其他相关要求</w:t>
                  </w:r>
                </w:p>
              </w:tc>
              <w:tc>
                <w:tcPr>
                  <w:tcW w:w="4218" w:type="dxa"/>
                  <w:tcBorders>
                    <w:tl2br w:val="nil"/>
                    <w:tr2bl w:val="nil"/>
                  </w:tcBorders>
                  <w:vAlign w:val="center"/>
                </w:tcPr>
                <w:p>
                  <w:pPr>
                    <w:rPr>
                      <w:color w:val="000000"/>
                      <w:szCs w:val="21"/>
                    </w:rPr>
                  </w:pPr>
                  <w:r>
                    <w:rPr>
                      <w:color w:val="000000"/>
                      <w:szCs w:val="21"/>
                    </w:rPr>
                    <w:t>企业应建立台账，记录含VOCs原辅材料和含VOCs产品的名称、使用量、回收量、弃量、去向以及VOCs含量等信息。台账保存期限不少于3年。通风生产设备、操作工位、车间厂房等应在符合安全生产、职业卫生相关规定的前提下，根据行业作业规程与标准、工业建筑及洁净厂房通风设计规范等的要求，采用合理的通风量。载有VOCs物料的设备及其管道在开停工（车）、检维修和清洗时，应在退料阶段将残存物料退净，并用密闭容器盛装，退料过程废气应排至VOCs废气收集处理系统；清洗及吹扫过程排气应排至VOCs废气收集处理系统。工艺过程产生的含VOCs废料应要求进行储存、转移和输送。盛装过VOCs物料的废包装容器应加盖密闭。</w:t>
                  </w:r>
                </w:p>
              </w:tc>
              <w:tc>
                <w:tcPr>
                  <w:tcW w:w="2618" w:type="dxa"/>
                  <w:tcBorders>
                    <w:tl2br w:val="nil"/>
                    <w:tr2bl w:val="nil"/>
                  </w:tcBorders>
                  <w:vAlign w:val="center"/>
                </w:tcPr>
                <w:p>
                  <w:pPr>
                    <w:rPr>
                      <w:color w:val="000000"/>
                      <w:szCs w:val="21"/>
                    </w:rPr>
                  </w:pPr>
                  <w:r>
                    <w:rPr>
                      <w:color w:val="000000"/>
                      <w:szCs w:val="21"/>
                    </w:rPr>
                    <w:t>企业承诺严格按照此要求进行操作。</w:t>
                  </w:r>
                  <w:r>
                    <w:rPr>
                      <w:rFonts w:hint="eastAsia"/>
                      <w:color w:val="000000"/>
                      <w:szCs w:val="21"/>
                    </w:rPr>
                    <w:t>符合。</w:t>
                  </w:r>
                </w:p>
              </w:tc>
            </w:tr>
            <w:tr>
              <w:tblPrEx>
                <w:tblW w:w="8039" w:type="dxa"/>
                <w:tblInd w:w="2" w:type="dxa"/>
                <w:tblLayout w:type="fixed"/>
                <w:tblCellMar>
                  <w:top w:w="0" w:type="dxa"/>
                  <w:left w:w="108" w:type="dxa"/>
                  <w:bottom w:w="0" w:type="dxa"/>
                  <w:right w:w="108" w:type="dxa"/>
                </w:tblCellMar>
              </w:tblPrEx>
              <w:trPr>
                <w:trHeight w:val="3180"/>
              </w:trPr>
              <w:tc>
                <w:tcPr>
                  <w:tcW w:w="1203" w:type="dxa"/>
                  <w:tcBorders>
                    <w:tl2br w:val="nil"/>
                    <w:tr2bl w:val="nil"/>
                  </w:tcBorders>
                  <w:vAlign w:val="center"/>
                </w:tcPr>
                <w:p>
                  <w:pPr>
                    <w:jc w:val="center"/>
                    <w:rPr>
                      <w:color w:val="000000"/>
                      <w:szCs w:val="21"/>
                    </w:rPr>
                  </w:pPr>
                  <w:r>
                    <w:rPr>
                      <w:color w:val="000000"/>
                      <w:szCs w:val="21"/>
                    </w:rPr>
                    <w:t>VOC无组织排放废气收集处理系统要求</w:t>
                  </w:r>
                </w:p>
              </w:tc>
              <w:tc>
                <w:tcPr>
                  <w:tcW w:w="4218" w:type="dxa"/>
                  <w:tcBorders>
                    <w:tl2br w:val="nil"/>
                    <w:tr2bl w:val="nil"/>
                  </w:tcBorders>
                  <w:vAlign w:val="center"/>
                </w:tcPr>
                <w:p>
                  <w:pPr>
                    <w:rPr>
                      <w:color w:val="000000"/>
                      <w:szCs w:val="21"/>
                    </w:rPr>
                  </w:pPr>
                  <w:r>
                    <w:rPr>
                      <w:color w:val="000000"/>
                      <w:szCs w:val="21"/>
                    </w:rPr>
                    <w:t>VOC</w:t>
                  </w:r>
                  <w:r>
                    <w:rPr>
                      <w:color w:val="000000"/>
                      <w:szCs w:val="21"/>
                      <w:vertAlign w:val="subscript"/>
                    </w:rPr>
                    <w:t>S</w:t>
                  </w:r>
                  <w:r>
                    <w:rPr>
                      <w:color w:val="000000"/>
                      <w:szCs w:val="21"/>
                    </w:rPr>
                    <w:t>废气收集处理系统应与生产工艺设备同步运行。VOC</w:t>
                  </w:r>
                  <w:r>
                    <w:rPr>
                      <w:color w:val="000000"/>
                      <w:szCs w:val="21"/>
                      <w:vertAlign w:val="subscript"/>
                    </w:rPr>
                    <w:t>S</w:t>
                  </w:r>
                  <w:r>
                    <w:rPr>
                      <w:color w:val="000000"/>
                      <w:szCs w:val="21"/>
                    </w:rPr>
                    <w:t>废气收集处理系统发生故障或检修时，对应的生产工艺设备应停止运行，待检修完毕后同步投入使用；生产工艺设备不能停止运行或不能及时停止运行的，应设置废气应急处理设施或采取其他替代措施</w:t>
                  </w:r>
                </w:p>
              </w:tc>
              <w:tc>
                <w:tcPr>
                  <w:tcW w:w="2618" w:type="dxa"/>
                  <w:tcBorders>
                    <w:tl2br w:val="nil"/>
                    <w:tr2bl w:val="nil"/>
                  </w:tcBorders>
                  <w:vAlign w:val="center"/>
                </w:tcPr>
                <w:p>
                  <w:pPr>
                    <w:rPr>
                      <w:color w:val="000000"/>
                      <w:szCs w:val="21"/>
                    </w:rPr>
                  </w:pPr>
                  <w:r>
                    <w:rPr>
                      <w:color w:val="000000"/>
                      <w:szCs w:val="21"/>
                    </w:rPr>
                    <w:t>项目VOCS废气收集处理系统与生产工艺设备同步运行。VOCS废气收集处理系统发生故障或检修时，对应的生产工艺设备停止运行，待检修完毕后同步投入使用；生产工艺设备不能停止运行或不能及时停止运行的，设置废气应急处理设施或采取其他替代措施。</w:t>
                  </w:r>
                </w:p>
              </w:tc>
            </w:tr>
          </w:tbl>
          <w:p/>
        </w:tc>
      </w:tr>
    </w:tbl>
    <w:p>
      <w:pPr>
        <w:sectPr>
          <w:footerReference w:type="default" r:id="rId25"/>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20"/>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8039"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203"/>
              <w:gridCol w:w="4218"/>
              <w:gridCol w:w="2618"/>
            </w:tblGrid>
            <w:tr>
              <w:tblPrEx>
                <w:tblW w:w="8039"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610"/>
              </w:trPr>
              <w:tc>
                <w:tcPr>
                  <w:tcW w:w="1203" w:type="dxa"/>
                  <w:vMerge w:val="restart"/>
                  <w:tcBorders>
                    <w:tl2br w:val="nil"/>
                    <w:tr2bl w:val="nil"/>
                  </w:tcBorders>
                  <w:vAlign w:val="top"/>
                </w:tcPr>
                <w:p>
                  <w:pPr>
                    <w:rPr>
                      <w:color w:val="000000"/>
                      <w:szCs w:val="21"/>
                    </w:rPr>
                  </w:pPr>
                </w:p>
              </w:tc>
              <w:tc>
                <w:tcPr>
                  <w:tcW w:w="4218" w:type="dxa"/>
                  <w:tcBorders>
                    <w:tl2br w:val="nil"/>
                    <w:tr2bl w:val="nil"/>
                  </w:tcBorders>
                  <w:vAlign w:val="center"/>
                </w:tcPr>
                <w:p>
                  <w:pPr>
                    <w:rPr>
                      <w:color w:val="000000"/>
                      <w:szCs w:val="21"/>
                    </w:rPr>
                  </w:pPr>
                  <w:r>
                    <w:rPr>
                      <w:color w:val="000000"/>
                      <w:szCs w:val="21"/>
                    </w:rPr>
                    <w:t>废气收集系统排风罩（集气罩）的设置应符合GB/T16758的规定。采用外部排风罩的，应按GB/T16758、AQ/T4274-2016规定的方法测量控制风速，测量点应选取在离排风罩开口面最远处的VOCs无组织排放位置，控制风速不应低于0.3m/s（行业相关规范有具体规定的，按相关规定执行）。</w:t>
                  </w:r>
                </w:p>
              </w:tc>
              <w:tc>
                <w:tcPr>
                  <w:tcW w:w="2618" w:type="dxa"/>
                  <w:tcBorders>
                    <w:tl2br w:val="nil"/>
                    <w:tr2bl w:val="nil"/>
                  </w:tcBorders>
                  <w:vAlign w:val="center"/>
                </w:tcPr>
                <w:p>
                  <w:pPr>
                    <w:widowControl/>
                    <w:rPr>
                      <w:color w:val="000000"/>
                      <w:szCs w:val="21"/>
                    </w:rPr>
                  </w:pPr>
                  <w:r>
                    <w:rPr>
                      <w:rFonts w:hint="eastAsia"/>
                      <w:color w:val="000000"/>
                      <w:kern w:val="0"/>
                      <w:szCs w:val="21"/>
                      <w:lang w:val="en-US" w:eastAsia="zh-CN"/>
                    </w:rPr>
                    <w:t>密闭间微负压收集，</w:t>
                  </w:r>
                  <w:r>
                    <w:rPr>
                      <w:color w:val="000000"/>
                      <w:kern w:val="0"/>
                      <w:szCs w:val="21"/>
                    </w:rPr>
                    <w:t>符合GB/T16758的规定。</w:t>
                  </w:r>
                  <w:r>
                    <w:rPr>
                      <w:rFonts w:hint="eastAsia"/>
                      <w:color w:val="000000"/>
                      <w:kern w:val="0"/>
                      <w:szCs w:val="21"/>
                    </w:rPr>
                    <w:t>符合。</w:t>
                  </w:r>
                </w:p>
              </w:tc>
            </w:tr>
            <w:tr>
              <w:tblPrEx>
                <w:tblW w:w="8039" w:type="dxa"/>
                <w:tblInd w:w="2" w:type="dxa"/>
                <w:tblLayout w:type="fixed"/>
                <w:tblCellMar>
                  <w:top w:w="0" w:type="dxa"/>
                  <w:left w:w="108" w:type="dxa"/>
                  <w:bottom w:w="0" w:type="dxa"/>
                  <w:right w:w="108" w:type="dxa"/>
                </w:tblCellMar>
              </w:tblPrEx>
              <w:trPr>
                <w:trHeight w:val="1590"/>
              </w:trPr>
              <w:tc>
                <w:tcPr>
                  <w:tcW w:w="1203" w:type="dxa"/>
                  <w:vMerge/>
                  <w:tcBorders>
                    <w:tl2br w:val="nil"/>
                    <w:tr2bl w:val="nil"/>
                  </w:tcBorders>
                  <w:vAlign w:val="top"/>
                </w:tcPr>
                <w:p>
                  <w:pPr>
                    <w:rPr>
                      <w:color w:val="000000"/>
                      <w:szCs w:val="21"/>
                    </w:rPr>
                  </w:pPr>
                </w:p>
              </w:tc>
              <w:tc>
                <w:tcPr>
                  <w:tcW w:w="4218" w:type="dxa"/>
                  <w:tcBorders>
                    <w:tl2br w:val="nil"/>
                    <w:tr2bl w:val="nil"/>
                  </w:tcBorders>
                  <w:vAlign w:val="center"/>
                </w:tcPr>
                <w:p>
                  <w:pPr>
                    <w:rPr>
                      <w:color w:val="000000"/>
                      <w:szCs w:val="21"/>
                    </w:rPr>
                  </w:pPr>
                  <w:r>
                    <w:rPr>
                      <w:color w:val="000000"/>
                      <w:szCs w:val="21"/>
                    </w:rPr>
                    <w:t>废气收集系统的输送管道应密闭。废气收集系统应在负压下运行，若处于正压状态，应对输送管道组件的密封点进行泄漏检测，泄漏检测值不应超过500µmol/mol，亦不应有感官可察觉泄漏。泄漏检测频次、修复与记录的要求按照第8章规定执行</w:t>
                  </w:r>
                </w:p>
              </w:tc>
              <w:tc>
                <w:tcPr>
                  <w:tcW w:w="2618" w:type="dxa"/>
                  <w:tcBorders>
                    <w:tl2br w:val="nil"/>
                    <w:tr2bl w:val="nil"/>
                  </w:tcBorders>
                  <w:vAlign w:val="center"/>
                </w:tcPr>
                <w:p>
                  <w:pPr>
                    <w:widowControl/>
                    <w:rPr>
                      <w:color w:val="000000"/>
                      <w:szCs w:val="21"/>
                    </w:rPr>
                  </w:pPr>
                  <w:r>
                    <w:rPr>
                      <w:color w:val="000000"/>
                      <w:kern w:val="0"/>
                      <w:szCs w:val="21"/>
                    </w:rPr>
                    <w:t>项目废气收集系统的输送管道密闭。并对输送管道组件的密封点进行泄漏检测，泄漏检测值不超过500µmol/mol，亦没有感官可察觉泄漏。</w:t>
                  </w:r>
                  <w:r>
                    <w:rPr>
                      <w:rFonts w:hint="eastAsia"/>
                      <w:color w:val="000000"/>
                      <w:kern w:val="0"/>
                      <w:szCs w:val="21"/>
                    </w:rPr>
                    <w:t>符合。</w:t>
                  </w:r>
                </w:p>
              </w:tc>
            </w:tr>
            <w:tr>
              <w:tblPrEx>
                <w:tblW w:w="8039" w:type="dxa"/>
                <w:tblInd w:w="2" w:type="dxa"/>
                <w:tblLayout w:type="fixed"/>
                <w:tblCellMar>
                  <w:top w:w="0" w:type="dxa"/>
                  <w:left w:w="108" w:type="dxa"/>
                  <w:bottom w:w="0" w:type="dxa"/>
                  <w:right w:w="108" w:type="dxa"/>
                </w:tblCellMar>
              </w:tblPrEx>
              <w:trPr>
                <w:trHeight w:val="1063"/>
              </w:trPr>
              <w:tc>
                <w:tcPr>
                  <w:tcW w:w="1203" w:type="dxa"/>
                  <w:vMerge/>
                  <w:tcBorders>
                    <w:tl2br w:val="nil"/>
                    <w:tr2bl w:val="nil"/>
                  </w:tcBorders>
                  <w:vAlign w:val="top"/>
                </w:tcPr>
                <w:p>
                  <w:pPr>
                    <w:rPr>
                      <w:color w:val="000000"/>
                      <w:szCs w:val="21"/>
                    </w:rPr>
                  </w:pPr>
                </w:p>
              </w:tc>
              <w:tc>
                <w:tcPr>
                  <w:tcW w:w="4218" w:type="dxa"/>
                  <w:tcBorders>
                    <w:tl2br w:val="nil"/>
                    <w:tr2bl w:val="nil"/>
                  </w:tcBorders>
                  <w:vAlign w:val="center"/>
                </w:tcPr>
                <w:p>
                  <w:pPr>
                    <w:rPr>
                      <w:color w:val="000000"/>
                      <w:szCs w:val="21"/>
                    </w:rPr>
                  </w:pPr>
                  <w:r>
                    <w:rPr>
                      <w:color w:val="000000"/>
                      <w:szCs w:val="21"/>
                    </w:rPr>
                    <w:t>VOCs废气收集处理系统污染物排放应符合GB16297或相关行业排放标准的规定。</w:t>
                  </w:r>
                </w:p>
              </w:tc>
              <w:tc>
                <w:tcPr>
                  <w:tcW w:w="2618" w:type="dxa"/>
                  <w:tcBorders>
                    <w:tl2br w:val="nil"/>
                    <w:tr2bl w:val="nil"/>
                  </w:tcBorders>
                  <w:vAlign w:val="center"/>
                </w:tcPr>
                <w:p>
                  <w:pPr>
                    <w:widowControl/>
                    <w:rPr>
                      <w:color w:val="000000"/>
                      <w:szCs w:val="21"/>
                    </w:rPr>
                  </w:pPr>
                  <w:r>
                    <w:rPr>
                      <w:color w:val="000000"/>
                      <w:szCs w:val="21"/>
                    </w:rPr>
                    <w:t>项目</w:t>
                  </w:r>
                  <w:r>
                    <w:rPr>
                      <w:color w:val="000000"/>
                      <w:kern w:val="0"/>
                      <w:szCs w:val="21"/>
                    </w:rPr>
                    <w:t>VOCs废气收集处理系统污染物排放符合GB16297或相关行业排放标准的规定。</w:t>
                  </w:r>
                  <w:r>
                    <w:rPr>
                      <w:rFonts w:hint="eastAsia"/>
                      <w:color w:val="000000"/>
                      <w:kern w:val="0"/>
                      <w:szCs w:val="21"/>
                    </w:rPr>
                    <w:t>符合。</w:t>
                  </w:r>
                </w:p>
              </w:tc>
            </w:tr>
            <w:tr>
              <w:tblPrEx>
                <w:tblW w:w="8039" w:type="dxa"/>
                <w:tblInd w:w="2" w:type="dxa"/>
                <w:tblLayout w:type="fixed"/>
                <w:tblCellMar>
                  <w:top w:w="0" w:type="dxa"/>
                  <w:left w:w="108" w:type="dxa"/>
                  <w:bottom w:w="0" w:type="dxa"/>
                  <w:right w:w="108" w:type="dxa"/>
                </w:tblCellMar>
              </w:tblPrEx>
              <w:trPr>
                <w:trHeight w:val="1619"/>
              </w:trPr>
              <w:tc>
                <w:tcPr>
                  <w:tcW w:w="1203" w:type="dxa"/>
                  <w:vMerge/>
                  <w:tcBorders>
                    <w:tl2br w:val="nil"/>
                    <w:tr2bl w:val="nil"/>
                  </w:tcBorders>
                  <w:vAlign w:val="top"/>
                </w:tcPr>
                <w:p>
                  <w:pPr>
                    <w:rPr>
                      <w:color w:val="000000"/>
                      <w:szCs w:val="21"/>
                    </w:rPr>
                  </w:pPr>
                </w:p>
              </w:tc>
              <w:tc>
                <w:tcPr>
                  <w:tcW w:w="4218" w:type="dxa"/>
                  <w:tcBorders>
                    <w:tl2br w:val="nil"/>
                    <w:tr2bl w:val="nil"/>
                  </w:tcBorders>
                  <w:vAlign w:val="center"/>
                </w:tcPr>
                <w:p>
                  <w:pPr>
                    <w:rPr>
                      <w:color w:val="000000"/>
                      <w:szCs w:val="21"/>
                    </w:rPr>
                  </w:pPr>
                  <w:r>
                    <w:rPr>
                      <w:color w:val="000000"/>
                      <w:szCs w:val="21"/>
                    </w:rPr>
                    <w:t>收集的废气中NMHC初始排放速率）≧3kg/h时，应配置VOCs处理设施，处理效率不应低于80%；对于重点地区，收集的废气中NMHC初始排放速率）≧2kg/h时，应配置VOCs处理设施，处理效率不应低于80%；采用的原辅材料符合国家有关低VOCs含量产品规定的除外。</w:t>
                  </w:r>
                </w:p>
              </w:tc>
              <w:tc>
                <w:tcPr>
                  <w:tcW w:w="2618" w:type="dxa"/>
                  <w:tcBorders>
                    <w:tl2br w:val="nil"/>
                    <w:tr2bl w:val="nil"/>
                  </w:tcBorders>
                  <w:vAlign w:val="center"/>
                </w:tcPr>
                <w:p>
                  <w:pPr>
                    <w:widowControl/>
                    <w:rPr>
                      <w:color w:val="000000"/>
                      <w:szCs w:val="21"/>
                    </w:rPr>
                  </w:pPr>
                  <w:r>
                    <w:rPr>
                      <w:color w:val="000000"/>
                      <w:szCs w:val="21"/>
                    </w:rPr>
                    <w:t>项目</w:t>
                  </w:r>
                  <w:r>
                    <w:rPr>
                      <w:color w:val="000000"/>
                      <w:kern w:val="0"/>
                      <w:szCs w:val="21"/>
                    </w:rPr>
                    <w:t>使用低VOCs含量的原</w:t>
                  </w:r>
                  <w:r>
                    <w:rPr>
                      <w:rFonts w:hint="eastAsia"/>
                      <w:color w:val="000000"/>
                      <w:kern w:val="0"/>
                      <w:szCs w:val="21"/>
                      <w:lang w:val="en-US" w:eastAsia="zh-CN"/>
                    </w:rPr>
                    <w:t>辅</w:t>
                  </w:r>
                  <w:r>
                    <w:rPr>
                      <w:color w:val="000000"/>
                      <w:kern w:val="0"/>
                      <w:szCs w:val="21"/>
                    </w:rPr>
                    <w:t>材料，符合相关要求，VOCs处理设施为活性炭吸附，处理效率</w:t>
                  </w:r>
                  <w:r>
                    <w:rPr>
                      <w:rFonts w:hint="eastAsia"/>
                      <w:color w:val="000000"/>
                      <w:kern w:val="0"/>
                      <w:szCs w:val="21"/>
                      <w:lang w:val="en-US" w:eastAsia="zh-CN"/>
                    </w:rPr>
                    <w:t>8</w:t>
                  </w:r>
                  <w:r>
                    <w:rPr>
                      <w:color w:val="000000"/>
                      <w:kern w:val="0"/>
                      <w:szCs w:val="21"/>
                    </w:rPr>
                    <w:t>0%。</w:t>
                  </w:r>
                  <w:r>
                    <w:rPr>
                      <w:rFonts w:hint="eastAsia"/>
                      <w:color w:val="000000"/>
                      <w:kern w:val="0"/>
                      <w:szCs w:val="21"/>
                    </w:rPr>
                    <w:t>符合。</w:t>
                  </w:r>
                </w:p>
              </w:tc>
            </w:tr>
          </w:tbl>
          <w:p>
            <w:pPr>
              <w:pStyle w:val="BodyTextFirstIndent2"/>
              <w:keepNext w:val="0"/>
              <w:keepLines w:val="0"/>
              <w:pageBreakBefore w:val="0"/>
              <w:widowControl w:val="0"/>
              <w:kinsoku/>
              <w:wordWrap/>
              <w:overflowPunct/>
              <w:topLinePunct w:val="0"/>
              <w:autoSpaceDE/>
              <w:autoSpaceDN/>
              <w:bidi w:val="0"/>
              <w:adjustRightInd/>
              <w:snapToGrid/>
              <w:spacing w:after="0" w:line="240" w:lineRule="exact"/>
              <w:ind w:left="0" w:firstLine="422" w:leftChars="0"/>
              <w:textAlignment w:val="auto"/>
              <w:rPr>
                <w:rFonts w:hint="eastAsia"/>
                <w:b/>
                <w:color w:val="000000"/>
                <w:szCs w:val="21"/>
              </w:rPr>
            </w:pPr>
          </w:p>
          <w:p>
            <w:pPr>
              <w:pStyle w:val="BodyTextFirstIndent2"/>
              <w:spacing w:after="0" w:line="360" w:lineRule="auto"/>
              <w:ind w:left="0" w:firstLine="422" w:leftChars="0"/>
              <w:rPr>
                <w:b/>
                <w:color w:val="000000"/>
                <w:szCs w:val="21"/>
              </w:rPr>
            </w:pPr>
            <w:r>
              <w:rPr>
                <w:rFonts w:hint="eastAsia"/>
                <w:b/>
                <w:color w:val="000000"/>
                <w:szCs w:val="21"/>
              </w:rPr>
              <w:t>十一、</w:t>
            </w:r>
            <w:r>
              <w:rPr>
                <w:b/>
                <w:color w:val="000000"/>
                <w:szCs w:val="21"/>
              </w:rPr>
              <w:t>与《山东省涉挥发性有机物企业分行业治理指导意见》（鲁环发[2019]146号）符合性</w:t>
            </w:r>
            <w:r>
              <w:rPr>
                <w:rFonts w:hint="eastAsia"/>
                <w:b/>
                <w:color w:val="000000"/>
                <w:szCs w:val="21"/>
              </w:rPr>
              <w:t>分析</w:t>
            </w:r>
          </w:p>
          <w:p>
            <w:pPr>
              <w:pStyle w:val="181"/>
              <w:shd w:val="clear" w:color="auto" w:fill="auto"/>
              <w:adjustRightInd w:val="0"/>
              <w:snapToGrid w:val="0"/>
              <w:spacing w:line="240" w:lineRule="auto"/>
              <w:ind w:firstLine="482"/>
              <w:jc w:val="center"/>
              <w:rPr>
                <w:rFonts w:ascii="Times New Roman" w:eastAsia="宋体"/>
                <w:bCs w:val="0"/>
                <w:color w:val="000000"/>
                <w:sz w:val="21"/>
                <w:szCs w:val="21"/>
              </w:rPr>
            </w:pPr>
            <w:r>
              <w:rPr>
                <w:rFonts w:ascii="Times New Roman" w:eastAsia="宋体"/>
                <w:bCs w:val="0"/>
                <w:color w:val="000000"/>
                <w:sz w:val="21"/>
                <w:szCs w:val="21"/>
              </w:rPr>
              <w:t>表</w:t>
            </w:r>
            <w:r>
              <w:rPr>
                <w:rFonts w:ascii="Times New Roman" w:eastAsia="宋体" w:hint="eastAsia"/>
                <w:bCs w:val="0"/>
                <w:color w:val="000000"/>
                <w:sz w:val="21"/>
                <w:szCs w:val="21"/>
              </w:rPr>
              <w:t>1-12</w:t>
            </w:r>
            <w:r>
              <w:rPr>
                <w:rFonts w:ascii="Times New Roman" w:eastAsia="宋体"/>
                <w:bCs w:val="0"/>
                <w:color w:val="000000"/>
                <w:sz w:val="21"/>
                <w:szCs w:val="21"/>
              </w:rPr>
              <w:t>与鲁环发[2019]146号符合性分析</w:t>
            </w:r>
          </w:p>
          <w:tbl>
            <w:tblPr>
              <w:tblStyle w:val="TableNormal"/>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81"/>
              <w:gridCol w:w="6070"/>
              <w:gridCol w:w="1220"/>
            </w:tblGrid>
            <w:tr>
              <w:tblPrEx>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1"/>
                <w:jc w:val="center"/>
              </w:trPr>
              <w:tc>
                <w:tcPr>
                  <w:tcW w:w="781" w:type="dxa"/>
                  <w:vAlign w:val="center"/>
                </w:tcPr>
                <w:p>
                  <w:pPr>
                    <w:tabs>
                      <w:tab w:val="center" w:pos="4706"/>
                    </w:tabs>
                    <w:autoSpaceDE w:val="0"/>
                    <w:autoSpaceDN w:val="0"/>
                    <w:adjustRightInd w:val="0"/>
                    <w:snapToGrid w:val="0"/>
                    <w:jc w:val="center"/>
                    <w:rPr>
                      <w:b/>
                      <w:color w:val="000000"/>
                      <w:szCs w:val="21"/>
                    </w:rPr>
                  </w:pPr>
                  <w:r>
                    <w:rPr>
                      <w:rFonts w:hint="eastAsia"/>
                      <w:b/>
                      <w:color w:val="000000"/>
                      <w:szCs w:val="21"/>
                    </w:rPr>
                    <w:t>分类</w:t>
                  </w:r>
                </w:p>
              </w:tc>
              <w:tc>
                <w:tcPr>
                  <w:tcW w:w="6070" w:type="dxa"/>
                  <w:vAlign w:val="center"/>
                </w:tcPr>
                <w:p>
                  <w:pPr>
                    <w:tabs>
                      <w:tab w:val="center" w:pos="4706"/>
                    </w:tabs>
                    <w:autoSpaceDE w:val="0"/>
                    <w:autoSpaceDN w:val="0"/>
                    <w:adjustRightInd w:val="0"/>
                    <w:snapToGrid w:val="0"/>
                    <w:jc w:val="center"/>
                    <w:rPr>
                      <w:b/>
                      <w:color w:val="000000"/>
                      <w:szCs w:val="21"/>
                      <w:lang w:val="zh-CN"/>
                    </w:rPr>
                  </w:pPr>
                  <w:r>
                    <w:rPr>
                      <w:b/>
                      <w:color w:val="000000"/>
                      <w:szCs w:val="21"/>
                      <w:lang w:val="zh-CN"/>
                    </w:rPr>
                    <w:t>文件要求</w:t>
                  </w:r>
                </w:p>
              </w:tc>
              <w:tc>
                <w:tcPr>
                  <w:tcW w:w="1220" w:type="dxa"/>
                  <w:vAlign w:val="center"/>
                </w:tcPr>
                <w:p>
                  <w:pPr>
                    <w:tabs>
                      <w:tab w:val="center" w:pos="4706"/>
                    </w:tabs>
                    <w:autoSpaceDE w:val="0"/>
                    <w:autoSpaceDN w:val="0"/>
                    <w:adjustRightInd w:val="0"/>
                    <w:snapToGrid w:val="0"/>
                    <w:jc w:val="center"/>
                    <w:rPr>
                      <w:b/>
                      <w:color w:val="000000"/>
                      <w:szCs w:val="21"/>
                    </w:rPr>
                  </w:pPr>
                  <w:r>
                    <w:rPr>
                      <w:rFonts w:hint="eastAsia"/>
                      <w:b/>
                      <w:color w:val="000000"/>
                      <w:szCs w:val="21"/>
                    </w:rPr>
                    <w:t>符合性分析</w:t>
                  </w:r>
                </w:p>
              </w:tc>
            </w:tr>
            <w:tr>
              <w:tblPrEx>
                <w:tblW w:w="8071" w:type="dxa"/>
                <w:jc w:val="center"/>
                <w:tblLayout w:type="fixed"/>
                <w:tblCellMar>
                  <w:top w:w="0" w:type="dxa"/>
                  <w:left w:w="108" w:type="dxa"/>
                  <w:bottom w:w="0" w:type="dxa"/>
                  <w:right w:w="108" w:type="dxa"/>
                </w:tblCellMar>
              </w:tblPrEx>
              <w:trPr>
                <w:trHeight w:hRule="exact" w:val="1423"/>
                <w:jc w:val="center"/>
              </w:trPr>
              <w:tc>
                <w:tcPr>
                  <w:tcW w:w="781" w:type="dxa"/>
                  <w:vAlign w:val="center"/>
                </w:tcPr>
                <w:p>
                  <w:pPr>
                    <w:widowControl/>
                    <w:spacing w:line="280" w:lineRule="exact"/>
                    <w:rPr>
                      <w:color w:val="000000"/>
                      <w:kern w:val="0"/>
                      <w:szCs w:val="21"/>
                    </w:rPr>
                  </w:pPr>
                  <w:r>
                    <w:rPr>
                      <w:color w:val="000000"/>
                      <w:kern w:val="0"/>
                      <w:szCs w:val="21"/>
                    </w:rPr>
                    <w:t>（一）推进源头替代</w:t>
                  </w:r>
                </w:p>
              </w:tc>
              <w:tc>
                <w:tcPr>
                  <w:tcW w:w="6070" w:type="dxa"/>
                  <w:vAlign w:val="center"/>
                </w:tcPr>
                <w:p>
                  <w:pPr>
                    <w:widowControl/>
                    <w:rPr>
                      <w:color w:val="000000"/>
                      <w:kern w:val="0"/>
                      <w:szCs w:val="21"/>
                    </w:rPr>
                  </w:pPr>
                  <w:r>
                    <w:rPr>
                      <w:color w:val="000000"/>
                      <w:kern w:val="0"/>
                      <w:szCs w:val="21"/>
                    </w:rPr>
                    <w:t>通过使用水性、粉末、高固体分、无溶剂、辐射固化等低VOCs含量的涂料，水性、辐射固化、植物基等低VOCs含量的油墨，水基、热熔、无溶剂、辐射固化、改性、生物降解等低VOCs含量的胶粘剂，以及低VOCs含量、低反应活性的清洗剂等，替代溶剂型涂料、油墨、胶粘剂、清洗剂等，从源头减少VOCs产生。</w:t>
                  </w:r>
                </w:p>
              </w:tc>
              <w:tc>
                <w:tcPr>
                  <w:tcW w:w="1220" w:type="dxa"/>
                  <w:vAlign w:val="center"/>
                </w:tcPr>
                <w:p>
                  <w:pPr>
                    <w:autoSpaceDE w:val="0"/>
                    <w:autoSpaceDN w:val="0"/>
                    <w:adjustRightInd w:val="0"/>
                    <w:snapToGrid w:val="0"/>
                    <w:rPr>
                      <w:color w:val="000000"/>
                      <w:szCs w:val="21"/>
                    </w:rPr>
                  </w:pPr>
                  <w:r>
                    <w:rPr>
                      <w:color w:val="000000"/>
                      <w:szCs w:val="21"/>
                    </w:rPr>
                    <w:t>项目使用</w:t>
                  </w:r>
                  <w:r>
                    <w:rPr>
                      <w:color w:val="000000"/>
                      <w:kern w:val="0"/>
                      <w:szCs w:val="21"/>
                    </w:rPr>
                    <w:t>低VOCs含量</w:t>
                  </w:r>
                  <w:r>
                    <w:rPr>
                      <w:rFonts w:hint="eastAsia"/>
                      <w:color w:val="000000"/>
                      <w:kern w:val="0"/>
                      <w:szCs w:val="21"/>
                      <w:lang w:val="en-US" w:eastAsia="zh-CN"/>
                    </w:rPr>
                    <w:t>原辅材料</w:t>
                  </w:r>
                  <w:r>
                    <w:rPr>
                      <w:color w:val="000000"/>
                      <w:szCs w:val="21"/>
                    </w:rPr>
                    <w:t>。</w:t>
                  </w:r>
                  <w:r>
                    <w:rPr>
                      <w:rFonts w:hint="eastAsia"/>
                      <w:color w:val="000000"/>
                      <w:szCs w:val="21"/>
                    </w:rPr>
                    <w:t>符合。</w:t>
                  </w:r>
                </w:p>
              </w:tc>
            </w:tr>
            <w:tr>
              <w:tblPrEx>
                <w:tblW w:w="8071" w:type="dxa"/>
                <w:jc w:val="center"/>
                <w:tblLayout w:type="fixed"/>
                <w:tblCellMar>
                  <w:top w:w="0" w:type="dxa"/>
                  <w:left w:w="108" w:type="dxa"/>
                  <w:bottom w:w="0" w:type="dxa"/>
                  <w:right w:w="108" w:type="dxa"/>
                </w:tblCellMar>
              </w:tblPrEx>
              <w:trPr>
                <w:trHeight w:hRule="exact" w:val="3951"/>
                <w:jc w:val="center"/>
              </w:trPr>
              <w:tc>
                <w:tcPr>
                  <w:tcW w:w="781" w:type="dxa"/>
                  <w:vAlign w:val="center"/>
                </w:tcPr>
                <w:p>
                  <w:pPr>
                    <w:widowControl/>
                    <w:spacing w:line="280" w:lineRule="exact"/>
                    <w:rPr>
                      <w:color w:val="000000"/>
                      <w:kern w:val="0"/>
                      <w:szCs w:val="21"/>
                    </w:rPr>
                  </w:pPr>
                  <w:r>
                    <w:rPr>
                      <w:color w:val="000000"/>
                      <w:kern w:val="0"/>
                      <w:szCs w:val="21"/>
                    </w:rPr>
                    <w:t>（二）加强过程控制</w:t>
                  </w:r>
                </w:p>
              </w:tc>
              <w:tc>
                <w:tcPr>
                  <w:tcW w:w="6070" w:type="dxa"/>
                  <w:vAlign w:val="center"/>
                </w:tcPr>
                <w:p>
                  <w:pPr>
                    <w:widowControl/>
                    <w:rPr>
                      <w:color w:val="000000"/>
                      <w:kern w:val="0"/>
                      <w:szCs w:val="21"/>
                    </w:rPr>
                  </w:pPr>
                  <w:r>
                    <w:rPr>
                      <w:color w:val="000000"/>
                      <w:kern w:val="0"/>
                      <w:szCs w:val="21"/>
                    </w:rPr>
                    <w:t>1.加强无组织排放控制。重点对含VOCs物料（包括含VOCs原辅材料、含VOCs产品、含VOCs废料以及有机聚合物材料等）储存、转移和输送、设备与管线组件泄漏、敞开液面逸散、工艺过程等五类排放源实施管控，通过采取设备与场所密闭、工艺改进、废气有效收集等措施，削减VOCs无组织排放。2.加强设备与场所密闭管理。含VOCs物料应储存于密闭容器、包装袋，高效密封储罐，封闭式储库、料仓等。含VOCs物料转移和输送，应采用密闭管道或密闭容器、罐车等。高VOCs含量废水（废水液面上方100毫米处VOCs检测浓度超过200ppm，其中重点区域超过100ppm，以碳计）的收集运输、储存和处理过程，应加盖密闭。含VOCs物料生产和使用过程，应采取有效收集措施或在密闭空间中操作。3.推进使用先进生产工艺。通过采用全密闭、连续化、自动化等生产技术，以及高效工艺与设备等，减少工艺过程无组织排放。挥发性有机液体装载优先采用底部装载方式。</w:t>
                  </w:r>
                </w:p>
              </w:tc>
              <w:tc>
                <w:tcPr>
                  <w:tcW w:w="1220" w:type="dxa"/>
                  <w:vAlign w:val="center"/>
                </w:tcPr>
                <w:p>
                  <w:pPr>
                    <w:widowControl/>
                    <w:spacing w:line="260" w:lineRule="exact"/>
                    <w:rPr>
                      <w:color w:val="000000"/>
                      <w:kern w:val="0"/>
                      <w:szCs w:val="21"/>
                    </w:rPr>
                  </w:pPr>
                  <w:r>
                    <w:rPr>
                      <w:color w:val="000000"/>
                      <w:szCs w:val="21"/>
                    </w:rPr>
                    <w:t>项目</w:t>
                  </w:r>
                  <w:r>
                    <w:rPr>
                      <w:color w:val="000000"/>
                      <w:kern w:val="0"/>
                      <w:szCs w:val="21"/>
                    </w:rPr>
                    <w:t>含VOCs物料储存于密闭容器</w:t>
                  </w:r>
                  <w:r>
                    <w:rPr>
                      <w:rFonts w:hint="eastAsia"/>
                      <w:color w:val="000000"/>
                      <w:kern w:val="0"/>
                      <w:szCs w:val="21"/>
                    </w:rPr>
                    <w:t>内，使用时位于密闭设备内，设备为自动化</w:t>
                  </w:r>
                  <w:r>
                    <w:rPr>
                      <w:color w:val="000000"/>
                      <w:kern w:val="0"/>
                      <w:szCs w:val="21"/>
                    </w:rPr>
                    <w:t>。</w:t>
                  </w:r>
                  <w:r>
                    <w:rPr>
                      <w:rFonts w:hint="eastAsia"/>
                      <w:color w:val="000000"/>
                      <w:kern w:val="0"/>
                      <w:szCs w:val="21"/>
                    </w:rPr>
                    <w:t>符合。</w:t>
                  </w:r>
                </w:p>
              </w:tc>
            </w:tr>
          </w:tbl>
          <w:p/>
        </w:tc>
      </w:tr>
    </w:tbl>
    <w:p>
      <w:pPr>
        <w:sectPr>
          <w:footerReference w:type="default" r:id="rId26"/>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21"/>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81"/>
              <w:gridCol w:w="6070"/>
              <w:gridCol w:w="1220"/>
            </w:tblGrid>
            <w:tr>
              <w:tblPrEx>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205"/>
                <w:jc w:val="center"/>
              </w:trPr>
              <w:tc>
                <w:tcPr>
                  <w:tcW w:w="781" w:type="dxa"/>
                  <w:vAlign w:val="center"/>
                </w:tcPr>
                <w:p>
                  <w:pPr>
                    <w:widowControl/>
                    <w:spacing w:line="280" w:lineRule="exact"/>
                    <w:rPr>
                      <w:color w:val="000000"/>
                      <w:kern w:val="0"/>
                      <w:szCs w:val="21"/>
                    </w:rPr>
                  </w:pPr>
                  <w:r>
                    <w:rPr>
                      <w:color w:val="000000"/>
                      <w:kern w:val="0"/>
                      <w:szCs w:val="21"/>
                    </w:rPr>
                    <w:t>（三）加强末端管控</w:t>
                  </w:r>
                </w:p>
              </w:tc>
              <w:tc>
                <w:tcPr>
                  <w:tcW w:w="6070" w:type="dxa"/>
                  <w:vAlign w:val="center"/>
                </w:tcPr>
                <w:p>
                  <w:pPr>
                    <w:widowControl/>
                    <w:rPr>
                      <w:color w:val="000000"/>
                      <w:kern w:val="0"/>
                      <w:szCs w:val="21"/>
                    </w:rPr>
                  </w:pPr>
                  <w:r>
                    <w:rPr>
                      <w:color w:val="000000"/>
                      <w:kern w:val="0"/>
                      <w:szCs w:val="21"/>
                    </w:rPr>
                    <w:t>实行重点排放源排放浓度与去除效率双重控制。车间或生产设施收集排放的废气，VOCs初始排放速率大于等于3千克/小时、重点区域大于等于2千克/小时的，应加大控制力度，除确保排放浓度稳定达标外，还应实行去除效率控制，VOCs去除率应不低于80%。有行业排放标准的按其相关规定执行。</w:t>
                  </w:r>
                </w:p>
              </w:tc>
              <w:tc>
                <w:tcPr>
                  <w:tcW w:w="1220" w:type="dxa"/>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textAlignment w:val="auto"/>
                    <w:rPr>
                      <w:color w:val="000000"/>
                      <w:szCs w:val="21"/>
                    </w:rPr>
                  </w:pPr>
                  <w:r>
                    <w:rPr>
                      <w:bCs/>
                      <w:color w:val="000000"/>
                      <w:szCs w:val="21"/>
                    </w:rPr>
                    <w:t>项目</w:t>
                  </w:r>
                  <w:r>
                    <w:rPr>
                      <w:color w:val="000000"/>
                      <w:kern w:val="0"/>
                      <w:szCs w:val="21"/>
                    </w:rPr>
                    <w:t>生产</w:t>
                  </w:r>
                  <w:r>
                    <w:rPr>
                      <w:rFonts w:hint="eastAsia"/>
                      <w:color w:val="000000"/>
                      <w:kern w:val="0"/>
                      <w:szCs w:val="21"/>
                    </w:rPr>
                    <w:t>过程</w:t>
                  </w:r>
                  <w:r>
                    <w:rPr>
                      <w:color w:val="000000"/>
                      <w:kern w:val="0"/>
                      <w:szCs w:val="21"/>
                    </w:rPr>
                    <w:t>加强收集措施，确保排放浓度稳定达标，控制VOCs去除率不低于</w:t>
                  </w:r>
                  <w:r>
                    <w:rPr>
                      <w:rFonts w:hint="eastAsia"/>
                      <w:color w:val="000000"/>
                      <w:kern w:val="0"/>
                      <w:szCs w:val="21"/>
                      <w:lang w:val="en-US" w:eastAsia="zh-CN"/>
                    </w:rPr>
                    <w:t>8</w:t>
                  </w:r>
                  <w:r>
                    <w:rPr>
                      <w:color w:val="000000"/>
                      <w:kern w:val="0"/>
                      <w:szCs w:val="21"/>
                    </w:rPr>
                    <w:t>0%。</w:t>
                  </w:r>
                  <w:r>
                    <w:rPr>
                      <w:rFonts w:hint="eastAsia"/>
                      <w:color w:val="000000"/>
                      <w:kern w:val="0"/>
                      <w:szCs w:val="21"/>
                    </w:rPr>
                    <w:t>符合。</w:t>
                  </w:r>
                </w:p>
              </w:tc>
            </w:tr>
            <w:tr>
              <w:tblPrEx>
                <w:tblW w:w="8071" w:type="dxa"/>
                <w:jc w:val="center"/>
                <w:tblLayout w:type="fixed"/>
                <w:tblCellMar>
                  <w:top w:w="0" w:type="dxa"/>
                  <w:left w:w="108" w:type="dxa"/>
                  <w:bottom w:w="0" w:type="dxa"/>
                  <w:right w:w="108" w:type="dxa"/>
                </w:tblCellMar>
              </w:tblPrEx>
              <w:trPr>
                <w:trHeight w:val="2242"/>
                <w:jc w:val="center"/>
              </w:trPr>
              <w:tc>
                <w:tcPr>
                  <w:tcW w:w="781" w:type="dxa"/>
                  <w:vAlign w:val="center"/>
                </w:tcPr>
                <w:p>
                  <w:pPr>
                    <w:widowControl/>
                    <w:spacing w:line="280" w:lineRule="exact"/>
                    <w:rPr>
                      <w:color w:val="000000"/>
                      <w:kern w:val="0"/>
                      <w:szCs w:val="21"/>
                    </w:rPr>
                  </w:pPr>
                  <w:r>
                    <w:rPr>
                      <w:color w:val="000000"/>
                      <w:kern w:val="0"/>
                      <w:szCs w:val="21"/>
                    </w:rPr>
                    <w:t>（四）行业指导意见</w:t>
                  </w:r>
                </w:p>
              </w:tc>
              <w:tc>
                <w:tcPr>
                  <w:tcW w:w="6070" w:type="dxa"/>
                  <w:vAlign w:val="center"/>
                </w:tcPr>
                <w:p>
                  <w:pPr>
                    <w:widowControl/>
                    <w:rPr>
                      <w:color w:val="000000"/>
                      <w:kern w:val="0"/>
                      <w:szCs w:val="21"/>
                    </w:rPr>
                  </w:pPr>
                  <w:r>
                    <w:rPr>
                      <w:color w:val="000000"/>
                      <w:kern w:val="0"/>
                      <w:szCs w:val="21"/>
                    </w:rPr>
                    <w:t>（1）鼓励推进源头替代。通过使用水性、粉末、高固体分、无溶剂、辐射固化等低VOCs含量的涂料替代溶剂型涂料，从源头减少VOCs产生。（2）涂料、稀释剂、清洗剂等原辅材料应密闭存储，调配、使用、回收等过程应采用密闭设备或在密闭空间内操作，采用密闭管道或密闭容器等输送，废气宜采用下吸风方式进行有效收集。（3）涂装、小件修补等工段宜采用上进风、下吸风方式对废气进行收集。</w:t>
                  </w:r>
                </w:p>
              </w:tc>
              <w:tc>
                <w:tcPr>
                  <w:tcW w:w="1220" w:type="dxa"/>
                  <w:vAlign w:val="center"/>
                </w:tcPr>
                <w:p>
                  <w:pPr>
                    <w:keepNext w:val="0"/>
                    <w:keepLines w:val="0"/>
                    <w:pageBreakBefore w:val="0"/>
                    <w:widowControl w:val="0"/>
                    <w:kinsoku/>
                    <w:wordWrap/>
                    <w:overflowPunct/>
                    <w:topLinePunct w:val="0"/>
                    <w:autoSpaceDE w:val="0"/>
                    <w:autoSpaceDN w:val="0"/>
                    <w:bidi w:val="0"/>
                    <w:adjustRightInd w:val="0"/>
                    <w:snapToGrid w:val="0"/>
                    <w:spacing w:line="260" w:lineRule="exact"/>
                    <w:textAlignment w:val="auto"/>
                    <w:rPr>
                      <w:color w:val="000000"/>
                      <w:szCs w:val="21"/>
                    </w:rPr>
                  </w:pPr>
                  <w:r>
                    <w:rPr>
                      <w:color w:val="000000"/>
                      <w:szCs w:val="21"/>
                    </w:rPr>
                    <w:t>项目</w:t>
                  </w:r>
                  <w:r>
                    <w:rPr>
                      <w:color w:val="000000"/>
                      <w:kern w:val="0"/>
                      <w:szCs w:val="21"/>
                    </w:rPr>
                    <w:t>使用低VOCs含量</w:t>
                  </w:r>
                  <w:r>
                    <w:rPr>
                      <w:rFonts w:hint="eastAsia"/>
                      <w:color w:val="000000"/>
                      <w:kern w:val="0"/>
                      <w:szCs w:val="21"/>
                      <w:lang w:val="en-US" w:eastAsia="zh-CN"/>
                    </w:rPr>
                    <w:t>原辅材料</w:t>
                  </w:r>
                  <w:r>
                    <w:rPr>
                      <w:color w:val="000000"/>
                      <w:kern w:val="0"/>
                      <w:szCs w:val="21"/>
                    </w:rPr>
                    <w:t>，从源头减少VOCs产生。</w:t>
                  </w:r>
                  <w:r>
                    <w:rPr>
                      <w:rFonts w:hint="eastAsia"/>
                      <w:color w:val="000000"/>
                      <w:kern w:val="0"/>
                      <w:szCs w:val="21"/>
                      <w:lang w:val="en-US" w:eastAsia="zh-CN"/>
                    </w:rPr>
                    <w:t>涉</w:t>
                  </w:r>
                  <w:r>
                    <w:rPr>
                      <w:color w:val="000000"/>
                      <w:kern w:val="0"/>
                      <w:szCs w:val="21"/>
                    </w:rPr>
                    <w:t>VOCs</w:t>
                  </w:r>
                  <w:r>
                    <w:rPr>
                      <w:rFonts w:hint="eastAsia"/>
                      <w:color w:val="000000"/>
                      <w:kern w:val="0"/>
                      <w:szCs w:val="21"/>
                      <w:lang w:val="en-US" w:eastAsia="zh-CN"/>
                    </w:rPr>
                    <w:t>工序</w:t>
                  </w:r>
                  <w:r>
                    <w:rPr>
                      <w:rFonts w:hint="eastAsia"/>
                      <w:color w:val="000000"/>
                      <w:kern w:val="0"/>
                      <w:szCs w:val="21"/>
                    </w:rPr>
                    <w:t>均</w:t>
                  </w:r>
                  <w:r>
                    <w:rPr>
                      <w:color w:val="000000"/>
                      <w:kern w:val="0"/>
                      <w:szCs w:val="21"/>
                    </w:rPr>
                    <w:t>位于密闭间内，</w:t>
                  </w:r>
                  <w:r>
                    <w:rPr>
                      <w:rFonts w:hint="eastAsia"/>
                      <w:color w:val="000000"/>
                      <w:kern w:val="0"/>
                      <w:szCs w:val="21"/>
                    </w:rPr>
                    <w:t>使用过程位于密闭设备内，</w:t>
                  </w:r>
                  <w:r>
                    <w:rPr>
                      <w:color w:val="000000"/>
                      <w:kern w:val="0"/>
                      <w:szCs w:val="21"/>
                    </w:rPr>
                    <w:t>能有效收集VOCs废气。</w:t>
                  </w:r>
                  <w:r>
                    <w:rPr>
                      <w:rFonts w:hint="eastAsia"/>
                      <w:color w:val="000000"/>
                      <w:kern w:val="0"/>
                      <w:szCs w:val="21"/>
                    </w:rPr>
                    <w:t>符合。</w:t>
                  </w:r>
                </w:p>
              </w:tc>
            </w:tr>
          </w:tbl>
          <w:p>
            <w:pPr>
              <w:adjustRightInd w:val="0"/>
              <w:snapToGrid w:val="0"/>
              <w:spacing w:line="240" w:lineRule="exact"/>
              <w:ind w:firstLine="420" w:firstLineChars="200"/>
              <w:rPr>
                <w:bCs/>
                <w:color w:val="000000"/>
                <w:szCs w:val="21"/>
              </w:rPr>
            </w:pPr>
          </w:p>
          <w:p>
            <w:pPr>
              <w:adjustRightInd w:val="0"/>
              <w:snapToGrid w:val="0"/>
              <w:spacing w:line="360" w:lineRule="auto"/>
              <w:ind w:firstLine="420" w:firstLineChars="200"/>
              <w:rPr>
                <w:b/>
                <w:color w:val="000000"/>
                <w:szCs w:val="21"/>
              </w:rPr>
            </w:pPr>
            <w:r>
              <w:rPr>
                <w:rFonts w:hint="eastAsia"/>
                <w:b/>
                <w:color w:val="000000"/>
                <w:szCs w:val="21"/>
              </w:rPr>
              <w:t>十二、</w:t>
            </w:r>
            <w:r>
              <w:rPr>
                <w:b/>
                <w:color w:val="000000"/>
                <w:szCs w:val="21"/>
              </w:rPr>
              <w:t>与《德州市新一轮“四减四增”三年行动方案（2021-2023年）》</w:t>
            </w:r>
            <w:r>
              <w:rPr>
                <w:rStyle w:val="CommentReference"/>
                <w:b/>
                <w:color w:val="000000"/>
                <w:szCs w:val="21"/>
              </w:rPr>
              <w:t>符合性分析</w:t>
            </w:r>
          </w:p>
          <w:p>
            <w:pPr>
              <w:pStyle w:val="Caption"/>
              <w:adjustRightInd w:val="0"/>
              <w:snapToGrid w:val="0"/>
              <w:spacing w:before="0" w:after="0"/>
              <w:ind w:firstLine="0" w:firstLineChars="0"/>
              <w:rPr>
                <w:rFonts w:ascii="Times New Roman" w:eastAsia="宋体" w:hAnsi="Times New Roman"/>
                <w:b/>
                <w:color w:val="000000"/>
                <w:szCs w:val="21"/>
                <w:u w:val="none"/>
              </w:rPr>
            </w:pPr>
            <w:r>
              <w:rPr>
                <w:rFonts w:ascii="Times New Roman" w:eastAsia="宋体" w:hAnsi="Times New Roman" w:hint="eastAsia"/>
                <w:b/>
                <w:color w:val="000000"/>
                <w:szCs w:val="21"/>
                <w:u w:val="none"/>
              </w:rPr>
              <w:t>表1-13</w:t>
            </w:r>
            <w:r>
              <w:rPr>
                <w:rFonts w:ascii="Times New Roman" w:eastAsia="宋体" w:hAnsi="Times New Roman"/>
                <w:b/>
                <w:color w:val="000000"/>
                <w:szCs w:val="21"/>
                <w:u w:val="none"/>
              </w:rPr>
              <w:t>与</w:t>
            </w:r>
            <w:r>
              <w:rPr>
                <w:rFonts w:ascii="Times New Roman" w:eastAsia="宋体" w:hAnsi="Times New Roman"/>
                <w:b/>
                <w:bCs/>
                <w:color w:val="000000"/>
                <w:szCs w:val="21"/>
                <w:u w:val="none"/>
              </w:rPr>
              <w:t>《德州市新一轮“四减四增”三年行动方案（2021-2023年）》</w:t>
            </w:r>
            <w:r>
              <w:rPr>
                <w:rFonts w:ascii="Times New Roman" w:eastAsia="宋体" w:hAnsi="Times New Roman"/>
                <w:b/>
                <w:color w:val="000000"/>
                <w:szCs w:val="21"/>
                <w:u w:val="none"/>
              </w:rPr>
              <w:t>符合性分析表</w:t>
            </w:r>
          </w:p>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42"/>
              <w:gridCol w:w="5725"/>
              <w:gridCol w:w="1513"/>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590"/>
                <w:jc w:val="center"/>
              </w:trPr>
              <w:tc>
                <w:tcPr>
                  <w:tcW w:w="442" w:type="dxa"/>
                  <w:vAlign w:val="center"/>
                </w:tcPr>
                <w:p>
                  <w:pPr>
                    <w:adjustRightInd w:val="0"/>
                    <w:snapToGrid w:val="0"/>
                    <w:jc w:val="center"/>
                    <w:rPr>
                      <w:b/>
                      <w:color w:val="000000"/>
                      <w:szCs w:val="21"/>
                    </w:rPr>
                  </w:pPr>
                  <w:r>
                    <w:rPr>
                      <w:rFonts w:hint="eastAsia"/>
                      <w:b/>
                      <w:color w:val="000000"/>
                      <w:szCs w:val="21"/>
                    </w:rPr>
                    <w:t>分类</w:t>
                  </w:r>
                </w:p>
              </w:tc>
              <w:tc>
                <w:tcPr>
                  <w:tcW w:w="5725" w:type="dxa"/>
                  <w:vAlign w:val="center"/>
                </w:tcPr>
                <w:p>
                  <w:pPr>
                    <w:adjustRightInd w:val="0"/>
                    <w:snapToGrid w:val="0"/>
                    <w:jc w:val="center"/>
                    <w:rPr>
                      <w:b/>
                      <w:color w:val="000000"/>
                      <w:szCs w:val="21"/>
                    </w:rPr>
                  </w:pPr>
                  <w:r>
                    <w:rPr>
                      <w:b/>
                      <w:color w:val="000000"/>
                      <w:szCs w:val="21"/>
                    </w:rPr>
                    <w:t>文件要求</w:t>
                  </w:r>
                </w:p>
              </w:tc>
              <w:tc>
                <w:tcPr>
                  <w:tcW w:w="1513" w:type="dxa"/>
                  <w:vAlign w:val="center"/>
                </w:tcPr>
                <w:p>
                  <w:pPr>
                    <w:adjustRightInd w:val="0"/>
                    <w:snapToGrid w:val="0"/>
                    <w:jc w:val="center"/>
                    <w:rPr>
                      <w:b/>
                      <w:color w:val="000000"/>
                      <w:szCs w:val="21"/>
                    </w:rPr>
                  </w:pPr>
                  <w:r>
                    <w:rPr>
                      <w:rFonts w:hint="eastAsia"/>
                      <w:b/>
                      <w:color w:val="000000"/>
                      <w:szCs w:val="21"/>
                    </w:rPr>
                    <w:t>符合性分析</w:t>
                  </w:r>
                </w:p>
              </w:tc>
            </w:tr>
            <w:tr>
              <w:tblPrEx>
                <w:tblW w:w="7680" w:type="dxa"/>
                <w:jc w:val="center"/>
                <w:tblLayout w:type="fixed"/>
                <w:tblCellMar>
                  <w:top w:w="0" w:type="dxa"/>
                  <w:left w:w="108" w:type="dxa"/>
                  <w:bottom w:w="0" w:type="dxa"/>
                  <w:right w:w="108" w:type="dxa"/>
                </w:tblCellMar>
              </w:tblPrEx>
              <w:trPr>
                <w:trHeight w:val="1113"/>
                <w:jc w:val="center"/>
              </w:trPr>
              <w:tc>
                <w:tcPr>
                  <w:tcW w:w="442" w:type="dxa"/>
                  <w:vMerge w:val="restart"/>
                  <w:vAlign w:val="center"/>
                </w:tcPr>
                <w:p>
                  <w:pPr>
                    <w:adjustRightInd w:val="0"/>
                    <w:snapToGrid w:val="0"/>
                    <w:jc w:val="center"/>
                    <w:rPr>
                      <w:color w:val="000000"/>
                      <w:szCs w:val="21"/>
                    </w:rPr>
                  </w:pPr>
                  <w:r>
                    <w:rPr>
                      <w:rFonts w:hint="eastAsia"/>
                      <w:color w:val="000000"/>
                      <w:szCs w:val="21"/>
                    </w:rPr>
                    <w:t>深入调整产业结构</w:t>
                  </w:r>
                </w:p>
              </w:tc>
              <w:tc>
                <w:tcPr>
                  <w:tcW w:w="5725" w:type="dxa"/>
                  <w:vAlign w:val="center"/>
                </w:tcPr>
                <w:p>
                  <w:pPr>
                    <w:adjustRightInd w:val="0"/>
                    <w:snapToGrid w:val="0"/>
                    <w:jc w:val="left"/>
                    <w:rPr>
                      <w:color w:val="000000"/>
                      <w:szCs w:val="21"/>
                    </w:rPr>
                  </w:pPr>
                  <w:r>
                    <w:rPr>
                      <w:rFonts w:hint="eastAsia"/>
                      <w:color w:val="000000"/>
                      <w:szCs w:val="21"/>
                    </w:rPr>
                    <w:t>根据省部署要求，依据安全、环保、技术、能耗、效益标准，以钢铁、地炼、煤电、水泥、轮胎、煤炭、化工等行业为重点，分类组织实施转移、压减、整合、关停任务，加快淘汰低效落后产能。</w:t>
                  </w:r>
                </w:p>
              </w:tc>
              <w:tc>
                <w:tcPr>
                  <w:tcW w:w="1513" w:type="dxa"/>
                  <w:vAlign w:val="center"/>
                </w:tcPr>
                <w:p>
                  <w:pPr>
                    <w:adjustRightInd w:val="0"/>
                    <w:snapToGrid w:val="0"/>
                    <w:rPr>
                      <w:color w:val="000000"/>
                      <w:szCs w:val="21"/>
                    </w:rPr>
                  </w:pPr>
                  <w:r>
                    <w:rPr>
                      <w:color w:val="000000"/>
                      <w:szCs w:val="21"/>
                    </w:rPr>
                    <w:t>符合。</w:t>
                  </w:r>
                  <w:r>
                    <w:rPr>
                      <w:rFonts w:hint="eastAsia"/>
                      <w:color w:val="000000"/>
                      <w:szCs w:val="21"/>
                      <w:lang w:val="zh-CN"/>
                    </w:rPr>
                    <w:t>项目</w:t>
                  </w:r>
                  <w:r>
                    <w:rPr>
                      <w:color w:val="000000"/>
                      <w:szCs w:val="21"/>
                      <w:lang w:val="zh-CN"/>
                    </w:rPr>
                    <w:t>不属于“落后产能”</w:t>
                  </w:r>
                  <w:r>
                    <w:rPr>
                      <w:rFonts w:hint="eastAsia"/>
                      <w:color w:val="000000"/>
                      <w:szCs w:val="21"/>
                      <w:lang w:val="zh-CN"/>
                    </w:rPr>
                    <w:t>。</w:t>
                  </w:r>
                </w:p>
              </w:tc>
            </w:tr>
            <w:tr>
              <w:tblPrEx>
                <w:tblW w:w="7680" w:type="dxa"/>
                <w:jc w:val="center"/>
                <w:tblLayout w:type="fixed"/>
                <w:tblCellMar>
                  <w:top w:w="0" w:type="dxa"/>
                  <w:left w:w="108" w:type="dxa"/>
                  <w:bottom w:w="0" w:type="dxa"/>
                  <w:right w:w="108" w:type="dxa"/>
                </w:tblCellMar>
              </w:tblPrEx>
              <w:trPr>
                <w:trHeight w:val="1395"/>
                <w:jc w:val="center"/>
              </w:trPr>
              <w:tc>
                <w:tcPr>
                  <w:tcW w:w="442" w:type="dxa"/>
                  <w:vMerge/>
                  <w:vAlign w:val="center"/>
                </w:tcPr>
                <w:p>
                  <w:pPr>
                    <w:adjustRightInd w:val="0"/>
                    <w:snapToGrid w:val="0"/>
                    <w:jc w:val="center"/>
                    <w:rPr>
                      <w:color w:val="000000"/>
                      <w:szCs w:val="21"/>
                    </w:rPr>
                  </w:pPr>
                </w:p>
              </w:tc>
              <w:tc>
                <w:tcPr>
                  <w:tcW w:w="5725" w:type="dxa"/>
                  <w:vAlign w:val="center"/>
                </w:tcPr>
                <w:p>
                  <w:pPr>
                    <w:adjustRightInd w:val="0"/>
                    <w:snapToGrid w:val="0"/>
                    <w:jc w:val="left"/>
                    <w:rPr>
                      <w:color w:val="000000"/>
                      <w:szCs w:val="21"/>
                    </w:rPr>
                  </w:pPr>
                  <w:r>
                    <w:rPr>
                      <w:rFonts w:hint="eastAsia"/>
                      <w:color w:val="000000"/>
                      <w:szCs w:val="21"/>
                    </w:rPr>
                    <w:t>实施“散乱污”企业动态清零，按照“发现一起、处置一起” 的原则，实施分类整治。各县（市、区）要制定实施方案，重点围绕再生橡胶、废旧塑料再生、砖瓦、石灰、石膏等行业，对生产工艺装备进行筛查，按照有关法律法规和程序要求，推动低效落后产能退出。</w:t>
                  </w:r>
                </w:p>
              </w:tc>
              <w:tc>
                <w:tcPr>
                  <w:tcW w:w="1513" w:type="dxa"/>
                  <w:vAlign w:val="center"/>
                </w:tcPr>
                <w:p>
                  <w:pPr>
                    <w:adjustRightInd w:val="0"/>
                    <w:snapToGrid w:val="0"/>
                    <w:rPr>
                      <w:color w:val="000000"/>
                      <w:szCs w:val="21"/>
                    </w:rPr>
                  </w:pPr>
                  <w:r>
                    <w:rPr>
                      <w:color w:val="000000"/>
                      <w:szCs w:val="21"/>
                    </w:rPr>
                    <w:t>符合。项目不属于“散乱污”企业</w:t>
                  </w:r>
                  <w:r>
                    <w:rPr>
                      <w:rFonts w:hint="eastAsia"/>
                      <w:color w:val="000000"/>
                      <w:szCs w:val="21"/>
                    </w:rPr>
                    <w:t>；不属于低效落后产能。</w:t>
                  </w:r>
                </w:p>
              </w:tc>
            </w:tr>
            <w:tr>
              <w:tblPrEx>
                <w:tblW w:w="7680" w:type="dxa"/>
                <w:jc w:val="center"/>
                <w:tblLayout w:type="fixed"/>
                <w:tblCellMar>
                  <w:top w:w="0" w:type="dxa"/>
                  <w:left w:w="108" w:type="dxa"/>
                  <w:bottom w:w="0" w:type="dxa"/>
                  <w:right w:w="108" w:type="dxa"/>
                </w:tblCellMar>
              </w:tblPrEx>
              <w:trPr>
                <w:trHeight w:val="3308"/>
                <w:jc w:val="center"/>
              </w:trPr>
              <w:tc>
                <w:tcPr>
                  <w:tcW w:w="442" w:type="dxa"/>
                  <w:vMerge/>
                  <w:vAlign w:val="center"/>
                </w:tcPr>
                <w:p>
                  <w:pPr>
                    <w:adjustRightInd w:val="0"/>
                    <w:snapToGrid w:val="0"/>
                    <w:jc w:val="center"/>
                    <w:rPr>
                      <w:color w:val="000000"/>
                      <w:szCs w:val="21"/>
                    </w:rPr>
                  </w:pPr>
                </w:p>
              </w:tc>
              <w:tc>
                <w:tcPr>
                  <w:tcW w:w="5725" w:type="dxa"/>
                  <w:vAlign w:val="center"/>
                </w:tcPr>
                <w:p>
                  <w:pPr>
                    <w:adjustRightInd w:val="0"/>
                    <w:snapToGrid w:val="0"/>
                    <w:jc w:val="left"/>
                    <w:rPr>
                      <w:color w:val="000000"/>
                      <w:szCs w:val="21"/>
                    </w:rPr>
                  </w:pPr>
                  <w:r>
                    <w:rPr>
                      <w:rFonts w:hint="eastAsia"/>
                      <w:color w:val="000000"/>
                      <w:szCs w:val="21"/>
                    </w:rPr>
                    <w:t>重大项目建设，必须首先满足环境质量“只能更好，不能变坏”的底线，严格落实污染物排放“减量替代是原则，等量替代是例外”的总量控制刚性要求。按照国家相关产业政策，深入实施“四上四压”，坚持“上新压旧”“上大压小”“上高压低”“上整压散”。对钢铁、地炼、焦化、煤电、水泥、轮胎、平板玻璃等重点行业，严格执行产能置换要求。严格执行国家煤化工、铁合金等行业产能控制或产能置换办法。“两高”项目建设做到产能减量、能耗减量、煤炭减量、碳排放减量和常规污染物减量等“五个减量”，新建项目要按照规定实施减量替代，不符合要求的高耗能、高排放项目要坚决拿下来。严禁新增水泥熟料、粉磨产能，严禁省外水泥熟料、粉磨、焦化产能转入我市。</w:t>
                  </w:r>
                </w:p>
              </w:tc>
              <w:tc>
                <w:tcPr>
                  <w:tcW w:w="1513" w:type="dxa"/>
                  <w:vAlign w:val="center"/>
                </w:tcPr>
                <w:p>
                  <w:pPr>
                    <w:adjustRightInd w:val="0"/>
                    <w:snapToGrid w:val="0"/>
                    <w:rPr>
                      <w:color w:val="000000"/>
                      <w:szCs w:val="21"/>
                    </w:rPr>
                  </w:pPr>
                  <w:r>
                    <w:rPr>
                      <w:color w:val="000000"/>
                      <w:szCs w:val="21"/>
                    </w:rPr>
                    <w:t>符合。</w:t>
                  </w:r>
                  <w:r>
                    <w:rPr>
                      <w:rFonts w:hint="eastAsia"/>
                      <w:color w:val="000000"/>
                      <w:szCs w:val="21"/>
                      <w:lang w:val="zh-CN"/>
                    </w:rPr>
                    <w:t>项目</w:t>
                  </w:r>
                  <w:r>
                    <w:rPr>
                      <w:color w:val="000000"/>
                      <w:szCs w:val="21"/>
                    </w:rPr>
                    <w:t>不属于</w:t>
                  </w:r>
                  <w:r>
                    <w:rPr>
                      <w:rFonts w:hint="eastAsia"/>
                      <w:color w:val="000000"/>
                      <w:szCs w:val="21"/>
                    </w:rPr>
                    <w:t>左侧所列</w:t>
                  </w:r>
                  <w:r>
                    <w:rPr>
                      <w:color w:val="000000"/>
                      <w:szCs w:val="21"/>
                    </w:rPr>
                    <w:t>重点行业</w:t>
                  </w:r>
                  <w:r>
                    <w:rPr>
                      <w:rFonts w:hint="eastAsia"/>
                      <w:color w:val="000000"/>
                      <w:szCs w:val="21"/>
                    </w:rPr>
                    <w:t>。</w:t>
                  </w:r>
                </w:p>
              </w:tc>
            </w:tr>
          </w:tbl>
          <w:p/>
        </w:tc>
      </w:tr>
    </w:tbl>
    <w:p>
      <w:pPr>
        <w:sectPr>
          <w:footerReference w:type="default" r:id="rId27"/>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22"/>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621"/>
        <w:gridCol w:w="8249"/>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621" w:type="dxa"/>
            <w:vAlign w:val="center"/>
          </w:tcPr>
          <w:p/>
        </w:tc>
        <w:tc>
          <w:tcPr>
            <w:tcW w:w="8249" w:type="dxa"/>
            <w:vAlign w:val="center"/>
          </w:tcPr>
          <w:tbl>
            <w:tblPr>
              <w:tblStyle w:val="TableNormal"/>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42"/>
              <w:gridCol w:w="5725"/>
              <w:gridCol w:w="1513"/>
            </w:tblGrid>
            <w:tr>
              <w:tblPrEx>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677"/>
                <w:jc w:val="center"/>
              </w:trPr>
              <w:tc>
                <w:tcPr>
                  <w:tcW w:w="442" w:type="dxa"/>
                  <w:vAlign w:val="center"/>
                </w:tcPr>
                <w:p>
                  <w:pPr>
                    <w:adjustRightInd w:val="0"/>
                    <w:snapToGrid w:val="0"/>
                    <w:jc w:val="center"/>
                    <w:rPr>
                      <w:color w:val="000000"/>
                      <w:szCs w:val="21"/>
                    </w:rPr>
                  </w:pPr>
                </w:p>
              </w:tc>
              <w:tc>
                <w:tcPr>
                  <w:tcW w:w="5725" w:type="dxa"/>
                  <w:vAlign w:val="center"/>
                </w:tcPr>
                <w:p>
                  <w:pPr>
                    <w:adjustRightInd w:val="0"/>
                    <w:snapToGrid w:val="0"/>
                    <w:jc w:val="left"/>
                    <w:rPr>
                      <w:color w:val="000000"/>
                      <w:szCs w:val="21"/>
                    </w:rPr>
                  </w:pPr>
                  <w:r>
                    <w:rPr>
                      <w:rFonts w:hint="eastAsia"/>
                      <w:color w:val="000000"/>
                      <w:szCs w:val="21"/>
                    </w:rPr>
                    <w:t>对人口密集、资源开发强度大、污染物排放强度高的区域实施重点管控，推进产业布局优化、转型升级。将“三线一单”作为综合决策的前提条件，加强在政策制定、环境准入、园区管理、执法监管等方面的应用，作为区域资源开发、产业布局和结构调整、城镇建设、重大项目选址和审批的重要依据。</w:t>
                  </w:r>
                </w:p>
              </w:tc>
              <w:tc>
                <w:tcPr>
                  <w:tcW w:w="1513" w:type="dxa"/>
                  <w:vAlign w:val="center"/>
                </w:tcPr>
                <w:p>
                  <w:pPr>
                    <w:adjustRightInd w:val="0"/>
                    <w:snapToGrid w:val="0"/>
                    <w:rPr>
                      <w:color w:val="000000"/>
                      <w:szCs w:val="21"/>
                    </w:rPr>
                  </w:pPr>
                  <w:r>
                    <w:rPr>
                      <w:color w:val="000000"/>
                      <w:szCs w:val="21"/>
                    </w:rPr>
                    <w:t>符合。</w:t>
                  </w:r>
                  <w:r>
                    <w:rPr>
                      <w:rFonts w:hint="eastAsia"/>
                      <w:color w:val="000000"/>
                      <w:szCs w:val="21"/>
                    </w:rPr>
                    <w:t>项目符合</w:t>
                  </w:r>
                  <w:r>
                    <w:rPr>
                      <w:color w:val="000000"/>
                      <w:szCs w:val="21"/>
                    </w:rPr>
                    <w:t>“三线一单”</w:t>
                  </w:r>
                  <w:r>
                    <w:rPr>
                      <w:rFonts w:hint="eastAsia"/>
                      <w:color w:val="000000"/>
                      <w:szCs w:val="21"/>
                    </w:rPr>
                    <w:t>要求。</w:t>
                  </w:r>
                </w:p>
              </w:tc>
            </w:tr>
            <w:tr>
              <w:tblPrEx>
                <w:tblW w:w="7680" w:type="dxa"/>
                <w:jc w:val="center"/>
                <w:tblLayout w:type="fixed"/>
                <w:tblCellMar>
                  <w:top w:w="0" w:type="dxa"/>
                  <w:left w:w="108" w:type="dxa"/>
                  <w:bottom w:w="0" w:type="dxa"/>
                  <w:right w:w="108" w:type="dxa"/>
                </w:tblCellMar>
              </w:tblPrEx>
              <w:trPr>
                <w:trHeight w:val="2260"/>
                <w:jc w:val="center"/>
              </w:trPr>
              <w:tc>
                <w:tcPr>
                  <w:tcW w:w="442" w:type="dxa"/>
                  <w:vAlign w:val="center"/>
                </w:tcPr>
                <w:p>
                  <w:pPr>
                    <w:adjustRightInd w:val="0"/>
                    <w:snapToGrid w:val="0"/>
                    <w:jc w:val="center"/>
                    <w:rPr>
                      <w:color w:val="000000"/>
                      <w:szCs w:val="21"/>
                    </w:rPr>
                  </w:pPr>
                  <w:r>
                    <w:rPr>
                      <w:color w:val="000000"/>
                      <w:szCs w:val="21"/>
                      <w:lang w:val="zh-CN"/>
                    </w:rPr>
                    <w:t>深入调整能源结构</w:t>
                  </w:r>
                </w:p>
              </w:tc>
              <w:tc>
                <w:tcPr>
                  <w:tcW w:w="5725" w:type="dxa"/>
                  <w:vAlign w:val="center"/>
                </w:tcPr>
                <w:p>
                  <w:pPr>
                    <w:adjustRightInd w:val="0"/>
                    <w:snapToGrid w:val="0"/>
                    <w:rPr>
                      <w:color w:val="000000"/>
                      <w:szCs w:val="21"/>
                    </w:rPr>
                  </w:pPr>
                  <w:r>
                    <w:rPr>
                      <w:rFonts w:hint="eastAsia"/>
                      <w:color w:val="000000"/>
                      <w:szCs w:val="21"/>
                    </w:rPr>
                    <w:t>严控能源消费总量，在满足全社会能源需求的前提下，持续推进煤炭消费压减，增加清洁能源供给，加大清洁能源替代力度，进一步控制化石能源消费，逐步实现新增能源需求主要由清洁能源供给。到2023年，全市化石能源消费总量控制在1800万吨标准煤以内，非化石能源消费总量力争达到335万吨标准煤以上；煤炭消费压减 6%左右，占能源消费的比重下降约5个百分点。</w:t>
                  </w:r>
                </w:p>
              </w:tc>
              <w:tc>
                <w:tcPr>
                  <w:tcW w:w="1513" w:type="dxa"/>
                  <w:vAlign w:val="center"/>
                </w:tcPr>
                <w:p>
                  <w:pPr>
                    <w:adjustRightInd w:val="0"/>
                    <w:snapToGrid w:val="0"/>
                    <w:rPr>
                      <w:color w:val="000000"/>
                      <w:szCs w:val="21"/>
                    </w:rPr>
                  </w:pPr>
                  <w:r>
                    <w:rPr>
                      <w:color w:val="000000"/>
                      <w:szCs w:val="21"/>
                    </w:rPr>
                    <w:t>符合。</w:t>
                  </w:r>
                  <w:r>
                    <w:rPr>
                      <w:rFonts w:hint="eastAsia"/>
                      <w:color w:val="000000"/>
                      <w:szCs w:val="21"/>
                      <w:lang w:val="zh-CN"/>
                    </w:rPr>
                    <w:t>项目</w:t>
                  </w:r>
                  <w:r>
                    <w:rPr>
                      <w:color w:val="000000"/>
                      <w:szCs w:val="21"/>
                      <w:lang w:val="zh-CN"/>
                    </w:rPr>
                    <w:t>不</w:t>
                  </w:r>
                  <w:r>
                    <w:rPr>
                      <w:rFonts w:hint="eastAsia"/>
                      <w:color w:val="000000"/>
                      <w:szCs w:val="21"/>
                    </w:rPr>
                    <w:t>使用化石能源。</w:t>
                  </w:r>
                </w:p>
              </w:tc>
            </w:tr>
          </w:tbl>
          <w:p>
            <w:pPr>
              <w:adjustRightInd w:val="0"/>
              <w:snapToGrid w:val="0"/>
              <w:spacing w:line="240" w:lineRule="exact"/>
              <w:ind w:firstLine="420" w:firstLineChars="200"/>
              <w:rPr>
                <w:b/>
                <w:color w:val="000000"/>
                <w:szCs w:val="21"/>
              </w:rPr>
            </w:pPr>
          </w:p>
          <w:p>
            <w:pPr>
              <w:adjustRightInd w:val="0"/>
              <w:snapToGrid w:val="0"/>
              <w:spacing w:line="360" w:lineRule="auto"/>
              <w:ind w:firstLine="420" w:firstLineChars="200"/>
              <w:rPr>
                <w:b/>
                <w:color w:val="000000"/>
                <w:szCs w:val="21"/>
              </w:rPr>
            </w:pPr>
            <w:r>
              <w:rPr>
                <w:rFonts w:hint="eastAsia"/>
                <w:b/>
                <w:color w:val="000000"/>
                <w:szCs w:val="21"/>
              </w:rPr>
              <w:t>十</w:t>
            </w:r>
            <w:r>
              <w:rPr>
                <w:rFonts w:hint="eastAsia"/>
                <w:b/>
                <w:color w:val="000000"/>
                <w:szCs w:val="21"/>
                <w:lang w:val="en-US" w:eastAsia="zh-CN"/>
              </w:rPr>
              <w:t>三</w:t>
            </w:r>
            <w:r>
              <w:rPr>
                <w:b/>
                <w:color w:val="000000"/>
                <w:szCs w:val="21"/>
              </w:rPr>
              <w:t>、项目选址合理性分析</w:t>
            </w:r>
          </w:p>
          <w:p>
            <w:pPr>
              <w:adjustRightInd w:val="0"/>
              <w:snapToGrid w:val="0"/>
              <w:spacing w:line="360" w:lineRule="auto"/>
              <w:ind w:firstLine="420" w:firstLineChars="200"/>
              <w:rPr>
                <w:color w:val="000000"/>
                <w:szCs w:val="21"/>
              </w:rPr>
            </w:pPr>
            <w:r>
              <w:rPr>
                <w:rFonts w:hint="eastAsia"/>
                <w:color w:val="000000"/>
                <w:szCs w:val="21"/>
              </w:rPr>
              <w:t>项目</w:t>
            </w:r>
            <w:r>
              <w:rPr>
                <w:color w:val="000000"/>
                <w:szCs w:val="21"/>
              </w:rPr>
              <w:t>位于</w:t>
            </w:r>
            <w:r>
              <w:rPr>
                <w:rFonts w:hint="eastAsia"/>
                <w:color w:val="000000"/>
                <w:szCs w:val="21"/>
                <w:lang w:eastAsia="zh-CN"/>
              </w:rPr>
              <w:t>山东省德州市平原经济开发区桃园北大道和北环路交叉口东南侧50米</w:t>
            </w:r>
            <w:r>
              <w:rPr>
                <w:rFonts w:hint="eastAsia"/>
                <w:color w:val="000000"/>
                <w:szCs w:val="21"/>
              </w:rPr>
              <w:t>，</w:t>
            </w:r>
            <w:r>
              <w:rPr>
                <w:rFonts w:hint="eastAsia"/>
                <w:bCs/>
                <w:color w:val="000000"/>
                <w:szCs w:val="21"/>
              </w:rPr>
              <w:t>根据</w:t>
            </w:r>
            <w:r>
              <w:rPr>
                <w:color w:val="000000"/>
                <w:kern w:val="0"/>
                <w:szCs w:val="21"/>
              </w:rPr>
              <w:t>《山东平原经济开发区发展规划</w:t>
            </w:r>
            <w:r>
              <w:rPr>
                <w:rFonts w:hint="eastAsia"/>
                <w:color w:val="000000"/>
                <w:kern w:val="0"/>
                <w:szCs w:val="21"/>
              </w:rPr>
              <w:t>（2020-2035年）</w:t>
            </w:r>
            <w:r>
              <w:rPr>
                <w:color w:val="000000"/>
                <w:kern w:val="0"/>
                <w:szCs w:val="21"/>
              </w:rPr>
              <w:t>》</w:t>
            </w:r>
            <w:r>
              <w:rPr>
                <w:rFonts w:hint="eastAsia"/>
                <w:color w:val="000000"/>
                <w:szCs w:val="21"/>
              </w:rPr>
              <w:t>、平原县</w:t>
            </w:r>
            <w:r>
              <w:rPr>
                <w:rFonts w:hint="eastAsia"/>
                <w:color w:val="000000"/>
                <w:szCs w:val="21"/>
                <w:lang w:val="en-US" w:eastAsia="zh-CN"/>
              </w:rPr>
              <w:t>自然</w:t>
            </w:r>
            <w:r>
              <w:rPr>
                <w:rFonts w:hint="eastAsia"/>
                <w:color w:val="000000"/>
                <w:szCs w:val="21"/>
              </w:rPr>
              <w:t>资源局出具的不动产权证：</w:t>
            </w:r>
            <w:r>
              <w:rPr>
                <w:rFonts w:hint="eastAsia"/>
                <w:color w:val="000000"/>
                <w:szCs w:val="21"/>
                <w:u w:val="single"/>
              </w:rPr>
              <w:t>鲁</w:t>
            </w:r>
            <w:r>
              <w:rPr>
                <w:rFonts w:hint="eastAsia"/>
                <w:color w:val="000000"/>
                <w:szCs w:val="21"/>
              </w:rPr>
              <w:t>（2022）</w:t>
            </w:r>
            <w:r>
              <w:rPr>
                <w:rFonts w:hint="eastAsia"/>
                <w:color w:val="000000"/>
                <w:szCs w:val="21"/>
                <w:u w:val="single"/>
              </w:rPr>
              <w:t>平原县</w:t>
            </w:r>
            <w:r>
              <w:rPr>
                <w:rFonts w:hint="eastAsia"/>
                <w:color w:val="000000"/>
                <w:szCs w:val="21"/>
              </w:rPr>
              <w:t>不动产权第000</w:t>
            </w:r>
            <w:r>
              <w:rPr>
                <w:rFonts w:hint="eastAsia"/>
                <w:color w:val="000000"/>
                <w:szCs w:val="21"/>
                <w:lang w:val="en-US" w:eastAsia="zh-CN"/>
              </w:rPr>
              <w:t>0041</w:t>
            </w:r>
            <w:r>
              <w:rPr>
                <w:rFonts w:hint="eastAsia"/>
                <w:color w:val="000000"/>
                <w:szCs w:val="21"/>
              </w:rPr>
              <w:t>号</w:t>
            </w:r>
            <w:r>
              <w:rPr>
                <w:color w:val="000000"/>
                <w:szCs w:val="21"/>
              </w:rPr>
              <w:t>（</w:t>
            </w:r>
            <w:r>
              <w:rPr>
                <w:rFonts w:hint="eastAsia"/>
                <w:color w:val="000000"/>
                <w:szCs w:val="21"/>
              </w:rPr>
              <w:t>具体</w:t>
            </w:r>
            <w:r>
              <w:rPr>
                <w:color w:val="000000"/>
                <w:szCs w:val="21"/>
              </w:rPr>
              <w:t>见附件）</w:t>
            </w:r>
            <w:r>
              <w:rPr>
                <w:rFonts w:hint="eastAsia"/>
                <w:color w:val="000000"/>
                <w:szCs w:val="21"/>
              </w:rPr>
              <w:t>，</w:t>
            </w:r>
            <w:r>
              <w:rPr>
                <w:rFonts w:hint="eastAsia"/>
                <w:bCs/>
                <w:color w:val="000000"/>
                <w:szCs w:val="21"/>
              </w:rPr>
              <w:t>项目用地为工业用地，</w:t>
            </w:r>
            <w:r>
              <w:rPr>
                <w:color w:val="000000"/>
                <w:szCs w:val="21"/>
              </w:rPr>
              <w:t>符合土地利用政策。</w:t>
            </w:r>
          </w:p>
          <w:p>
            <w:pPr>
              <w:adjustRightInd w:val="0"/>
              <w:snapToGrid w:val="0"/>
              <w:spacing w:line="360" w:lineRule="auto"/>
              <w:ind w:firstLine="482"/>
              <w:jc w:val="center"/>
              <w:rPr>
                <w:color w:val="000000"/>
                <w:szCs w:val="21"/>
                <w:highlight w:val="yellow"/>
              </w:rPr>
            </w:pPr>
            <w:r>
              <w:rPr>
                <w:rFonts w:hint="eastAsia"/>
                <w:b/>
                <w:color w:val="000000"/>
                <w:szCs w:val="21"/>
              </w:rPr>
              <w:t>表1-14项目</w:t>
            </w:r>
            <w:r>
              <w:rPr>
                <w:b/>
                <w:color w:val="000000"/>
                <w:szCs w:val="21"/>
              </w:rPr>
              <w:t>选址合理性分析</w:t>
            </w:r>
          </w:p>
          <w:tbl>
            <w:tblPr>
              <w:tblStyle w:val="TableNormal"/>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41"/>
              <w:gridCol w:w="6178"/>
            </w:tblGrid>
            <w:tr>
              <w:tblPrEx>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2"/>
                <w:jc w:val="center"/>
              </w:trPr>
              <w:tc>
                <w:tcPr>
                  <w:tcW w:w="1341" w:type="dxa"/>
                  <w:vAlign w:val="center"/>
                </w:tcPr>
                <w:p>
                  <w:pPr>
                    <w:tabs>
                      <w:tab w:val="left" w:pos="2220"/>
                    </w:tabs>
                    <w:adjustRightInd w:val="0"/>
                    <w:snapToGrid w:val="0"/>
                    <w:jc w:val="center"/>
                    <w:rPr>
                      <w:b/>
                      <w:bCs/>
                      <w:color w:val="000000"/>
                      <w:szCs w:val="21"/>
                    </w:rPr>
                  </w:pPr>
                  <w:r>
                    <w:rPr>
                      <w:b/>
                      <w:bCs/>
                      <w:color w:val="000000"/>
                      <w:szCs w:val="21"/>
                    </w:rPr>
                    <w:t>项目分析</w:t>
                  </w:r>
                </w:p>
              </w:tc>
              <w:tc>
                <w:tcPr>
                  <w:tcW w:w="6178" w:type="dxa"/>
                  <w:vAlign w:val="center"/>
                </w:tcPr>
                <w:p>
                  <w:pPr>
                    <w:tabs>
                      <w:tab w:val="left" w:pos="2220"/>
                    </w:tabs>
                    <w:adjustRightInd w:val="0"/>
                    <w:snapToGrid w:val="0"/>
                    <w:jc w:val="center"/>
                    <w:rPr>
                      <w:b/>
                      <w:bCs/>
                      <w:color w:val="000000"/>
                      <w:szCs w:val="21"/>
                    </w:rPr>
                  </w:pPr>
                  <w:r>
                    <w:rPr>
                      <w:b/>
                      <w:bCs/>
                      <w:color w:val="000000"/>
                      <w:szCs w:val="21"/>
                    </w:rPr>
                    <w:t>条件</w:t>
                  </w:r>
                </w:p>
              </w:tc>
            </w:tr>
            <w:tr>
              <w:tblPrEx>
                <w:tblW w:w="7519" w:type="dxa"/>
                <w:jc w:val="center"/>
                <w:tblLayout w:type="fixed"/>
                <w:tblCellMar>
                  <w:top w:w="0" w:type="dxa"/>
                  <w:left w:w="108" w:type="dxa"/>
                  <w:bottom w:w="0" w:type="dxa"/>
                  <w:right w:w="108" w:type="dxa"/>
                </w:tblCellMar>
              </w:tblPrEx>
              <w:trPr>
                <w:trHeight w:val="1194"/>
                <w:jc w:val="center"/>
              </w:trPr>
              <w:tc>
                <w:tcPr>
                  <w:tcW w:w="1341" w:type="dxa"/>
                  <w:vAlign w:val="center"/>
                </w:tcPr>
                <w:p>
                  <w:pPr>
                    <w:tabs>
                      <w:tab w:val="left" w:pos="2220"/>
                    </w:tabs>
                    <w:adjustRightInd w:val="0"/>
                    <w:snapToGrid w:val="0"/>
                    <w:jc w:val="center"/>
                    <w:rPr>
                      <w:color w:val="000000"/>
                      <w:szCs w:val="21"/>
                    </w:rPr>
                  </w:pPr>
                  <w:r>
                    <w:rPr>
                      <w:color w:val="000000"/>
                      <w:szCs w:val="21"/>
                    </w:rPr>
                    <w:t>土地利用符合性</w:t>
                  </w:r>
                </w:p>
              </w:tc>
              <w:tc>
                <w:tcPr>
                  <w:tcW w:w="6178" w:type="dxa"/>
                  <w:vAlign w:val="center"/>
                </w:tcPr>
                <w:p>
                  <w:pPr>
                    <w:tabs>
                      <w:tab w:val="left" w:pos="2220"/>
                    </w:tabs>
                    <w:adjustRightInd w:val="0"/>
                    <w:snapToGrid w:val="0"/>
                    <w:rPr>
                      <w:color w:val="000000"/>
                      <w:szCs w:val="21"/>
                    </w:rPr>
                  </w:pPr>
                  <w:r>
                    <w:rPr>
                      <w:rFonts w:hint="eastAsia"/>
                      <w:color w:val="000000"/>
                      <w:szCs w:val="21"/>
                    </w:rPr>
                    <w:t>根据</w:t>
                  </w:r>
                  <w:r>
                    <w:rPr>
                      <w:color w:val="000000"/>
                      <w:kern w:val="0"/>
                      <w:szCs w:val="21"/>
                    </w:rPr>
                    <w:t>《山东平原经济开发区发展规划</w:t>
                  </w:r>
                  <w:r>
                    <w:rPr>
                      <w:rFonts w:hint="eastAsia"/>
                      <w:color w:val="000000"/>
                      <w:kern w:val="0"/>
                      <w:szCs w:val="21"/>
                    </w:rPr>
                    <w:t>（2020-2035年）</w:t>
                  </w:r>
                  <w:r>
                    <w:rPr>
                      <w:color w:val="000000"/>
                      <w:kern w:val="0"/>
                      <w:szCs w:val="21"/>
                    </w:rPr>
                    <w:t>》</w:t>
                  </w:r>
                  <w:r>
                    <w:rPr>
                      <w:rFonts w:hint="eastAsia"/>
                      <w:color w:val="000000"/>
                      <w:szCs w:val="21"/>
                    </w:rPr>
                    <w:t>、平原县</w:t>
                  </w:r>
                  <w:r>
                    <w:rPr>
                      <w:rFonts w:hint="eastAsia"/>
                      <w:color w:val="000000"/>
                      <w:szCs w:val="21"/>
                      <w:lang w:val="en-US" w:eastAsia="zh-CN"/>
                    </w:rPr>
                    <w:t>自然</w:t>
                  </w:r>
                  <w:r>
                    <w:rPr>
                      <w:rFonts w:hint="eastAsia"/>
                      <w:color w:val="000000"/>
                      <w:szCs w:val="21"/>
                    </w:rPr>
                    <w:t>资源局出具的不动产权证：</w:t>
                  </w:r>
                  <w:r>
                    <w:rPr>
                      <w:rFonts w:hint="eastAsia"/>
                      <w:color w:val="000000"/>
                      <w:szCs w:val="21"/>
                      <w:u w:val="single"/>
                    </w:rPr>
                    <w:t>鲁</w:t>
                  </w:r>
                  <w:r>
                    <w:rPr>
                      <w:rFonts w:hint="eastAsia"/>
                      <w:color w:val="000000"/>
                      <w:szCs w:val="21"/>
                    </w:rPr>
                    <w:t>（2022）</w:t>
                  </w:r>
                  <w:r>
                    <w:rPr>
                      <w:rFonts w:hint="eastAsia"/>
                      <w:color w:val="000000"/>
                      <w:szCs w:val="21"/>
                      <w:u w:val="single"/>
                    </w:rPr>
                    <w:t>平原县</w:t>
                  </w:r>
                  <w:r>
                    <w:rPr>
                      <w:rFonts w:hint="eastAsia"/>
                      <w:color w:val="000000"/>
                      <w:szCs w:val="21"/>
                    </w:rPr>
                    <w:t>不动产权第000</w:t>
                  </w:r>
                  <w:r>
                    <w:rPr>
                      <w:rFonts w:hint="eastAsia"/>
                      <w:color w:val="000000"/>
                      <w:szCs w:val="21"/>
                      <w:lang w:val="en-US" w:eastAsia="zh-CN"/>
                    </w:rPr>
                    <w:t>0041</w:t>
                  </w:r>
                  <w:r>
                    <w:rPr>
                      <w:rFonts w:hint="eastAsia"/>
                      <w:color w:val="000000"/>
                      <w:szCs w:val="21"/>
                    </w:rPr>
                    <w:t>号</w:t>
                  </w:r>
                  <w:r>
                    <w:rPr>
                      <w:color w:val="000000"/>
                      <w:szCs w:val="21"/>
                    </w:rPr>
                    <w:t>（</w:t>
                  </w:r>
                  <w:r>
                    <w:rPr>
                      <w:rFonts w:hint="eastAsia"/>
                      <w:color w:val="000000"/>
                      <w:szCs w:val="21"/>
                    </w:rPr>
                    <w:t>具体</w:t>
                  </w:r>
                  <w:r>
                    <w:rPr>
                      <w:color w:val="000000"/>
                      <w:szCs w:val="21"/>
                    </w:rPr>
                    <w:t>见附件）</w:t>
                  </w:r>
                  <w:r>
                    <w:rPr>
                      <w:rFonts w:hint="eastAsia"/>
                      <w:color w:val="000000"/>
                      <w:szCs w:val="21"/>
                    </w:rPr>
                    <w:t>，项目用地为工业用地，</w:t>
                  </w:r>
                  <w:r>
                    <w:rPr>
                      <w:color w:val="000000"/>
                      <w:szCs w:val="21"/>
                    </w:rPr>
                    <w:t>符合</w:t>
                  </w:r>
                  <w:r>
                    <w:rPr>
                      <w:color w:val="000000"/>
                      <w:kern w:val="0"/>
                      <w:szCs w:val="21"/>
                    </w:rPr>
                    <w:t>平原经济开发区</w:t>
                  </w:r>
                  <w:r>
                    <w:rPr>
                      <w:color w:val="000000"/>
                      <w:szCs w:val="21"/>
                    </w:rPr>
                    <w:t>土地利用</w:t>
                  </w:r>
                  <w:r>
                    <w:rPr>
                      <w:rFonts w:hint="eastAsia"/>
                      <w:color w:val="000000"/>
                      <w:szCs w:val="21"/>
                    </w:rPr>
                    <w:t>规划</w:t>
                  </w:r>
                  <w:r>
                    <w:rPr>
                      <w:color w:val="000000"/>
                      <w:szCs w:val="21"/>
                    </w:rPr>
                    <w:t>。</w:t>
                  </w:r>
                </w:p>
              </w:tc>
            </w:tr>
            <w:tr>
              <w:tblPrEx>
                <w:tblW w:w="7519" w:type="dxa"/>
                <w:jc w:val="center"/>
                <w:tblLayout w:type="fixed"/>
                <w:tblCellMar>
                  <w:top w:w="0" w:type="dxa"/>
                  <w:left w:w="108" w:type="dxa"/>
                  <w:bottom w:w="0" w:type="dxa"/>
                  <w:right w:w="108" w:type="dxa"/>
                </w:tblCellMar>
              </w:tblPrEx>
              <w:trPr>
                <w:trHeight w:val="523"/>
                <w:jc w:val="center"/>
              </w:trPr>
              <w:tc>
                <w:tcPr>
                  <w:tcW w:w="1341" w:type="dxa"/>
                  <w:vAlign w:val="center"/>
                </w:tcPr>
                <w:p>
                  <w:pPr>
                    <w:tabs>
                      <w:tab w:val="left" w:pos="2220"/>
                    </w:tabs>
                    <w:adjustRightInd w:val="0"/>
                    <w:snapToGrid w:val="0"/>
                    <w:jc w:val="center"/>
                    <w:rPr>
                      <w:color w:val="000000"/>
                      <w:szCs w:val="21"/>
                    </w:rPr>
                  </w:pPr>
                  <w:r>
                    <w:rPr>
                      <w:color w:val="000000"/>
                      <w:szCs w:val="21"/>
                    </w:rPr>
                    <w:t>供水、供电</w:t>
                  </w:r>
                </w:p>
              </w:tc>
              <w:tc>
                <w:tcPr>
                  <w:tcW w:w="6178" w:type="dxa"/>
                  <w:vAlign w:val="center"/>
                </w:tcPr>
                <w:p>
                  <w:pPr>
                    <w:tabs>
                      <w:tab w:val="left" w:pos="2220"/>
                    </w:tabs>
                    <w:adjustRightInd w:val="0"/>
                    <w:snapToGrid w:val="0"/>
                    <w:rPr>
                      <w:color w:val="000000"/>
                      <w:szCs w:val="21"/>
                    </w:rPr>
                  </w:pPr>
                  <w:r>
                    <w:rPr>
                      <w:color w:val="000000"/>
                      <w:szCs w:val="21"/>
                    </w:rPr>
                    <w:t>项目</w:t>
                  </w:r>
                  <w:r>
                    <w:rPr>
                      <w:rFonts w:hint="eastAsia"/>
                      <w:color w:val="000000"/>
                      <w:szCs w:val="21"/>
                    </w:rPr>
                    <w:t>所在区域</w:t>
                  </w:r>
                  <w:r>
                    <w:rPr>
                      <w:color w:val="000000"/>
                      <w:szCs w:val="21"/>
                    </w:rPr>
                    <w:t>供水、供电设施齐全。</w:t>
                  </w:r>
                </w:p>
              </w:tc>
            </w:tr>
            <w:tr>
              <w:tblPrEx>
                <w:tblW w:w="7519" w:type="dxa"/>
                <w:jc w:val="center"/>
                <w:tblLayout w:type="fixed"/>
                <w:tblCellMar>
                  <w:top w:w="0" w:type="dxa"/>
                  <w:left w:w="108" w:type="dxa"/>
                  <w:bottom w:w="0" w:type="dxa"/>
                  <w:right w:w="108" w:type="dxa"/>
                </w:tblCellMar>
              </w:tblPrEx>
              <w:trPr>
                <w:trHeight w:val="680"/>
                <w:jc w:val="center"/>
              </w:trPr>
              <w:tc>
                <w:tcPr>
                  <w:tcW w:w="1341" w:type="dxa"/>
                  <w:vAlign w:val="center"/>
                </w:tcPr>
                <w:p>
                  <w:pPr>
                    <w:tabs>
                      <w:tab w:val="left" w:pos="2220"/>
                    </w:tabs>
                    <w:adjustRightInd w:val="0"/>
                    <w:snapToGrid w:val="0"/>
                    <w:jc w:val="center"/>
                    <w:rPr>
                      <w:color w:val="000000"/>
                      <w:szCs w:val="21"/>
                    </w:rPr>
                  </w:pPr>
                  <w:r>
                    <w:rPr>
                      <w:color w:val="000000"/>
                      <w:szCs w:val="21"/>
                    </w:rPr>
                    <w:t>交通运输</w:t>
                  </w:r>
                </w:p>
              </w:tc>
              <w:tc>
                <w:tcPr>
                  <w:tcW w:w="6178" w:type="dxa"/>
                  <w:vAlign w:val="center"/>
                </w:tcPr>
                <w:p>
                  <w:pPr>
                    <w:tabs>
                      <w:tab w:val="left" w:pos="2220"/>
                    </w:tabs>
                    <w:adjustRightInd w:val="0"/>
                    <w:snapToGrid w:val="0"/>
                    <w:rPr>
                      <w:color w:val="000000"/>
                      <w:szCs w:val="21"/>
                    </w:rPr>
                  </w:pPr>
                  <w:r>
                    <w:rPr>
                      <w:color w:val="000000"/>
                      <w:szCs w:val="21"/>
                    </w:rPr>
                    <w:t>项目</w:t>
                  </w:r>
                  <w:r>
                    <w:rPr>
                      <w:rFonts w:hint="eastAsia"/>
                      <w:color w:val="000000"/>
                      <w:szCs w:val="21"/>
                      <w:lang w:val="en-US" w:eastAsia="zh-CN"/>
                    </w:rPr>
                    <w:t>南邻南园路，</w:t>
                  </w:r>
                  <w:r>
                    <w:rPr>
                      <w:rFonts w:hint="eastAsia"/>
                      <w:color w:val="000000"/>
                      <w:szCs w:val="21"/>
                    </w:rPr>
                    <w:t>西邻</w:t>
                  </w:r>
                  <w:r>
                    <w:rPr>
                      <w:rFonts w:hint="eastAsia"/>
                      <w:color w:val="000000"/>
                      <w:szCs w:val="21"/>
                      <w:lang w:val="en-US" w:eastAsia="zh-CN"/>
                    </w:rPr>
                    <w:t>桃园北大道</w:t>
                  </w:r>
                  <w:r>
                    <w:rPr>
                      <w:rFonts w:hint="eastAsia"/>
                      <w:color w:val="000000"/>
                      <w:szCs w:val="21"/>
                    </w:rPr>
                    <w:t>，</w:t>
                  </w:r>
                  <w:r>
                    <w:rPr>
                      <w:rFonts w:hint="eastAsia"/>
                      <w:color w:val="000000"/>
                      <w:szCs w:val="21"/>
                      <w:lang w:val="en-US" w:eastAsia="zh-CN"/>
                    </w:rPr>
                    <w:t>北</w:t>
                  </w:r>
                  <w:r>
                    <w:rPr>
                      <w:rFonts w:hint="eastAsia"/>
                      <w:color w:val="000000"/>
                      <w:szCs w:val="21"/>
                    </w:rPr>
                    <w:t>邻</w:t>
                  </w:r>
                  <w:r>
                    <w:rPr>
                      <w:rFonts w:hint="eastAsia"/>
                      <w:color w:val="000000"/>
                      <w:szCs w:val="21"/>
                      <w:lang w:val="en-US" w:eastAsia="zh-CN"/>
                    </w:rPr>
                    <w:t>北环路</w:t>
                  </w:r>
                  <w:r>
                    <w:rPr>
                      <w:color w:val="000000"/>
                      <w:szCs w:val="21"/>
                    </w:rPr>
                    <w:t>，交通运输条件便利，地理位置比较优越。</w:t>
                  </w:r>
                </w:p>
              </w:tc>
            </w:tr>
            <w:tr>
              <w:tblPrEx>
                <w:tblW w:w="7519" w:type="dxa"/>
                <w:jc w:val="center"/>
                <w:tblLayout w:type="fixed"/>
                <w:tblCellMar>
                  <w:top w:w="0" w:type="dxa"/>
                  <w:left w:w="108" w:type="dxa"/>
                  <w:bottom w:w="0" w:type="dxa"/>
                  <w:right w:w="108" w:type="dxa"/>
                </w:tblCellMar>
              </w:tblPrEx>
              <w:trPr>
                <w:trHeight w:val="602"/>
                <w:jc w:val="center"/>
              </w:trPr>
              <w:tc>
                <w:tcPr>
                  <w:tcW w:w="1341" w:type="dxa"/>
                  <w:vAlign w:val="center"/>
                </w:tcPr>
                <w:p>
                  <w:pPr>
                    <w:tabs>
                      <w:tab w:val="left" w:pos="2220"/>
                    </w:tabs>
                    <w:adjustRightInd w:val="0"/>
                    <w:snapToGrid w:val="0"/>
                    <w:jc w:val="center"/>
                    <w:rPr>
                      <w:color w:val="000000"/>
                      <w:szCs w:val="21"/>
                    </w:rPr>
                  </w:pPr>
                  <w:r>
                    <w:rPr>
                      <w:color w:val="000000"/>
                      <w:szCs w:val="21"/>
                    </w:rPr>
                    <w:t>外界环境对项目影响</w:t>
                  </w:r>
                </w:p>
              </w:tc>
              <w:tc>
                <w:tcPr>
                  <w:tcW w:w="6178" w:type="dxa"/>
                  <w:vAlign w:val="center"/>
                </w:tcPr>
                <w:p>
                  <w:pPr>
                    <w:tabs>
                      <w:tab w:val="left" w:pos="2220"/>
                    </w:tabs>
                    <w:adjustRightInd w:val="0"/>
                    <w:snapToGrid w:val="0"/>
                    <w:rPr>
                      <w:color w:val="000000"/>
                      <w:szCs w:val="21"/>
                    </w:rPr>
                  </w:pPr>
                  <w:r>
                    <w:rPr>
                      <w:rFonts w:hint="eastAsia"/>
                      <w:color w:val="000000"/>
                      <w:szCs w:val="21"/>
                    </w:rPr>
                    <w:t>项目</w:t>
                  </w:r>
                  <w:r>
                    <w:rPr>
                      <w:color w:val="000000"/>
                      <w:szCs w:val="21"/>
                    </w:rPr>
                    <w:t>对外界环境要求不高，因此，周围环境对项目影响不大。</w:t>
                  </w:r>
                </w:p>
              </w:tc>
            </w:tr>
            <w:tr>
              <w:tblPrEx>
                <w:tblW w:w="7519" w:type="dxa"/>
                <w:jc w:val="center"/>
                <w:tblLayout w:type="fixed"/>
                <w:tblCellMar>
                  <w:top w:w="0" w:type="dxa"/>
                  <w:left w:w="108" w:type="dxa"/>
                  <w:bottom w:w="0" w:type="dxa"/>
                  <w:right w:w="108" w:type="dxa"/>
                </w:tblCellMar>
              </w:tblPrEx>
              <w:trPr>
                <w:trHeight w:val="1184"/>
                <w:jc w:val="center"/>
              </w:trPr>
              <w:tc>
                <w:tcPr>
                  <w:tcW w:w="1341" w:type="dxa"/>
                  <w:vAlign w:val="center"/>
                </w:tcPr>
                <w:p>
                  <w:pPr>
                    <w:tabs>
                      <w:tab w:val="left" w:pos="2220"/>
                    </w:tabs>
                    <w:adjustRightInd w:val="0"/>
                    <w:snapToGrid w:val="0"/>
                    <w:jc w:val="center"/>
                    <w:rPr>
                      <w:color w:val="000000"/>
                      <w:szCs w:val="21"/>
                    </w:rPr>
                  </w:pPr>
                  <w:r>
                    <w:rPr>
                      <w:color w:val="000000"/>
                      <w:szCs w:val="21"/>
                    </w:rPr>
                    <w:t>项目对外界环境影响</w:t>
                  </w:r>
                </w:p>
              </w:tc>
              <w:tc>
                <w:tcPr>
                  <w:tcW w:w="6178" w:type="dxa"/>
                  <w:vAlign w:val="center"/>
                </w:tcPr>
                <w:p>
                  <w:pPr>
                    <w:rPr>
                      <w:color w:val="000000"/>
                      <w:szCs w:val="21"/>
                    </w:rPr>
                  </w:pPr>
                  <w:r>
                    <w:rPr>
                      <w:color w:val="000000"/>
                      <w:szCs w:val="21"/>
                    </w:rPr>
                    <w:t>项目营运期间废气、噪声采取相应措施后可达标排放；</w:t>
                  </w:r>
                  <w:r>
                    <w:rPr>
                      <w:rFonts w:hint="eastAsia"/>
                      <w:color w:val="000000"/>
                      <w:szCs w:val="21"/>
                    </w:rPr>
                    <w:t>生活污水</w:t>
                  </w:r>
                  <w:r>
                    <w:rPr>
                      <w:color w:val="000000"/>
                      <w:szCs w:val="21"/>
                    </w:rPr>
                    <w:t>经化粪池处理后排入</w:t>
                  </w:r>
                  <w:r>
                    <w:rPr>
                      <w:rFonts w:hint="eastAsia"/>
                      <w:color w:val="000000"/>
                      <w:szCs w:val="21"/>
                    </w:rPr>
                    <w:t>市政</w:t>
                  </w:r>
                  <w:r>
                    <w:rPr>
                      <w:color w:val="000000"/>
                      <w:szCs w:val="21"/>
                    </w:rPr>
                    <w:t>管网</w:t>
                  </w:r>
                  <w:r>
                    <w:rPr>
                      <w:rFonts w:hint="eastAsia"/>
                      <w:color w:val="000000"/>
                      <w:szCs w:val="21"/>
                    </w:rPr>
                    <w:t>，</w:t>
                  </w:r>
                  <w:r>
                    <w:rPr>
                      <w:color w:val="000000"/>
                      <w:szCs w:val="21"/>
                    </w:rPr>
                    <w:t>由</w:t>
                  </w:r>
                  <w:r>
                    <w:rPr>
                      <w:rFonts w:hint="eastAsia"/>
                      <w:color w:val="000000"/>
                      <w:szCs w:val="21"/>
                    </w:rPr>
                    <w:t>平原县中设水务有限公司</w:t>
                  </w:r>
                  <w:r>
                    <w:rPr>
                      <w:color w:val="000000"/>
                      <w:szCs w:val="21"/>
                    </w:rPr>
                    <w:t>集中处理后达标排放</w:t>
                  </w:r>
                  <w:r>
                    <w:rPr>
                      <w:bCs/>
                      <w:color w:val="000000"/>
                      <w:szCs w:val="21"/>
                    </w:rPr>
                    <w:t>；</w:t>
                  </w:r>
                  <w:r>
                    <w:rPr>
                      <w:color w:val="000000"/>
                      <w:szCs w:val="21"/>
                    </w:rPr>
                    <w:t>固废全部得到妥善处置。因此，对周围环境影响</w:t>
                  </w:r>
                  <w:r>
                    <w:rPr>
                      <w:rFonts w:hint="eastAsia"/>
                      <w:color w:val="000000"/>
                      <w:szCs w:val="21"/>
                    </w:rPr>
                    <w:t>较小</w:t>
                  </w:r>
                  <w:r>
                    <w:rPr>
                      <w:color w:val="000000"/>
                      <w:szCs w:val="21"/>
                    </w:rPr>
                    <w:t>。</w:t>
                  </w:r>
                </w:p>
              </w:tc>
            </w:tr>
            <w:tr>
              <w:tblPrEx>
                <w:tblW w:w="7519" w:type="dxa"/>
                <w:jc w:val="center"/>
                <w:tblLayout w:type="fixed"/>
                <w:tblCellMar>
                  <w:top w:w="0" w:type="dxa"/>
                  <w:left w:w="108" w:type="dxa"/>
                  <w:bottom w:w="0" w:type="dxa"/>
                  <w:right w:w="108" w:type="dxa"/>
                </w:tblCellMar>
              </w:tblPrEx>
              <w:trPr>
                <w:trHeight w:val="582"/>
                <w:jc w:val="center"/>
              </w:trPr>
              <w:tc>
                <w:tcPr>
                  <w:tcW w:w="1341" w:type="dxa"/>
                  <w:vAlign w:val="center"/>
                </w:tcPr>
                <w:p>
                  <w:pPr>
                    <w:tabs>
                      <w:tab w:val="left" w:pos="2220"/>
                    </w:tabs>
                    <w:adjustRightInd w:val="0"/>
                    <w:snapToGrid w:val="0"/>
                    <w:jc w:val="center"/>
                    <w:rPr>
                      <w:color w:val="000000"/>
                      <w:szCs w:val="21"/>
                    </w:rPr>
                  </w:pPr>
                  <w:r>
                    <w:rPr>
                      <w:color w:val="000000"/>
                      <w:szCs w:val="21"/>
                    </w:rPr>
                    <w:t>对风景名胜区的影响</w:t>
                  </w:r>
                </w:p>
              </w:tc>
              <w:tc>
                <w:tcPr>
                  <w:tcW w:w="6178" w:type="dxa"/>
                  <w:vAlign w:val="center"/>
                </w:tcPr>
                <w:p>
                  <w:pPr>
                    <w:adjustRightInd w:val="0"/>
                    <w:snapToGrid w:val="0"/>
                    <w:rPr>
                      <w:color w:val="000000"/>
                      <w:szCs w:val="21"/>
                    </w:rPr>
                  </w:pPr>
                  <w:r>
                    <w:rPr>
                      <w:color w:val="000000"/>
                      <w:szCs w:val="21"/>
                    </w:rPr>
                    <w:t>项目周围无风景名胜区。</w:t>
                  </w:r>
                </w:p>
              </w:tc>
            </w:tr>
            <w:tr>
              <w:tblPrEx>
                <w:tblW w:w="7519" w:type="dxa"/>
                <w:jc w:val="center"/>
                <w:tblLayout w:type="fixed"/>
                <w:tblCellMar>
                  <w:top w:w="0" w:type="dxa"/>
                  <w:left w:w="108" w:type="dxa"/>
                  <w:bottom w:w="0" w:type="dxa"/>
                  <w:right w:w="108" w:type="dxa"/>
                </w:tblCellMar>
              </w:tblPrEx>
              <w:trPr>
                <w:trHeight w:val="950"/>
                <w:jc w:val="center"/>
              </w:trPr>
              <w:tc>
                <w:tcPr>
                  <w:tcW w:w="1341" w:type="dxa"/>
                  <w:vAlign w:val="center"/>
                </w:tcPr>
                <w:p>
                  <w:pPr>
                    <w:tabs>
                      <w:tab w:val="left" w:pos="2220"/>
                    </w:tabs>
                    <w:adjustRightInd w:val="0"/>
                    <w:snapToGrid w:val="0"/>
                    <w:jc w:val="center"/>
                    <w:rPr>
                      <w:color w:val="000000"/>
                      <w:szCs w:val="21"/>
                    </w:rPr>
                  </w:pPr>
                  <w:r>
                    <w:rPr>
                      <w:color w:val="000000"/>
                      <w:szCs w:val="21"/>
                    </w:rPr>
                    <w:t>环境敏感点</w:t>
                  </w:r>
                </w:p>
              </w:tc>
              <w:tc>
                <w:tcPr>
                  <w:tcW w:w="6178" w:type="dxa"/>
                  <w:vAlign w:val="center"/>
                </w:tcPr>
                <w:p>
                  <w:pPr>
                    <w:adjustRightInd w:val="0"/>
                    <w:snapToGrid w:val="0"/>
                    <w:rPr>
                      <w:color w:val="000000"/>
                      <w:szCs w:val="21"/>
                    </w:rPr>
                  </w:pPr>
                  <w:r>
                    <w:rPr>
                      <w:rFonts w:hint="eastAsia"/>
                      <w:color w:val="000000"/>
                      <w:szCs w:val="21"/>
                    </w:rPr>
                    <w:t>距离</w:t>
                  </w:r>
                  <w:r>
                    <w:rPr>
                      <w:color w:val="000000"/>
                      <w:szCs w:val="21"/>
                    </w:rPr>
                    <w:t>项目</w:t>
                  </w:r>
                  <w:r>
                    <w:rPr>
                      <w:rFonts w:hint="eastAsia"/>
                      <w:color w:val="000000"/>
                      <w:szCs w:val="21"/>
                    </w:rPr>
                    <w:t>最近的</w:t>
                  </w:r>
                  <w:r>
                    <w:rPr>
                      <w:color w:val="000000"/>
                      <w:szCs w:val="21"/>
                    </w:rPr>
                    <w:t>敏感保护目标为</w:t>
                  </w:r>
                  <w:r>
                    <w:rPr>
                      <w:color w:val="000000" w:themeColor="text1"/>
                      <w:szCs w:val="21"/>
                    </w:rPr>
                    <w:t>项目</w:t>
                  </w:r>
                  <w:r>
                    <w:rPr>
                      <w:rFonts w:hint="eastAsia"/>
                      <w:color w:val="000000" w:themeColor="text1"/>
                      <w:szCs w:val="21"/>
                    </w:rPr>
                    <w:t>南</w:t>
                  </w:r>
                  <w:r>
                    <w:rPr>
                      <w:rFonts w:ascii="Times New Roman" w:eastAsia="宋体" w:hAnsi="Times New Roman" w:cs="Times New Roman" w:hint="eastAsia"/>
                      <w:color w:val="000000"/>
                      <w:szCs w:val="21"/>
                    </w:rPr>
                    <w:t>侧</w:t>
                  </w:r>
                  <w:r>
                    <w:rPr>
                      <w:rFonts w:ascii="Times New Roman" w:eastAsia="宋体" w:hAnsi="Times New Roman" w:cs="Times New Roman" w:hint="eastAsia"/>
                      <w:color w:val="000000"/>
                      <w:szCs w:val="21"/>
                      <w:lang w:val="en-US" w:eastAsia="zh-CN"/>
                    </w:rPr>
                    <w:t>20</w:t>
                  </w:r>
                  <w:r>
                    <w:rPr>
                      <w:rFonts w:ascii="Times New Roman" w:eastAsia="宋体" w:hAnsi="Times New Roman" w:cs="Times New Roman" w:hint="eastAsia"/>
                      <w:color w:val="000000"/>
                      <w:szCs w:val="21"/>
                    </w:rPr>
                    <w:t>0米</w:t>
                  </w:r>
                  <w:r>
                    <w:rPr>
                      <w:color w:val="000000" w:themeColor="text1"/>
                      <w:szCs w:val="21"/>
                    </w:rPr>
                    <w:t>的</w:t>
                  </w:r>
                  <w:r>
                    <w:rPr>
                      <w:rFonts w:hint="eastAsia"/>
                      <w:color w:val="000000" w:themeColor="text1"/>
                      <w:szCs w:val="21"/>
                      <w:lang w:val="en-US" w:eastAsia="zh-CN"/>
                    </w:rPr>
                    <w:t>润德家园</w:t>
                  </w:r>
                  <w:r>
                    <w:rPr>
                      <w:color w:val="000000" w:themeColor="text1"/>
                      <w:szCs w:val="21"/>
                    </w:rPr>
                    <w:t>，与</w:t>
                  </w:r>
                  <w:r>
                    <w:rPr>
                      <w:rFonts w:hint="eastAsia"/>
                      <w:color w:val="000000"/>
                      <w:szCs w:val="21"/>
                    </w:rPr>
                    <w:t>项目</w:t>
                  </w:r>
                  <w:r>
                    <w:rPr>
                      <w:color w:val="000000"/>
                      <w:szCs w:val="21"/>
                    </w:rPr>
                    <w:t>距离较远，</w:t>
                  </w:r>
                  <w:r>
                    <w:rPr>
                      <w:rFonts w:hint="eastAsia"/>
                      <w:color w:val="000000"/>
                      <w:szCs w:val="21"/>
                      <w:lang w:val="en-US" w:eastAsia="zh-CN"/>
                    </w:rPr>
                    <w:t>且位于年主导风向的上风向，</w:t>
                  </w:r>
                  <w:r>
                    <w:rPr>
                      <w:color w:val="000000"/>
                      <w:szCs w:val="21"/>
                    </w:rPr>
                    <w:t>因此，项目对</w:t>
                  </w:r>
                  <w:r>
                    <w:rPr>
                      <w:rFonts w:hint="eastAsia"/>
                      <w:color w:val="000000"/>
                      <w:szCs w:val="21"/>
                      <w:lang w:val="en-US" w:eastAsia="zh-CN"/>
                    </w:rPr>
                    <w:t>其</w:t>
                  </w:r>
                  <w:r>
                    <w:rPr>
                      <w:color w:val="000000"/>
                      <w:szCs w:val="21"/>
                    </w:rPr>
                    <w:t>影响较小。</w:t>
                  </w:r>
                </w:p>
              </w:tc>
            </w:tr>
          </w:tbl>
          <w:p>
            <w:pPr>
              <w:widowControl w:val="0"/>
              <w:wordWrap/>
              <w:adjustRightInd w:val="0"/>
              <w:snapToGrid w:val="0"/>
              <w:spacing w:line="240" w:lineRule="exact"/>
              <w:ind w:firstLine="420" w:firstLineChars="200"/>
              <w:textAlignment w:val="auto"/>
              <w:rPr>
                <w:color w:val="000000"/>
                <w:szCs w:val="21"/>
                <w:highlight w:val="yellow"/>
              </w:rPr>
            </w:pPr>
          </w:p>
          <w:p>
            <w:pPr>
              <w:adjustRightInd w:val="0"/>
              <w:snapToGrid w:val="0"/>
              <w:spacing w:line="360" w:lineRule="auto"/>
              <w:ind w:firstLine="420" w:firstLineChars="200"/>
              <w:jc w:val="left"/>
              <w:rPr>
                <w:color w:val="000000"/>
                <w:szCs w:val="21"/>
              </w:rPr>
            </w:pPr>
            <w:r>
              <w:rPr>
                <w:color w:val="000000"/>
                <w:szCs w:val="21"/>
              </w:rPr>
              <w:t>通过上述分析，</w:t>
            </w:r>
            <w:r>
              <w:rPr>
                <w:rFonts w:hint="eastAsia"/>
                <w:color w:val="000000"/>
                <w:szCs w:val="21"/>
              </w:rPr>
              <w:t>项目</w:t>
            </w:r>
            <w:r>
              <w:rPr>
                <w:color w:val="000000"/>
                <w:szCs w:val="21"/>
              </w:rPr>
              <w:t>选址</w:t>
            </w:r>
            <w:r>
              <w:rPr>
                <w:rFonts w:hint="eastAsia"/>
                <w:color w:val="000000"/>
                <w:szCs w:val="21"/>
              </w:rPr>
              <w:t>较为</w:t>
            </w:r>
            <w:r>
              <w:rPr>
                <w:color w:val="000000"/>
                <w:szCs w:val="21"/>
              </w:rPr>
              <w:t>合理。</w:t>
            </w:r>
          </w:p>
          <w:p>
            <w:pPr>
              <w:widowControl w:val="0"/>
              <w:wordWrap/>
              <w:adjustRightInd w:val="0"/>
              <w:snapToGrid w:val="0"/>
              <w:spacing w:line="240" w:lineRule="exact"/>
              <w:ind w:firstLine="420" w:firstLineChars="200"/>
              <w:jc w:val="left"/>
              <w:textAlignment w:val="auto"/>
              <w:rPr>
                <w:color w:val="000000"/>
                <w:kern w:val="0"/>
                <w:szCs w:val="21"/>
              </w:rPr>
            </w:pPr>
          </w:p>
        </w:tc>
      </w:tr>
    </w:tbl>
    <w:p>
      <w:pPr>
        <w:spacing w:line="360" w:lineRule="auto"/>
        <w:outlineLvl w:val="0"/>
        <w:rPr>
          <w:rFonts w:eastAsia="黑体"/>
          <w:color w:val="000000"/>
          <w:sz w:val="30"/>
        </w:rPr>
        <w:sectPr>
          <w:footerReference w:type="default" r:id="rId28"/>
          <w:type w:val="nextPage"/>
          <w:pgSz w:w="11906" w:h="16838"/>
          <w:pgMar w:top="1417" w:right="1417" w:bottom="1417" w:left="1417" w:header="851" w:footer="1077" w:gutter="0"/>
          <w:pgBorders>
            <w:top w:val="none" w:sz="0" w:space="0" w:color="auto"/>
            <w:left w:val="none" w:sz="0" w:space="0" w:color="auto"/>
            <w:bottom w:val="none" w:sz="0" w:space="0" w:color="auto"/>
            <w:right w:val="none" w:sz="0" w:space="0" w:color="auto"/>
          </w:pgBorders>
          <w:pgNumType w:start="23"/>
          <w:cols w:num="1" w:space="720"/>
          <w:titlePg w:val="0"/>
          <w:docGrid w:linePitch="312" w:charSpace="0"/>
        </w:sectPr>
      </w:pPr>
    </w:p>
    <w:p>
      <w:pPr>
        <w:pStyle w:val="NormalWeb"/>
        <w:adjustRightInd w:val="0"/>
        <w:snapToGrid w:val="0"/>
        <w:spacing w:before="0" w:beforeAutospacing="0" w:after="0" w:afterAutospacing="0"/>
        <w:jc w:val="center"/>
        <w:outlineLvl w:val="0"/>
        <w:rPr>
          <w:rFonts w:ascii="Times New Roman" w:eastAsia="黑体" w:hAnsi="Times New Roman"/>
          <w:snapToGrid w:val="0"/>
          <w:color w:val="000000"/>
          <w:sz w:val="30"/>
          <w:szCs w:val="30"/>
        </w:rPr>
      </w:pPr>
      <w:bookmarkStart w:id="3" w:name="_Toc66887231"/>
      <w:r>
        <w:rPr>
          <w:rFonts w:ascii="Times New Roman" w:eastAsia="黑体" w:hAnsi="Times New Roman"/>
          <w:snapToGrid w:val="0"/>
          <w:color w:val="000000"/>
          <w:sz w:val="30"/>
          <w:szCs w:val="30"/>
        </w:rPr>
        <w:t>二、建设项目工程分析</w:t>
      </w:r>
    </w:p>
    <w:tbl>
      <w:tblPr>
        <w:tblStyle w:val="TableNormal"/>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426"/>
        <w:gridCol w:w="8634"/>
      </w:tblGrid>
      <w:tr>
        <w:tblPrEx>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Ex>
        <w:trPr>
          <w:trHeight w:val="12994"/>
          <w:jc w:val="center"/>
        </w:trPr>
        <w:tc>
          <w:tcPr>
            <w:tcW w:w="426" w:type="dxa"/>
            <w:noWrap w:val="0"/>
            <w:vAlign w:val="center"/>
          </w:tcPr>
          <w:p>
            <w:pPr>
              <w:pStyle w:val="NormalWeb"/>
              <w:adjustRightInd w:val="0"/>
              <w:snapToGrid w:val="0"/>
              <w:spacing w:before="0" w:beforeAutospacing="0" w:after="0" w:afterAutospacing="0"/>
              <w:jc w:val="center"/>
              <w:rPr>
                <w:rFonts w:ascii="Times New Roman" w:hAnsi="Times New Roman"/>
                <w:color w:val="000000"/>
                <w:sz w:val="21"/>
                <w:szCs w:val="21"/>
              </w:rPr>
            </w:pPr>
            <w:bookmarkEnd w:id="3"/>
            <w:r>
              <w:rPr>
                <w:rFonts w:ascii="Times New Roman" w:hAnsi="Times New Roman"/>
                <w:color w:val="000000"/>
                <w:sz w:val="21"/>
                <w:szCs w:val="21"/>
              </w:rPr>
              <w:t>建设内容</w:t>
            </w:r>
          </w:p>
        </w:tc>
        <w:tc>
          <w:tcPr>
            <w:tcW w:w="8634" w:type="dxa"/>
            <w:noWrap w:val="0"/>
            <w:vAlign w:val="top"/>
          </w:tcPr>
          <w:p>
            <w:pPr>
              <w:adjustRightInd w:val="0"/>
              <w:snapToGrid w:val="0"/>
              <w:spacing w:line="360" w:lineRule="auto"/>
              <w:ind w:firstLine="420" w:firstLineChars="200"/>
              <w:rPr>
                <w:rFonts w:hint="eastAsia"/>
                <w:b/>
                <w:bCs/>
                <w:color w:val="000000"/>
                <w:szCs w:val="21"/>
              </w:rPr>
            </w:pPr>
            <w:r>
              <w:rPr>
                <w:rFonts w:hint="eastAsia"/>
                <w:b/>
                <w:bCs/>
                <w:color w:val="000000"/>
                <w:szCs w:val="21"/>
              </w:rPr>
              <w:t>1、项目概况</w:t>
            </w:r>
          </w:p>
          <w:p>
            <w:pPr>
              <w:snapToGrid w:val="0"/>
              <w:spacing w:line="360" w:lineRule="auto"/>
              <w:ind w:firstLine="420" w:firstLineChars="200"/>
              <w:rPr>
                <w:color w:val="000000"/>
                <w:szCs w:val="21"/>
              </w:rPr>
            </w:pPr>
            <w:r>
              <w:rPr>
                <w:color w:val="000000"/>
                <w:szCs w:val="21"/>
              </w:rPr>
              <w:t>（1）项目名称：</w:t>
            </w:r>
            <w:r>
              <w:rPr>
                <w:rFonts w:hint="eastAsia"/>
                <w:color w:val="000000"/>
                <w:szCs w:val="21"/>
              </w:rPr>
              <w:t>年产3000吨医用级PET/PETG项目</w:t>
            </w:r>
          </w:p>
          <w:p>
            <w:pPr>
              <w:snapToGrid w:val="0"/>
              <w:spacing w:line="360" w:lineRule="auto"/>
              <w:ind w:firstLine="420" w:firstLineChars="200"/>
              <w:rPr>
                <w:rFonts w:hint="eastAsia"/>
                <w:color w:val="000000"/>
                <w:szCs w:val="21"/>
              </w:rPr>
            </w:pPr>
            <w:r>
              <w:rPr>
                <w:color w:val="000000"/>
                <w:szCs w:val="21"/>
              </w:rPr>
              <w:t>（2）建设</w:t>
            </w:r>
            <w:r>
              <w:rPr>
                <w:rFonts w:hint="eastAsia"/>
                <w:color w:val="000000"/>
                <w:szCs w:val="21"/>
              </w:rPr>
              <w:t>单位：</w:t>
            </w:r>
            <w:r>
              <w:rPr>
                <w:rFonts w:hint="eastAsia"/>
                <w:color w:val="000000"/>
                <w:szCs w:val="21"/>
                <w:lang w:eastAsia="zh-CN"/>
              </w:rPr>
              <w:t>德州湘乾烽豪新材料技术有限公司</w:t>
            </w:r>
          </w:p>
          <w:p>
            <w:pPr>
              <w:snapToGrid w:val="0"/>
              <w:spacing w:line="360" w:lineRule="auto"/>
              <w:ind w:firstLine="420" w:firstLineChars="200"/>
              <w:rPr>
                <w:color w:val="000000"/>
                <w:szCs w:val="21"/>
              </w:rPr>
            </w:pPr>
            <w:r>
              <w:rPr>
                <w:color w:val="000000"/>
                <w:szCs w:val="21"/>
              </w:rPr>
              <w:t>（3）建设性质：新建</w:t>
            </w:r>
          </w:p>
          <w:p>
            <w:pPr>
              <w:snapToGrid w:val="0"/>
              <w:spacing w:line="360" w:lineRule="auto"/>
              <w:ind w:firstLine="420" w:firstLineChars="200"/>
              <w:rPr>
                <w:rFonts w:hint="eastAsia"/>
                <w:color w:val="000000"/>
                <w:szCs w:val="21"/>
              </w:rPr>
            </w:pPr>
            <w:r>
              <w:rPr>
                <w:color w:val="000000"/>
                <w:szCs w:val="21"/>
              </w:rPr>
              <w:t>（4）建设地点：</w:t>
            </w:r>
            <w:r>
              <w:rPr>
                <w:rFonts w:hint="eastAsia"/>
                <w:color w:val="000000"/>
                <w:szCs w:val="21"/>
                <w:lang w:eastAsia="zh-CN"/>
              </w:rPr>
              <w:t>山东省德州市平原经济开发区桃园北大道和北环路交叉口东南侧50米</w:t>
            </w:r>
          </w:p>
          <w:p>
            <w:pPr>
              <w:snapToGrid w:val="0"/>
              <w:spacing w:line="360" w:lineRule="auto"/>
              <w:ind w:firstLine="420" w:firstLineChars="200"/>
              <w:rPr>
                <w:rFonts w:hint="eastAsia"/>
                <w:color w:val="000000"/>
                <w:szCs w:val="21"/>
              </w:rPr>
            </w:pPr>
            <w:r>
              <w:rPr>
                <w:color w:val="000000"/>
                <w:szCs w:val="21"/>
              </w:rPr>
              <w:t>（5）建设内容及规模：项目</w:t>
            </w:r>
            <w:r>
              <w:rPr>
                <w:rFonts w:ascii="Times New Roman" w:eastAsia="宋体" w:hAnsi="Times New Roman" w:cs="Times New Roman" w:hint="eastAsia"/>
                <w:color w:val="000000"/>
                <w:szCs w:val="21"/>
                <w:lang w:eastAsia="zh-CN"/>
              </w:rPr>
              <w:t>租赁</w:t>
            </w:r>
            <w:r>
              <w:rPr>
                <w:rFonts w:ascii="Times New Roman" w:eastAsia="宋体" w:hAnsi="Times New Roman" w:cs="Times New Roman" w:hint="eastAsia"/>
                <w:color w:val="000000"/>
                <w:szCs w:val="21"/>
                <w:lang w:val="en-US" w:eastAsia="zh-CN"/>
              </w:rPr>
              <w:t>德州市多轮交通科技</w:t>
            </w:r>
            <w:r>
              <w:rPr>
                <w:rFonts w:ascii="Times New Roman" w:eastAsia="宋体" w:hAnsi="Times New Roman" w:cs="Times New Roman" w:hint="eastAsia"/>
                <w:color w:val="000000"/>
                <w:szCs w:val="21"/>
                <w:lang w:eastAsia="zh-CN"/>
              </w:rPr>
              <w:t>有限公司闲置车间（</w:t>
            </w:r>
            <w:r>
              <w:rPr>
                <w:rFonts w:ascii="Times New Roman" w:eastAsia="宋体" w:hAnsi="Times New Roman" w:cs="Times New Roman" w:hint="eastAsia"/>
                <w:color w:val="000000"/>
                <w:szCs w:val="21"/>
                <w:lang w:val="en-US" w:eastAsia="zh-CN"/>
              </w:rPr>
              <w:t>2号、3号</w:t>
            </w:r>
            <w:r>
              <w:rPr>
                <w:rFonts w:ascii="Times New Roman" w:eastAsia="宋体" w:hAnsi="Times New Roman" w:cs="Times New Roman" w:hint="eastAsia"/>
                <w:color w:val="000000"/>
                <w:szCs w:val="21"/>
                <w:lang w:eastAsia="zh-CN"/>
              </w:rPr>
              <w:t>）</w:t>
            </w:r>
            <w:r>
              <w:rPr>
                <w:rFonts w:hint="eastAsia"/>
                <w:color w:val="000000"/>
                <w:szCs w:val="21"/>
              </w:rPr>
              <w:t>进行建设</w:t>
            </w:r>
            <w:r>
              <w:rPr>
                <w:rFonts w:ascii="Times New Roman" w:eastAsia="宋体" w:hAnsi="Times New Roman" w:cs="Times New Roman" w:hint="eastAsia"/>
                <w:color w:val="000000"/>
                <w:szCs w:val="21"/>
                <w:lang w:eastAsia="zh-CN"/>
              </w:rPr>
              <w:t>，</w:t>
            </w:r>
            <w:r>
              <w:rPr>
                <w:rFonts w:ascii="Times New Roman" w:eastAsia="宋体" w:hAnsi="Times New Roman" w:cs="Times New Roman" w:hint="eastAsia"/>
                <w:color w:val="000000"/>
                <w:szCs w:val="21"/>
                <w:lang w:val="en-US" w:eastAsia="zh-CN"/>
              </w:rPr>
              <w:t>项目</w:t>
            </w:r>
            <w:r>
              <w:rPr>
                <w:rFonts w:ascii="Times New Roman" w:eastAsia="宋体" w:hAnsi="Times New Roman" w:cs="Times New Roman" w:hint="eastAsia"/>
                <w:color w:val="000000"/>
                <w:szCs w:val="21"/>
                <w:lang w:eastAsia="zh-CN"/>
              </w:rPr>
              <w:t>总占地面积</w:t>
            </w:r>
            <w:r>
              <w:rPr>
                <w:rFonts w:ascii="Times New Roman" w:eastAsia="宋体" w:hAnsi="Times New Roman" w:cs="Times New Roman" w:hint="eastAsia"/>
                <w:color w:val="000000"/>
                <w:szCs w:val="21"/>
                <w:lang w:val="en-US" w:eastAsia="zh-CN"/>
              </w:rPr>
              <w:t>7071.68</w:t>
            </w:r>
            <w:r>
              <w:rPr>
                <w:rFonts w:ascii="Times New Roman" w:eastAsia="宋体" w:hAnsi="Times New Roman" w:cs="Times New Roman" w:hint="eastAsia"/>
                <w:color w:val="000000"/>
                <w:szCs w:val="21"/>
                <w:lang w:eastAsia="zh-CN"/>
              </w:rPr>
              <w:t>平方米，总建筑面积</w:t>
            </w:r>
            <w:r>
              <w:rPr>
                <w:rFonts w:ascii="Times New Roman" w:eastAsia="宋体" w:hAnsi="Times New Roman" w:cs="Times New Roman" w:hint="eastAsia"/>
                <w:color w:val="000000"/>
                <w:szCs w:val="21"/>
                <w:lang w:val="en-US" w:eastAsia="zh-CN"/>
              </w:rPr>
              <w:t>7071.68</w:t>
            </w:r>
            <w:r>
              <w:rPr>
                <w:rFonts w:ascii="Times New Roman" w:eastAsia="宋体" w:hAnsi="Times New Roman" w:cs="Times New Roman" w:hint="eastAsia"/>
                <w:color w:val="000000"/>
                <w:szCs w:val="21"/>
                <w:lang w:eastAsia="zh-CN"/>
              </w:rPr>
              <w:t>平方米，其中生产车间（</w:t>
            </w:r>
            <w:r>
              <w:rPr>
                <w:rFonts w:ascii="Times New Roman" w:eastAsia="宋体" w:hAnsi="Times New Roman" w:cs="Times New Roman" w:hint="eastAsia"/>
                <w:color w:val="000000"/>
                <w:szCs w:val="21"/>
                <w:lang w:val="en-US" w:eastAsia="zh-CN"/>
              </w:rPr>
              <w:t>3号</w:t>
            </w:r>
            <w:r>
              <w:rPr>
                <w:rFonts w:ascii="Times New Roman" w:eastAsia="宋体" w:hAnsi="Times New Roman" w:cs="Times New Roman" w:hint="eastAsia"/>
                <w:color w:val="000000"/>
                <w:szCs w:val="21"/>
                <w:lang w:eastAsia="zh-CN"/>
              </w:rPr>
              <w:t>）</w:t>
            </w:r>
            <w:r>
              <w:rPr>
                <w:rFonts w:ascii="Times New Roman" w:eastAsia="宋体" w:hAnsi="Times New Roman" w:cs="Times New Roman" w:hint="eastAsia"/>
                <w:color w:val="000000"/>
                <w:szCs w:val="21"/>
                <w:lang w:val="en-US" w:eastAsia="zh-CN"/>
              </w:rPr>
              <w:t>3535.84</w:t>
            </w:r>
            <w:r>
              <w:rPr>
                <w:rFonts w:ascii="Times New Roman" w:eastAsia="宋体" w:hAnsi="Times New Roman" w:cs="Times New Roman" w:hint="eastAsia"/>
                <w:color w:val="000000"/>
                <w:szCs w:val="21"/>
                <w:lang w:eastAsia="zh-CN"/>
              </w:rPr>
              <w:t>平方米，仓库（</w:t>
            </w:r>
            <w:r>
              <w:rPr>
                <w:rFonts w:ascii="Times New Roman" w:eastAsia="宋体" w:hAnsi="Times New Roman" w:cs="Times New Roman" w:hint="eastAsia"/>
                <w:color w:val="000000"/>
                <w:szCs w:val="21"/>
                <w:lang w:val="en-US" w:eastAsia="zh-CN"/>
              </w:rPr>
              <w:t>2号</w:t>
            </w:r>
            <w:r>
              <w:rPr>
                <w:rFonts w:ascii="Times New Roman" w:eastAsia="宋体" w:hAnsi="Times New Roman" w:cs="Times New Roman" w:hint="eastAsia"/>
                <w:color w:val="000000"/>
                <w:szCs w:val="21"/>
                <w:lang w:eastAsia="zh-CN"/>
              </w:rPr>
              <w:t>）</w:t>
            </w:r>
            <w:r>
              <w:rPr>
                <w:rFonts w:ascii="Times New Roman" w:eastAsia="宋体" w:hAnsi="Times New Roman" w:cs="Times New Roman" w:hint="eastAsia"/>
                <w:color w:val="000000"/>
                <w:szCs w:val="21"/>
                <w:lang w:val="en-US" w:eastAsia="zh-CN"/>
              </w:rPr>
              <w:t>3535.84</w:t>
            </w:r>
            <w:r>
              <w:rPr>
                <w:rFonts w:ascii="Times New Roman" w:eastAsia="宋体" w:hAnsi="Times New Roman" w:cs="Times New Roman" w:hint="eastAsia"/>
                <w:color w:val="000000"/>
                <w:szCs w:val="21"/>
                <w:lang w:eastAsia="zh-CN"/>
              </w:rPr>
              <w:t>平方米。项目拟建设</w:t>
            </w:r>
            <w:r>
              <w:rPr>
                <w:rFonts w:ascii="Times New Roman" w:eastAsia="宋体" w:hAnsi="Times New Roman" w:cs="Times New Roman" w:hint="eastAsia"/>
                <w:color w:val="000000"/>
                <w:szCs w:val="21"/>
                <w:lang w:val="en-US" w:eastAsia="zh-CN"/>
              </w:rPr>
              <w:t>5</w:t>
            </w:r>
            <w:r>
              <w:rPr>
                <w:rFonts w:ascii="Times New Roman" w:eastAsia="宋体" w:hAnsi="Times New Roman" w:cs="Times New Roman" w:hint="eastAsia"/>
                <w:color w:val="000000"/>
                <w:szCs w:val="21"/>
                <w:lang w:eastAsia="zh-CN"/>
              </w:rPr>
              <w:t>条生产线，购置</w:t>
            </w:r>
            <w:r>
              <w:rPr>
                <w:rFonts w:ascii="Times New Roman" w:eastAsia="宋体" w:hAnsi="Times New Roman" w:cs="Times New Roman" w:hint="eastAsia"/>
                <w:color w:val="000000"/>
                <w:szCs w:val="21"/>
                <w:lang w:val="en-US" w:eastAsia="zh-CN"/>
              </w:rPr>
              <w:t>挤出</w:t>
            </w:r>
            <w:r>
              <w:rPr>
                <w:rFonts w:ascii="Times New Roman" w:eastAsia="宋体" w:hAnsi="Times New Roman" w:cs="Times New Roman" w:hint="eastAsia"/>
                <w:color w:val="000000"/>
                <w:szCs w:val="21"/>
                <w:lang w:eastAsia="zh-CN"/>
              </w:rPr>
              <w:t>机、</w:t>
            </w:r>
            <w:r>
              <w:rPr>
                <w:rFonts w:ascii="Times New Roman" w:eastAsia="宋体" w:hAnsi="Times New Roman" w:cs="Times New Roman" w:hint="eastAsia"/>
                <w:color w:val="000000"/>
                <w:szCs w:val="21"/>
                <w:lang w:val="en-US" w:eastAsia="zh-CN"/>
              </w:rPr>
              <w:t>涂布机</w:t>
            </w:r>
            <w:r>
              <w:rPr>
                <w:rFonts w:ascii="Times New Roman" w:eastAsia="宋体" w:hAnsi="Times New Roman" w:cs="Times New Roman" w:hint="eastAsia"/>
                <w:color w:val="000000"/>
                <w:szCs w:val="21"/>
                <w:lang w:eastAsia="zh-CN"/>
              </w:rPr>
              <w:t>、</w:t>
            </w:r>
            <w:r>
              <w:rPr>
                <w:rFonts w:ascii="Times New Roman" w:eastAsia="宋体" w:hAnsi="Times New Roman" w:cs="Times New Roman" w:hint="eastAsia"/>
                <w:color w:val="000000"/>
                <w:szCs w:val="21"/>
                <w:lang w:val="en-US" w:eastAsia="zh-CN"/>
              </w:rPr>
              <w:t>模压机、</w:t>
            </w:r>
            <w:r>
              <w:rPr>
                <w:rFonts w:ascii="Times New Roman" w:eastAsia="宋体" w:hAnsi="Times New Roman" w:cs="Times New Roman" w:hint="eastAsia"/>
                <w:color w:val="000000"/>
                <w:szCs w:val="21"/>
                <w:lang w:eastAsia="zh-CN"/>
              </w:rPr>
              <w:t>分切机、</w:t>
            </w:r>
            <w:r>
              <w:rPr>
                <w:rFonts w:ascii="Times New Roman" w:eastAsia="宋体" w:hAnsi="Times New Roman" w:cs="Times New Roman" w:hint="eastAsia"/>
                <w:color w:val="000000"/>
                <w:szCs w:val="21"/>
                <w:lang w:val="en-US" w:eastAsia="zh-CN"/>
              </w:rPr>
              <w:t>分散</w:t>
            </w:r>
            <w:r>
              <w:rPr>
                <w:rFonts w:ascii="Times New Roman" w:eastAsia="宋体" w:hAnsi="Times New Roman" w:cs="Times New Roman" w:hint="eastAsia"/>
                <w:color w:val="000000"/>
                <w:szCs w:val="21"/>
                <w:lang w:eastAsia="zh-CN"/>
              </w:rPr>
              <w:t>机、空压机等生产设备共计1</w:t>
            </w:r>
            <w:r>
              <w:rPr>
                <w:rFonts w:ascii="Times New Roman" w:eastAsia="宋体" w:hAnsi="Times New Roman" w:cs="Times New Roman" w:hint="eastAsia"/>
                <w:color w:val="000000"/>
                <w:szCs w:val="21"/>
                <w:lang w:val="en-US" w:eastAsia="zh-CN"/>
              </w:rPr>
              <w:t>9</w:t>
            </w:r>
            <w:r>
              <w:rPr>
                <w:rFonts w:ascii="Times New Roman" w:eastAsia="宋体" w:hAnsi="Times New Roman" w:cs="Times New Roman" w:hint="eastAsia"/>
                <w:color w:val="000000"/>
                <w:szCs w:val="21"/>
                <w:lang w:eastAsia="zh-CN"/>
              </w:rPr>
              <w:t>台。项目建成后年产3000吨医用级PET/PETG</w:t>
            </w:r>
            <w:r>
              <w:rPr>
                <w:rFonts w:ascii="Times New Roman" w:eastAsia="宋体" w:hAnsi="Times New Roman" w:cs="Times New Roman" w:hint="eastAsia"/>
                <w:color w:val="000000"/>
                <w:szCs w:val="21"/>
                <w:lang w:val="en-US" w:eastAsia="zh-CN"/>
              </w:rPr>
              <w:t>片材</w:t>
            </w:r>
            <w:r>
              <w:rPr>
                <w:rFonts w:ascii="Times New Roman" w:eastAsia="宋体" w:hAnsi="Times New Roman" w:cs="Times New Roman" w:hint="eastAsia"/>
                <w:color w:val="000000"/>
                <w:szCs w:val="21"/>
                <w:lang w:eastAsia="zh-CN"/>
              </w:rPr>
              <w:t>。</w:t>
            </w:r>
          </w:p>
          <w:p>
            <w:pPr>
              <w:adjustRightInd w:val="0"/>
              <w:snapToGrid w:val="0"/>
              <w:spacing w:line="360" w:lineRule="auto"/>
              <w:ind w:firstLine="420" w:firstLineChars="200"/>
              <w:rPr>
                <w:b/>
                <w:bCs/>
                <w:color w:val="000000"/>
                <w:szCs w:val="21"/>
              </w:rPr>
            </w:pPr>
            <w:r>
              <w:rPr>
                <w:rFonts w:hint="eastAsia"/>
                <w:b/>
                <w:bCs/>
                <w:color w:val="000000"/>
                <w:szCs w:val="21"/>
              </w:rPr>
              <w:t>2、</w:t>
            </w:r>
            <w:r>
              <w:rPr>
                <w:b/>
                <w:bCs/>
                <w:color w:val="000000"/>
                <w:szCs w:val="21"/>
              </w:rPr>
              <w:t>建设内容</w:t>
            </w:r>
          </w:p>
          <w:p>
            <w:pPr>
              <w:adjustRightInd w:val="0"/>
              <w:snapToGrid w:val="0"/>
              <w:spacing w:line="360" w:lineRule="auto"/>
              <w:ind w:firstLine="420" w:firstLineChars="200"/>
              <w:rPr>
                <w:color w:val="000000"/>
                <w:szCs w:val="21"/>
              </w:rPr>
            </w:pPr>
            <w:r>
              <w:rPr>
                <w:color w:val="000000"/>
                <w:szCs w:val="21"/>
              </w:rPr>
              <w:t>项目主要包括主体工程、</w:t>
            </w:r>
            <w:r>
              <w:rPr>
                <w:rFonts w:hint="eastAsia"/>
                <w:color w:val="000000"/>
                <w:szCs w:val="21"/>
                <w:lang w:val="en-US" w:eastAsia="zh-CN"/>
              </w:rPr>
              <w:t>辅助</w:t>
            </w:r>
            <w:r>
              <w:rPr>
                <w:color w:val="000000"/>
                <w:szCs w:val="21"/>
              </w:rPr>
              <w:t>工程、</w:t>
            </w:r>
            <w:r>
              <w:rPr>
                <w:rFonts w:hint="eastAsia"/>
                <w:color w:val="000000"/>
                <w:szCs w:val="21"/>
              </w:rPr>
              <w:t>公用工程和</w:t>
            </w:r>
            <w:r>
              <w:rPr>
                <w:color w:val="000000"/>
                <w:szCs w:val="21"/>
              </w:rPr>
              <w:t>环保工程</w:t>
            </w:r>
            <w:r>
              <w:rPr>
                <w:rFonts w:hint="eastAsia"/>
                <w:color w:val="000000"/>
                <w:szCs w:val="21"/>
              </w:rPr>
              <w:t>，</w:t>
            </w:r>
            <w:r>
              <w:rPr>
                <w:color w:val="000000"/>
                <w:szCs w:val="21"/>
              </w:rPr>
              <w:t>具体组成见下表。</w:t>
            </w:r>
          </w:p>
          <w:p>
            <w:pPr>
              <w:adjustRightInd w:val="0"/>
              <w:snapToGrid w:val="0"/>
              <w:jc w:val="center"/>
              <w:rPr>
                <w:b/>
                <w:bCs/>
                <w:color w:val="000000"/>
                <w:szCs w:val="21"/>
              </w:rPr>
            </w:pPr>
            <w:r>
              <w:rPr>
                <w:rFonts w:hint="eastAsia"/>
                <w:b/>
                <w:bCs/>
                <w:color w:val="000000"/>
                <w:szCs w:val="21"/>
              </w:rPr>
              <w:t>表2-1</w:t>
            </w:r>
            <w:r>
              <w:rPr>
                <w:b/>
                <w:bCs/>
                <w:color w:val="000000"/>
                <w:szCs w:val="21"/>
              </w:rPr>
              <w:t>项目组成一览表</w:t>
            </w:r>
          </w:p>
          <w:tbl>
            <w:tblPr>
              <w:tblStyle w:val="TableNormal"/>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3"/>
              <w:gridCol w:w="1525"/>
              <w:gridCol w:w="4657"/>
              <w:gridCol w:w="1500"/>
            </w:tblGrid>
            <w:tr>
              <w:tblPrEx>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0"/>
                <w:jc w:val="center"/>
              </w:trPr>
              <w:tc>
                <w:tcPr>
                  <w:tcW w:w="430" w:type="pct"/>
                  <w:noWrap w:val="0"/>
                  <w:vAlign w:val="center"/>
                </w:tcPr>
                <w:p>
                  <w:pPr>
                    <w:adjustRightInd w:val="0"/>
                    <w:snapToGrid w:val="0"/>
                    <w:jc w:val="center"/>
                    <w:rPr>
                      <w:b/>
                      <w:bCs/>
                      <w:color w:val="000000"/>
                      <w:szCs w:val="21"/>
                    </w:rPr>
                  </w:pPr>
                  <w:r>
                    <w:rPr>
                      <w:b/>
                      <w:bCs/>
                      <w:color w:val="000000"/>
                      <w:szCs w:val="21"/>
                    </w:rPr>
                    <w:t>项目组成</w:t>
                  </w:r>
                </w:p>
              </w:tc>
              <w:tc>
                <w:tcPr>
                  <w:tcW w:w="907" w:type="pct"/>
                  <w:noWrap w:val="0"/>
                  <w:vAlign w:val="center"/>
                </w:tcPr>
                <w:p>
                  <w:pPr>
                    <w:adjustRightInd w:val="0"/>
                    <w:snapToGrid w:val="0"/>
                    <w:jc w:val="center"/>
                    <w:rPr>
                      <w:b/>
                      <w:bCs/>
                      <w:color w:val="000000"/>
                      <w:szCs w:val="21"/>
                    </w:rPr>
                  </w:pPr>
                  <w:r>
                    <w:rPr>
                      <w:b/>
                      <w:bCs/>
                      <w:color w:val="000000"/>
                      <w:szCs w:val="21"/>
                    </w:rPr>
                    <w:t>工程内容</w:t>
                  </w:r>
                </w:p>
              </w:tc>
              <w:tc>
                <w:tcPr>
                  <w:tcW w:w="2770" w:type="pct"/>
                  <w:noWrap w:val="0"/>
                  <w:vAlign w:val="center"/>
                </w:tcPr>
                <w:p>
                  <w:pPr>
                    <w:adjustRightInd w:val="0"/>
                    <w:snapToGrid w:val="0"/>
                    <w:jc w:val="center"/>
                    <w:rPr>
                      <w:b/>
                      <w:bCs/>
                      <w:color w:val="000000"/>
                      <w:szCs w:val="21"/>
                    </w:rPr>
                  </w:pPr>
                  <w:r>
                    <w:rPr>
                      <w:b/>
                      <w:bCs/>
                      <w:color w:val="000000"/>
                      <w:szCs w:val="21"/>
                    </w:rPr>
                    <w:t>项目情况</w:t>
                  </w:r>
                </w:p>
              </w:tc>
              <w:tc>
                <w:tcPr>
                  <w:tcW w:w="892" w:type="pct"/>
                  <w:noWrap w:val="0"/>
                  <w:vAlign w:val="center"/>
                </w:tcPr>
                <w:p>
                  <w:pPr>
                    <w:adjustRightInd w:val="0"/>
                    <w:snapToGrid w:val="0"/>
                    <w:jc w:val="center"/>
                    <w:rPr>
                      <w:b/>
                      <w:bCs/>
                      <w:color w:val="000000"/>
                      <w:szCs w:val="21"/>
                    </w:rPr>
                  </w:pPr>
                  <w:r>
                    <w:rPr>
                      <w:rFonts w:hint="eastAsia"/>
                      <w:b/>
                      <w:bCs/>
                      <w:color w:val="000000"/>
                      <w:szCs w:val="21"/>
                    </w:rPr>
                    <w:t>备注</w:t>
                  </w:r>
                </w:p>
              </w:tc>
            </w:tr>
            <w:tr>
              <w:tblPrEx>
                <w:tblW w:w="4998" w:type="pct"/>
                <w:jc w:val="center"/>
                <w:tblCellMar>
                  <w:top w:w="0" w:type="dxa"/>
                  <w:left w:w="108" w:type="dxa"/>
                  <w:bottom w:w="0" w:type="dxa"/>
                  <w:right w:w="108" w:type="dxa"/>
                </w:tblCellMar>
              </w:tblPrEx>
              <w:trPr>
                <w:trHeight w:val="1141"/>
                <w:jc w:val="center"/>
              </w:trPr>
              <w:tc>
                <w:tcPr>
                  <w:tcW w:w="430" w:type="pct"/>
                  <w:noWrap w:val="0"/>
                  <w:vAlign w:val="center"/>
                </w:tcPr>
                <w:p>
                  <w:pPr>
                    <w:widowControl/>
                    <w:adjustRightInd w:val="0"/>
                    <w:jc w:val="center"/>
                    <w:rPr>
                      <w:color w:val="000000"/>
                      <w:szCs w:val="21"/>
                    </w:rPr>
                  </w:pPr>
                  <w:r>
                    <w:rPr>
                      <w:color w:val="000000"/>
                      <w:szCs w:val="21"/>
                    </w:rPr>
                    <w:t>主体工程</w:t>
                  </w:r>
                </w:p>
              </w:tc>
              <w:tc>
                <w:tcPr>
                  <w:tcW w:w="907" w:type="pct"/>
                  <w:noWrap w:val="0"/>
                  <w:vAlign w:val="center"/>
                </w:tcPr>
                <w:p>
                  <w:pPr>
                    <w:jc w:val="center"/>
                    <w:rPr>
                      <w:color w:val="000000"/>
                      <w:szCs w:val="21"/>
                    </w:rPr>
                  </w:pPr>
                  <w:r>
                    <w:rPr>
                      <w:color w:val="000000"/>
                      <w:szCs w:val="21"/>
                    </w:rPr>
                    <w:t>生产车间</w:t>
                  </w:r>
                </w:p>
              </w:tc>
              <w:tc>
                <w:tcPr>
                  <w:tcW w:w="2770" w:type="pct"/>
                  <w:noWrap w:val="0"/>
                  <w:vAlign w:val="center"/>
                </w:tcPr>
                <w:p>
                  <w:pPr>
                    <w:widowControl/>
                    <w:jc w:val="left"/>
                    <w:rPr>
                      <w:color w:val="000000" w:themeColor="text1"/>
                      <w:szCs w:val="21"/>
                      <w:highlight w:val="yellow"/>
                    </w:rPr>
                  </w:pPr>
                  <w:r>
                    <w:rPr>
                      <w:color w:val="000000" w:themeColor="text1"/>
                      <w:kern w:val="0"/>
                      <w:szCs w:val="21"/>
                    </w:rPr>
                    <w:t>1座1层，建筑面积</w:t>
                  </w:r>
                  <w:r>
                    <w:rPr>
                      <w:rFonts w:ascii="Times New Roman" w:eastAsia="宋体" w:hAnsi="Times New Roman" w:cs="Times New Roman" w:hint="eastAsia"/>
                      <w:color w:val="000000" w:themeColor="text1"/>
                      <w:szCs w:val="21"/>
                      <w:lang w:val="en-US" w:eastAsia="zh-CN"/>
                    </w:rPr>
                    <w:t>3535.84</w:t>
                  </w:r>
                  <w:r>
                    <w:rPr>
                      <w:color w:val="000000" w:themeColor="text1"/>
                      <w:kern w:val="0"/>
                      <w:szCs w:val="21"/>
                    </w:rPr>
                    <w:t>m</w:t>
                  </w:r>
                  <w:r>
                    <w:rPr>
                      <w:color w:val="000000" w:themeColor="text1"/>
                      <w:kern w:val="0"/>
                      <w:szCs w:val="21"/>
                      <w:vertAlign w:val="superscript"/>
                    </w:rPr>
                    <w:t>2</w:t>
                  </w:r>
                  <w:r>
                    <w:rPr>
                      <w:color w:val="000000" w:themeColor="text1"/>
                      <w:kern w:val="0"/>
                      <w:szCs w:val="21"/>
                    </w:rPr>
                    <w:t>，</w:t>
                  </w:r>
                  <w:r>
                    <w:rPr>
                      <w:rFonts w:hint="eastAsia"/>
                      <w:color w:val="000000" w:themeColor="text1"/>
                      <w:szCs w:val="21"/>
                    </w:rPr>
                    <w:t>拟建设</w:t>
                  </w:r>
                  <w:r>
                    <w:rPr>
                      <w:rFonts w:hint="eastAsia"/>
                      <w:color w:val="000000" w:themeColor="text1"/>
                      <w:szCs w:val="21"/>
                      <w:lang w:val="en-US" w:eastAsia="zh-CN"/>
                    </w:rPr>
                    <w:t>5</w:t>
                  </w:r>
                  <w:r>
                    <w:rPr>
                      <w:rFonts w:hint="eastAsia"/>
                      <w:color w:val="000000" w:themeColor="text1"/>
                      <w:szCs w:val="21"/>
                    </w:rPr>
                    <w:t>条生产线，购置</w:t>
                  </w:r>
                  <w:r>
                    <w:rPr>
                      <w:rFonts w:ascii="Times New Roman" w:eastAsia="宋体" w:hAnsi="Times New Roman" w:cs="Times New Roman" w:hint="eastAsia"/>
                      <w:color w:val="000000" w:themeColor="text1"/>
                      <w:szCs w:val="21"/>
                      <w:lang w:val="en-US" w:eastAsia="zh-CN"/>
                    </w:rPr>
                    <w:t>挤出</w:t>
                  </w:r>
                  <w:r>
                    <w:rPr>
                      <w:rFonts w:ascii="Times New Roman" w:eastAsia="宋体" w:hAnsi="Times New Roman" w:cs="Times New Roman" w:hint="eastAsia"/>
                      <w:color w:val="000000" w:themeColor="text1"/>
                      <w:szCs w:val="21"/>
                      <w:lang w:eastAsia="zh-CN"/>
                    </w:rPr>
                    <w:t>机、</w:t>
                  </w:r>
                  <w:r>
                    <w:rPr>
                      <w:rFonts w:ascii="Times New Roman" w:eastAsia="宋体" w:hAnsi="Times New Roman" w:cs="Times New Roman" w:hint="eastAsia"/>
                      <w:color w:val="000000" w:themeColor="text1"/>
                      <w:szCs w:val="21"/>
                      <w:lang w:val="en-US" w:eastAsia="zh-CN"/>
                    </w:rPr>
                    <w:t>涂布机</w:t>
                  </w:r>
                  <w:r>
                    <w:rPr>
                      <w:rFonts w:ascii="Times New Roman" w:eastAsia="宋体" w:hAnsi="Times New Roman" w:cs="Times New Roman" w:hint="eastAsia"/>
                      <w:color w:val="000000" w:themeColor="text1"/>
                      <w:szCs w:val="21"/>
                      <w:lang w:eastAsia="zh-CN"/>
                    </w:rPr>
                    <w:t>、</w:t>
                  </w:r>
                  <w:r>
                    <w:rPr>
                      <w:rFonts w:ascii="Times New Roman" w:eastAsia="宋体" w:hAnsi="Times New Roman" w:cs="Times New Roman" w:hint="eastAsia"/>
                      <w:color w:val="000000" w:themeColor="text1"/>
                      <w:szCs w:val="21"/>
                      <w:lang w:val="en-US" w:eastAsia="zh-CN"/>
                    </w:rPr>
                    <w:t>模压机、</w:t>
                  </w:r>
                  <w:r>
                    <w:rPr>
                      <w:rFonts w:ascii="Times New Roman" w:eastAsia="宋体" w:hAnsi="Times New Roman" w:cs="Times New Roman" w:hint="eastAsia"/>
                      <w:color w:val="000000" w:themeColor="text1"/>
                      <w:szCs w:val="21"/>
                      <w:lang w:eastAsia="zh-CN"/>
                    </w:rPr>
                    <w:t>分切机、</w:t>
                  </w:r>
                  <w:r>
                    <w:rPr>
                      <w:rFonts w:ascii="Times New Roman" w:eastAsia="宋体" w:hAnsi="Times New Roman" w:cs="Times New Roman" w:hint="eastAsia"/>
                      <w:color w:val="000000" w:themeColor="text1"/>
                      <w:szCs w:val="21"/>
                      <w:lang w:val="en-US" w:eastAsia="zh-CN"/>
                    </w:rPr>
                    <w:t>分散</w:t>
                  </w:r>
                  <w:r>
                    <w:rPr>
                      <w:rFonts w:ascii="Times New Roman" w:eastAsia="宋体" w:hAnsi="Times New Roman" w:cs="Times New Roman" w:hint="eastAsia"/>
                      <w:color w:val="000000" w:themeColor="text1"/>
                      <w:szCs w:val="21"/>
                      <w:lang w:eastAsia="zh-CN"/>
                    </w:rPr>
                    <w:t>机、空压机等生产设备共计1</w:t>
                  </w:r>
                  <w:r>
                    <w:rPr>
                      <w:rFonts w:ascii="Times New Roman" w:eastAsia="宋体" w:hAnsi="Times New Roman" w:cs="Times New Roman" w:hint="eastAsia"/>
                      <w:color w:val="000000" w:themeColor="text1"/>
                      <w:szCs w:val="21"/>
                      <w:lang w:val="en-US" w:eastAsia="zh-CN"/>
                    </w:rPr>
                    <w:t>9</w:t>
                  </w:r>
                  <w:r>
                    <w:rPr>
                      <w:rFonts w:ascii="Times New Roman" w:eastAsia="宋体" w:hAnsi="Times New Roman" w:cs="Times New Roman" w:hint="eastAsia"/>
                      <w:color w:val="000000" w:themeColor="text1"/>
                      <w:szCs w:val="21"/>
                      <w:lang w:eastAsia="zh-CN"/>
                    </w:rPr>
                    <w:t>台</w:t>
                  </w:r>
                  <w:r>
                    <w:rPr>
                      <w:rFonts w:hint="eastAsia"/>
                      <w:color w:val="000000" w:themeColor="text1"/>
                      <w:szCs w:val="21"/>
                    </w:rPr>
                    <w:t>。项目建成后年产3000吨医用级PET/PETG</w:t>
                  </w:r>
                  <w:r>
                    <w:rPr>
                      <w:rFonts w:hint="eastAsia"/>
                      <w:color w:val="000000" w:themeColor="text1"/>
                      <w:szCs w:val="21"/>
                      <w:lang w:val="en-US" w:eastAsia="zh-CN"/>
                    </w:rPr>
                    <w:t>片材</w:t>
                  </w:r>
                  <w:r>
                    <w:rPr>
                      <w:color w:val="000000" w:themeColor="text1"/>
                      <w:szCs w:val="21"/>
                    </w:rPr>
                    <w:t>。</w:t>
                  </w:r>
                </w:p>
              </w:tc>
              <w:tc>
                <w:tcPr>
                  <w:tcW w:w="892" w:type="pct"/>
                  <w:noWrap w:val="0"/>
                  <w:vAlign w:val="center"/>
                </w:tcPr>
                <w:p>
                  <w:pPr>
                    <w:jc w:val="center"/>
                    <w:rPr>
                      <w:rFonts w:hint="eastAsia"/>
                      <w:color w:val="000000"/>
                      <w:szCs w:val="21"/>
                      <w:highlight w:val="yellow"/>
                    </w:rPr>
                  </w:pPr>
                  <w:r>
                    <w:rPr>
                      <w:rFonts w:hint="eastAsia"/>
                      <w:color w:val="000000"/>
                      <w:szCs w:val="21"/>
                    </w:rPr>
                    <w:t>租赁</w:t>
                  </w:r>
                  <w:r>
                    <w:rPr>
                      <w:rFonts w:hint="eastAsia"/>
                      <w:color w:val="000000"/>
                      <w:szCs w:val="21"/>
                      <w:lang w:val="en-US" w:eastAsia="zh-CN"/>
                    </w:rPr>
                    <w:t>闲置</w:t>
                  </w:r>
                  <w:r>
                    <w:rPr>
                      <w:rFonts w:ascii="Times New Roman" w:eastAsia="宋体" w:hAnsi="Times New Roman" w:cs="Times New Roman" w:hint="eastAsia"/>
                      <w:color w:val="000000"/>
                      <w:szCs w:val="21"/>
                      <w:lang w:eastAsia="zh-CN"/>
                    </w:rPr>
                    <w:t>车间（</w:t>
                  </w:r>
                  <w:r>
                    <w:rPr>
                      <w:rFonts w:ascii="Times New Roman" w:eastAsia="宋体" w:hAnsi="Times New Roman" w:cs="Times New Roman" w:hint="eastAsia"/>
                      <w:color w:val="000000"/>
                      <w:szCs w:val="21"/>
                      <w:lang w:val="en-US" w:eastAsia="zh-CN"/>
                    </w:rPr>
                    <w:t>3号</w:t>
                  </w:r>
                  <w:r>
                    <w:rPr>
                      <w:rFonts w:ascii="Times New Roman" w:eastAsia="宋体" w:hAnsi="Times New Roman" w:cs="Times New Roman" w:hint="eastAsia"/>
                      <w:color w:val="000000"/>
                      <w:szCs w:val="21"/>
                      <w:lang w:eastAsia="zh-CN"/>
                    </w:rPr>
                    <w:t>）</w:t>
                  </w:r>
                </w:p>
              </w:tc>
            </w:tr>
            <w:tr>
              <w:tblPrEx>
                <w:tblW w:w="4998" w:type="pct"/>
                <w:jc w:val="center"/>
                <w:tblCellMar>
                  <w:top w:w="0" w:type="dxa"/>
                  <w:left w:w="108" w:type="dxa"/>
                  <w:bottom w:w="0" w:type="dxa"/>
                  <w:right w:w="108" w:type="dxa"/>
                </w:tblCellMar>
              </w:tblPrEx>
              <w:trPr>
                <w:trHeight w:val="657"/>
                <w:jc w:val="center"/>
              </w:trPr>
              <w:tc>
                <w:tcPr>
                  <w:tcW w:w="430" w:type="pct"/>
                  <w:noWrap w:val="0"/>
                  <w:vAlign w:val="center"/>
                </w:tcPr>
                <w:p>
                  <w:pPr>
                    <w:widowControl/>
                    <w:adjustRightInd w:val="0"/>
                    <w:jc w:val="center"/>
                    <w:rPr>
                      <w:color w:val="000000"/>
                      <w:szCs w:val="21"/>
                      <w:highlight w:val="yellow"/>
                    </w:rPr>
                  </w:pPr>
                  <w:r>
                    <w:rPr>
                      <w:color w:val="000000"/>
                      <w:szCs w:val="21"/>
                    </w:rPr>
                    <w:t>辅助工程</w:t>
                  </w:r>
                </w:p>
              </w:tc>
              <w:tc>
                <w:tcPr>
                  <w:tcW w:w="907" w:type="pct"/>
                  <w:noWrap w:val="0"/>
                  <w:vAlign w:val="center"/>
                </w:tcPr>
                <w:p>
                  <w:pPr>
                    <w:pStyle w:val="a2"/>
                    <w:widowControl/>
                    <w:snapToGrid w:val="0"/>
                    <w:spacing w:before="0" w:after="0"/>
                    <w:jc w:val="center"/>
                    <w:rPr>
                      <w:rFonts w:ascii="Times New Roman" w:eastAsia="宋体" w:hAnsi="Times New Roman" w:cs="Times New Roman"/>
                      <w:color w:val="000000"/>
                      <w:sz w:val="21"/>
                      <w:szCs w:val="21"/>
                      <w:lang w:val="en-US" w:eastAsia="zh-CN" w:bidi="ar-SA"/>
                    </w:rPr>
                  </w:pPr>
                  <w:r>
                    <w:rPr>
                      <w:color w:val="000000"/>
                      <w:sz w:val="21"/>
                      <w:szCs w:val="21"/>
                    </w:rPr>
                    <w:t>仓库</w:t>
                  </w:r>
                </w:p>
              </w:tc>
              <w:tc>
                <w:tcPr>
                  <w:tcW w:w="2770" w:type="pct"/>
                  <w:noWrap w:val="0"/>
                  <w:vAlign w:val="center"/>
                </w:tcPr>
                <w:p>
                  <w:pPr>
                    <w:widowControl/>
                    <w:jc w:val="left"/>
                    <w:rPr>
                      <w:color w:val="000000"/>
                      <w:szCs w:val="21"/>
                    </w:rPr>
                  </w:pPr>
                  <w:r>
                    <w:rPr>
                      <w:color w:val="000000"/>
                      <w:kern w:val="0"/>
                      <w:szCs w:val="21"/>
                    </w:rPr>
                    <w:t>1座1层，建筑面积</w:t>
                  </w:r>
                  <w:r>
                    <w:rPr>
                      <w:rFonts w:eastAsia="MicrosoftYaHei" w:hint="eastAsia"/>
                      <w:color w:val="000000"/>
                      <w:kern w:val="0"/>
                      <w:szCs w:val="21"/>
                      <w:lang w:bidi="ar"/>
                    </w:rPr>
                    <w:t>面积</w:t>
                  </w:r>
                  <w:r>
                    <w:rPr>
                      <w:rFonts w:ascii="Times New Roman" w:eastAsia="宋体" w:hAnsi="Times New Roman" w:cs="Times New Roman" w:hint="eastAsia"/>
                      <w:color w:val="000000"/>
                      <w:szCs w:val="21"/>
                      <w:lang w:val="en-US" w:eastAsia="zh-CN"/>
                    </w:rPr>
                    <w:t>3535.84</w:t>
                  </w:r>
                  <w:r>
                    <w:rPr>
                      <w:color w:val="000000"/>
                      <w:kern w:val="0"/>
                      <w:szCs w:val="21"/>
                    </w:rPr>
                    <w:t>m</w:t>
                  </w:r>
                  <w:r>
                    <w:rPr>
                      <w:color w:val="000000"/>
                      <w:kern w:val="0"/>
                      <w:szCs w:val="21"/>
                      <w:vertAlign w:val="superscript"/>
                    </w:rPr>
                    <w:t>2</w:t>
                  </w:r>
                  <w:r>
                    <w:rPr>
                      <w:rFonts w:eastAsia="MicrosoftYaHei"/>
                      <w:color w:val="000000"/>
                      <w:kern w:val="0"/>
                      <w:szCs w:val="21"/>
                      <w:lang w:bidi="ar"/>
                    </w:rPr>
                    <w:t>，</w:t>
                  </w:r>
                  <w:r>
                    <w:rPr>
                      <w:color w:val="000000"/>
                      <w:szCs w:val="21"/>
                    </w:rPr>
                    <w:t>用于存放原辅材料及成品</w:t>
                  </w:r>
                  <w:r>
                    <w:rPr>
                      <w:rFonts w:hint="eastAsia"/>
                      <w:color w:val="000000"/>
                      <w:szCs w:val="21"/>
                    </w:rPr>
                    <w:t>。</w:t>
                  </w:r>
                </w:p>
              </w:tc>
              <w:tc>
                <w:tcPr>
                  <w:tcW w:w="1500" w:type="dxa"/>
                  <w:noWrap w:val="0"/>
                  <w:vAlign w:val="center"/>
                </w:tcPr>
                <w:p>
                  <w:pPr>
                    <w:jc w:val="center"/>
                    <w:rPr>
                      <w:rFonts w:eastAsia="MicrosoftYaHei"/>
                      <w:color w:val="000000"/>
                      <w:kern w:val="0"/>
                      <w:szCs w:val="21"/>
                      <w:lang w:bidi="ar"/>
                    </w:rPr>
                  </w:pPr>
                  <w:r>
                    <w:rPr>
                      <w:rFonts w:hint="eastAsia"/>
                      <w:color w:val="000000"/>
                      <w:szCs w:val="21"/>
                    </w:rPr>
                    <w:t>租赁</w:t>
                  </w:r>
                  <w:r>
                    <w:rPr>
                      <w:rFonts w:hint="eastAsia"/>
                      <w:color w:val="000000"/>
                      <w:szCs w:val="21"/>
                      <w:lang w:val="en-US" w:eastAsia="zh-CN"/>
                    </w:rPr>
                    <w:t>闲置</w:t>
                  </w:r>
                  <w:r>
                    <w:rPr>
                      <w:rFonts w:ascii="Times New Roman" w:eastAsia="宋体" w:hAnsi="Times New Roman" w:cs="Times New Roman" w:hint="eastAsia"/>
                      <w:color w:val="000000"/>
                      <w:szCs w:val="21"/>
                      <w:lang w:eastAsia="zh-CN"/>
                    </w:rPr>
                    <w:t>车间（</w:t>
                  </w:r>
                  <w:r>
                    <w:rPr>
                      <w:rFonts w:cs="Times New Roman" w:hint="eastAsia"/>
                      <w:color w:val="000000"/>
                      <w:szCs w:val="21"/>
                      <w:lang w:val="en-US" w:eastAsia="zh-CN"/>
                    </w:rPr>
                    <w:t>2</w:t>
                  </w:r>
                  <w:r>
                    <w:rPr>
                      <w:rFonts w:ascii="Times New Roman" w:eastAsia="宋体" w:hAnsi="Times New Roman" w:cs="Times New Roman" w:hint="eastAsia"/>
                      <w:color w:val="000000"/>
                      <w:szCs w:val="21"/>
                      <w:lang w:val="en-US" w:eastAsia="zh-CN"/>
                    </w:rPr>
                    <w:t>号</w:t>
                  </w:r>
                  <w:r>
                    <w:rPr>
                      <w:rFonts w:ascii="Times New Roman" w:eastAsia="宋体" w:hAnsi="Times New Roman" w:cs="Times New Roman" w:hint="eastAsia"/>
                      <w:color w:val="000000"/>
                      <w:szCs w:val="21"/>
                      <w:lang w:eastAsia="zh-CN"/>
                    </w:rPr>
                    <w:t>）</w:t>
                  </w:r>
                </w:p>
              </w:tc>
            </w:tr>
            <w:tr>
              <w:tblPrEx>
                <w:tblW w:w="4998" w:type="pct"/>
                <w:jc w:val="center"/>
                <w:tblCellMar>
                  <w:top w:w="0" w:type="dxa"/>
                  <w:left w:w="108" w:type="dxa"/>
                  <w:bottom w:w="0" w:type="dxa"/>
                  <w:right w:w="108" w:type="dxa"/>
                </w:tblCellMar>
              </w:tblPrEx>
              <w:trPr>
                <w:trHeight w:val="627"/>
                <w:jc w:val="center"/>
              </w:trPr>
              <w:tc>
                <w:tcPr>
                  <w:tcW w:w="430" w:type="pct"/>
                  <w:vMerge w:val="restart"/>
                  <w:noWrap w:val="0"/>
                  <w:vAlign w:val="center"/>
                </w:tcPr>
                <w:p>
                  <w:pPr>
                    <w:widowControl/>
                    <w:adjustRightInd w:val="0"/>
                    <w:jc w:val="center"/>
                    <w:rPr>
                      <w:color w:val="000000"/>
                      <w:szCs w:val="21"/>
                    </w:rPr>
                  </w:pPr>
                  <w:r>
                    <w:rPr>
                      <w:color w:val="000000"/>
                      <w:szCs w:val="21"/>
                    </w:rPr>
                    <w:t>公用工程</w:t>
                  </w:r>
                </w:p>
              </w:tc>
              <w:tc>
                <w:tcPr>
                  <w:tcW w:w="907" w:type="pct"/>
                  <w:noWrap w:val="0"/>
                  <w:vAlign w:val="center"/>
                </w:tcPr>
                <w:p>
                  <w:pPr>
                    <w:widowControl/>
                    <w:adjustRightInd w:val="0"/>
                    <w:jc w:val="center"/>
                    <w:rPr>
                      <w:color w:val="000000"/>
                      <w:szCs w:val="21"/>
                    </w:rPr>
                  </w:pPr>
                  <w:r>
                    <w:rPr>
                      <w:rFonts w:hint="eastAsia"/>
                      <w:color w:val="000000"/>
                      <w:szCs w:val="21"/>
                    </w:rPr>
                    <w:t>供</w:t>
                  </w:r>
                  <w:r>
                    <w:rPr>
                      <w:color w:val="000000"/>
                      <w:szCs w:val="21"/>
                    </w:rPr>
                    <w:t>水</w:t>
                  </w:r>
                </w:p>
              </w:tc>
              <w:tc>
                <w:tcPr>
                  <w:tcW w:w="3662" w:type="pct"/>
                  <w:gridSpan w:val="2"/>
                  <w:noWrap w:val="0"/>
                  <w:vAlign w:val="center"/>
                </w:tcPr>
                <w:p>
                  <w:pPr>
                    <w:adjustRightInd w:val="0"/>
                    <w:snapToGrid w:val="0"/>
                    <w:rPr>
                      <w:rFonts w:hint="eastAsia"/>
                      <w:color w:val="000000"/>
                      <w:szCs w:val="21"/>
                    </w:rPr>
                  </w:pPr>
                  <w:r>
                    <w:rPr>
                      <w:color w:val="000000"/>
                      <w:szCs w:val="21"/>
                    </w:rPr>
                    <w:t>项目用水主要为</w:t>
                  </w:r>
                  <w:r>
                    <w:rPr>
                      <w:rFonts w:hint="eastAsia"/>
                      <w:color w:val="000000"/>
                      <w:szCs w:val="21"/>
                    </w:rPr>
                    <w:t>循环冷却</w:t>
                  </w:r>
                  <w:r>
                    <w:rPr>
                      <w:color w:val="000000"/>
                      <w:szCs w:val="21"/>
                    </w:rPr>
                    <w:t>用水和生活用水</w:t>
                  </w:r>
                  <w:r>
                    <w:rPr>
                      <w:rFonts w:hint="eastAsia"/>
                      <w:color w:val="000000"/>
                      <w:szCs w:val="21"/>
                    </w:rPr>
                    <w:t>，由平原县供水管网提供。</w:t>
                  </w:r>
                </w:p>
              </w:tc>
            </w:tr>
            <w:tr>
              <w:tblPrEx>
                <w:tblW w:w="4998" w:type="pct"/>
                <w:jc w:val="center"/>
                <w:tblCellMar>
                  <w:top w:w="0" w:type="dxa"/>
                  <w:left w:w="108" w:type="dxa"/>
                  <w:bottom w:w="0" w:type="dxa"/>
                  <w:right w:w="108" w:type="dxa"/>
                </w:tblCellMar>
              </w:tblPrEx>
              <w:trPr>
                <w:trHeight w:hRule="exact" w:val="567"/>
                <w:jc w:val="center"/>
              </w:trPr>
              <w:tc>
                <w:tcPr>
                  <w:tcW w:w="430" w:type="pct"/>
                  <w:vMerge/>
                  <w:noWrap w:val="0"/>
                  <w:vAlign w:val="center"/>
                </w:tcPr>
                <w:p>
                  <w:pPr>
                    <w:widowControl/>
                    <w:adjustRightInd w:val="0"/>
                    <w:jc w:val="center"/>
                    <w:rPr>
                      <w:color w:val="000000"/>
                      <w:szCs w:val="21"/>
                    </w:rPr>
                  </w:pPr>
                </w:p>
              </w:tc>
              <w:tc>
                <w:tcPr>
                  <w:tcW w:w="907" w:type="pct"/>
                  <w:noWrap w:val="0"/>
                  <w:vAlign w:val="center"/>
                </w:tcPr>
                <w:p>
                  <w:pPr>
                    <w:widowControl/>
                    <w:adjustRightInd w:val="0"/>
                    <w:jc w:val="center"/>
                    <w:rPr>
                      <w:color w:val="000000"/>
                      <w:szCs w:val="21"/>
                    </w:rPr>
                  </w:pPr>
                  <w:r>
                    <w:rPr>
                      <w:color w:val="000000"/>
                      <w:szCs w:val="21"/>
                    </w:rPr>
                    <w:t>供电</w:t>
                  </w:r>
                </w:p>
              </w:tc>
              <w:tc>
                <w:tcPr>
                  <w:tcW w:w="3662" w:type="pct"/>
                  <w:gridSpan w:val="2"/>
                  <w:noWrap w:val="0"/>
                  <w:vAlign w:val="center"/>
                </w:tcPr>
                <w:p>
                  <w:pPr>
                    <w:adjustRightInd w:val="0"/>
                    <w:snapToGrid w:val="0"/>
                    <w:rPr>
                      <w:rFonts w:hint="eastAsia"/>
                      <w:color w:val="000000"/>
                      <w:kern w:val="0"/>
                      <w:szCs w:val="21"/>
                    </w:rPr>
                  </w:pPr>
                  <w:r>
                    <w:rPr>
                      <w:rFonts w:hint="eastAsia"/>
                      <w:color w:val="000000"/>
                      <w:szCs w:val="21"/>
                    </w:rPr>
                    <w:t>项目用电量为54</w:t>
                  </w:r>
                  <w:r>
                    <w:rPr>
                      <w:rFonts w:hint="eastAsia"/>
                      <w:color w:val="000000"/>
                      <w:szCs w:val="21"/>
                      <w:lang w:val="en-US" w:eastAsia="zh-CN"/>
                    </w:rPr>
                    <w:t>万</w:t>
                  </w:r>
                  <w:r>
                    <w:rPr>
                      <w:color w:val="000000"/>
                      <w:kern w:val="0"/>
                      <w:szCs w:val="21"/>
                      <w:lang w:val="zh-CN"/>
                    </w:rPr>
                    <w:t>k</w:t>
                  </w:r>
                  <w:r>
                    <w:rPr>
                      <w:rFonts w:hint="eastAsia"/>
                      <w:color w:val="000000"/>
                      <w:kern w:val="0"/>
                      <w:szCs w:val="21"/>
                    </w:rPr>
                    <w:t>W</w:t>
                  </w:r>
                  <w:r>
                    <w:rPr>
                      <w:color w:val="000000"/>
                      <w:kern w:val="0"/>
                      <w:szCs w:val="21"/>
                      <w:lang w:val="zh-CN"/>
                    </w:rPr>
                    <w:t>h</w:t>
                  </w:r>
                  <w:r>
                    <w:rPr>
                      <w:rFonts w:hint="eastAsia"/>
                      <w:color w:val="000000"/>
                      <w:kern w:val="0"/>
                      <w:szCs w:val="21"/>
                    </w:rPr>
                    <w:t>/a，</w:t>
                  </w:r>
                  <w:r>
                    <w:rPr>
                      <w:color w:val="000000"/>
                      <w:kern w:val="0"/>
                      <w:szCs w:val="21"/>
                    </w:rPr>
                    <w:t>由平原县</w:t>
                  </w:r>
                  <w:r>
                    <w:rPr>
                      <w:rFonts w:hint="eastAsia"/>
                      <w:color w:val="000000"/>
                      <w:kern w:val="0"/>
                      <w:szCs w:val="21"/>
                    </w:rPr>
                    <w:t>供电管网</w:t>
                  </w:r>
                  <w:r>
                    <w:rPr>
                      <w:color w:val="000000"/>
                      <w:kern w:val="0"/>
                      <w:szCs w:val="21"/>
                    </w:rPr>
                    <w:t>提供</w:t>
                  </w:r>
                  <w:r>
                    <w:rPr>
                      <w:rFonts w:hint="eastAsia"/>
                      <w:color w:val="000000"/>
                      <w:kern w:val="0"/>
                      <w:szCs w:val="21"/>
                    </w:rPr>
                    <w:t>。</w:t>
                  </w:r>
                </w:p>
              </w:tc>
            </w:tr>
            <w:tr>
              <w:tblPrEx>
                <w:tblW w:w="4998" w:type="pct"/>
                <w:jc w:val="center"/>
                <w:tblCellMar>
                  <w:top w:w="0" w:type="dxa"/>
                  <w:left w:w="108" w:type="dxa"/>
                  <w:bottom w:w="0" w:type="dxa"/>
                  <w:right w:w="108" w:type="dxa"/>
                </w:tblCellMar>
              </w:tblPrEx>
              <w:trPr>
                <w:trHeight w:hRule="exact" w:val="567"/>
                <w:jc w:val="center"/>
              </w:trPr>
              <w:tc>
                <w:tcPr>
                  <w:tcW w:w="430" w:type="pct"/>
                  <w:vMerge/>
                  <w:noWrap w:val="0"/>
                  <w:vAlign w:val="center"/>
                </w:tcPr>
                <w:p>
                  <w:pPr>
                    <w:adjustRightInd w:val="0"/>
                    <w:snapToGrid w:val="0"/>
                    <w:jc w:val="center"/>
                    <w:rPr>
                      <w:color w:val="000000"/>
                      <w:szCs w:val="21"/>
                    </w:rPr>
                  </w:pPr>
                </w:p>
              </w:tc>
              <w:tc>
                <w:tcPr>
                  <w:tcW w:w="907" w:type="pct"/>
                  <w:noWrap w:val="0"/>
                  <w:vAlign w:val="center"/>
                </w:tcPr>
                <w:p>
                  <w:pPr>
                    <w:widowControl/>
                    <w:adjustRightInd w:val="0"/>
                    <w:jc w:val="center"/>
                    <w:rPr>
                      <w:rFonts w:hint="eastAsia"/>
                      <w:color w:val="000000"/>
                      <w:szCs w:val="21"/>
                    </w:rPr>
                  </w:pPr>
                  <w:r>
                    <w:rPr>
                      <w:rFonts w:hint="eastAsia"/>
                      <w:color w:val="000000"/>
                      <w:szCs w:val="21"/>
                    </w:rPr>
                    <w:t>供热</w:t>
                  </w:r>
                </w:p>
              </w:tc>
              <w:tc>
                <w:tcPr>
                  <w:tcW w:w="3662" w:type="pct"/>
                  <w:gridSpan w:val="2"/>
                  <w:noWrap w:val="0"/>
                  <w:vAlign w:val="center"/>
                </w:tcPr>
                <w:p>
                  <w:pPr>
                    <w:adjustRightInd w:val="0"/>
                    <w:snapToGrid w:val="0"/>
                    <w:rPr>
                      <w:color w:val="000000"/>
                      <w:kern w:val="0"/>
                      <w:szCs w:val="21"/>
                    </w:rPr>
                  </w:pPr>
                  <w:r>
                    <w:rPr>
                      <w:rFonts w:hint="eastAsia"/>
                      <w:color w:val="000000"/>
                      <w:szCs w:val="21"/>
                    </w:rPr>
                    <w:t>项目熔融挤出、干燥采用电加热</w:t>
                  </w:r>
                  <w:r>
                    <w:rPr>
                      <w:rFonts w:hint="eastAsia"/>
                      <w:color w:val="000000"/>
                      <w:szCs w:val="21"/>
                      <w:lang w:eastAsia="zh-CN"/>
                    </w:rPr>
                    <w:t>，</w:t>
                  </w:r>
                  <w:r>
                    <w:rPr>
                      <w:rFonts w:hint="eastAsia"/>
                      <w:color w:val="000000"/>
                      <w:szCs w:val="21"/>
                      <w:lang w:val="en-US" w:eastAsia="zh-CN"/>
                    </w:rPr>
                    <w:t>模压复合</w:t>
                  </w:r>
                  <w:r>
                    <w:rPr>
                      <w:rFonts w:hint="eastAsia"/>
                      <w:color w:val="000000"/>
                      <w:szCs w:val="21"/>
                    </w:rPr>
                    <w:t>采用</w:t>
                  </w:r>
                  <w:r>
                    <w:rPr>
                      <w:rFonts w:hint="eastAsia"/>
                      <w:color w:val="000000"/>
                      <w:szCs w:val="21"/>
                      <w:lang w:val="en-US" w:eastAsia="zh-CN"/>
                    </w:rPr>
                    <w:t>导热油</w:t>
                  </w:r>
                  <w:r>
                    <w:rPr>
                      <w:rFonts w:hint="eastAsia"/>
                      <w:color w:val="000000"/>
                      <w:szCs w:val="21"/>
                    </w:rPr>
                    <w:t>加热。</w:t>
                  </w:r>
                </w:p>
              </w:tc>
            </w:tr>
            <w:tr>
              <w:tblPrEx>
                <w:tblW w:w="4998" w:type="pct"/>
                <w:jc w:val="center"/>
                <w:tblCellMar>
                  <w:top w:w="0" w:type="dxa"/>
                  <w:left w:w="108" w:type="dxa"/>
                  <w:bottom w:w="0" w:type="dxa"/>
                  <w:right w:w="108" w:type="dxa"/>
                </w:tblCellMar>
              </w:tblPrEx>
              <w:trPr>
                <w:trHeight w:val="1255"/>
                <w:jc w:val="center"/>
              </w:trPr>
              <w:tc>
                <w:tcPr>
                  <w:tcW w:w="430" w:type="pct"/>
                  <w:vMerge w:val="restart"/>
                  <w:noWrap w:val="0"/>
                  <w:vAlign w:val="center"/>
                </w:tcPr>
                <w:p>
                  <w:pPr>
                    <w:widowControl/>
                    <w:adjustRightInd w:val="0"/>
                    <w:jc w:val="center"/>
                    <w:rPr>
                      <w:color w:val="000000"/>
                      <w:szCs w:val="21"/>
                    </w:rPr>
                  </w:pPr>
                  <w:r>
                    <w:rPr>
                      <w:color w:val="000000"/>
                      <w:szCs w:val="21"/>
                    </w:rPr>
                    <w:t>环保工程</w:t>
                  </w:r>
                </w:p>
              </w:tc>
              <w:tc>
                <w:tcPr>
                  <w:tcW w:w="907" w:type="pct"/>
                  <w:noWrap w:val="0"/>
                  <w:vAlign w:val="center"/>
                </w:tcPr>
                <w:p>
                  <w:pPr>
                    <w:adjustRightInd w:val="0"/>
                    <w:jc w:val="center"/>
                    <w:rPr>
                      <w:color w:val="000000"/>
                      <w:szCs w:val="21"/>
                    </w:rPr>
                  </w:pPr>
                  <w:r>
                    <w:rPr>
                      <w:color w:val="000000"/>
                      <w:szCs w:val="21"/>
                    </w:rPr>
                    <w:t>废气</w:t>
                  </w:r>
                </w:p>
              </w:tc>
              <w:tc>
                <w:tcPr>
                  <w:tcW w:w="3662" w:type="pct"/>
                  <w:gridSpan w:val="2"/>
                  <w:noWrap w:val="0"/>
                  <w:vAlign w:val="center"/>
                </w:tcPr>
                <w:p>
                  <w:pPr>
                    <w:rPr>
                      <w:rFonts w:hint="eastAsia"/>
                      <w:color w:val="000000"/>
                      <w:szCs w:val="21"/>
                      <w:highlight w:val="none"/>
                    </w:rPr>
                  </w:pPr>
                  <w:r>
                    <w:rPr>
                      <w:rFonts w:hint="eastAsia"/>
                      <w:color w:val="000000"/>
                      <w:szCs w:val="21"/>
                    </w:rPr>
                    <w:t>熔融挤出</w:t>
                  </w:r>
                  <w:r>
                    <w:rPr>
                      <w:rFonts w:hint="eastAsia"/>
                      <w:color w:val="000000"/>
                      <w:szCs w:val="21"/>
                      <w:lang w:val="en-US" w:eastAsia="zh-CN"/>
                    </w:rPr>
                    <w:t>位于单独密闭空间，水性触感油涂油、干燥位于单独密闭空间，模压复合位于单独密闭空间，产生的有机废气经</w:t>
                  </w:r>
                  <w:r>
                    <w:rPr>
                      <w:color w:val="000000"/>
                      <w:szCs w:val="21"/>
                    </w:rPr>
                    <w:t>集气罩</w:t>
                  </w:r>
                  <w:r>
                    <w:rPr>
                      <w:rFonts w:hint="eastAsia"/>
                      <w:color w:val="000000"/>
                      <w:szCs w:val="21"/>
                      <w:lang w:val="en-US" w:eastAsia="zh-CN"/>
                    </w:rPr>
                    <w:t>+软帘</w:t>
                  </w:r>
                  <w:r>
                    <w:rPr>
                      <w:color w:val="000000"/>
                      <w:szCs w:val="21"/>
                    </w:rPr>
                    <w:t>收集</w:t>
                  </w:r>
                  <w:r>
                    <w:rPr>
                      <w:rFonts w:hint="eastAsia"/>
                      <w:color w:val="000000"/>
                      <w:szCs w:val="21"/>
                    </w:rPr>
                    <w:t>后</w:t>
                  </w:r>
                  <w:r>
                    <w:rPr>
                      <w:rFonts w:hint="eastAsia"/>
                      <w:color w:val="000000"/>
                      <w:szCs w:val="21"/>
                      <w:lang w:val="en-US" w:eastAsia="zh-CN"/>
                    </w:rPr>
                    <w:t>进入一套</w:t>
                  </w:r>
                  <w:r>
                    <w:rPr>
                      <w:rFonts w:hint="eastAsia"/>
                      <w:color w:val="000000"/>
                      <w:szCs w:val="21"/>
                    </w:rPr>
                    <w:t>活性炭吸附装置</w:t>
                  </w:r>
                  <w:r>
                    <w:rPr>
                      <w:color w:val="000000"/>
                      <w:szCs w:val="21"/>
                    </w:rPr>
                    <w:t>处理后</w:t>
                  </w:r>
                  <w:r>
                    <w:rPr>
                      <w:rFonts w:hint="eastAsia"/>
                      <w:color w:val="000000"/>
                      <w:szCs w:val="21"/>
                    </w:rPr>
                    <w:t>通过1根</w:t>
                  </w:r>
                  <w:r>
                    <w:rPr>
                      <w:color w:val="000000"/>
                      <w:szCs w:val="21"/>
                    </w:rPr>
                    <w:t>15m排气筒排放</w:t>
                  </w:r>
                  <w:r>
                    <w:rPr>
                      <w:rFonts w:hint="eastAsia"/>
                      <w:color w:val="000000"/>
                      <w:szCs w:val="21"/>
                      <w:highlight w:val="none"/>
                    </w:rPr>
                    <w:t>。未</w:t>
                  </w:r>
                  <w:r>
                    <w:rPr>
                      <w:rFonts w:hint="eastAsia"/>
                      <w:color w:val="000000"/>
                      <w:szCs w:val="21"/>
                      <w:highlight w:val="none"/>
                      <w:lang w:val="en-US" w:eastAsia="zh-CN"/>
                    </w:rPr>
                    <w:t>能</w:t>
                  </w:r>
                  <w:r>
                    <w:rPr>
                      <w:rFonts w:hint="eastAsia"/>
                      <w:color w:val="000000"/>
                      <w:szCs w:val="21"/>
                      <w:highlight w:val="none"/>
                    </w:rPr>
                    <w:t>收集的有机废气车间无组织排放。</w:t>
                  </w:r>
                </w:p>
              </w:tc>
            </w:tr>
            <w:tr>
              <w:tblPrEx>
                <w:tblW w:w="4998" w:type="pct"/>
                <w:jc w:val="center"/>
                <w:tblCellMar>
                  <w:top w:w="0" w:type="dxa"/>
                  <w:left w:w="108" w:type="dxa"/>
                  <w:bottom w:w="0" w:type="dxa"/>
                  <w:right w:w="108" w:type="dxa"/>
                </w:tblCellMar>
              </w:tblPrEx>
              <w:trPr>
                <w:trHeight w:val="897"/>
                <w:jc w:val="center"/>
              </w:trPr>
              <w:tc>
                <w:tcPr>
                  <w:tcW w:w="430" w:type="pct"/>
                  <w:vMerge/>
                  <w:noWrap w:val="0"/>
                  <w:vAlign w:val="center"/>
                </w:tcPr>
                <w:p>
                  <w:pPr>
                    <w:shd w:val="clear" w:color="auto" w:fill="FFFFFF"/>
                    <w:adjustRightInd w:val="0"/>
                    <w:snapToGrid w:val="0"/>
                    <w:jc w:val="center"/>
                    <w:rPr>
                      <w:color w:val="000000"/>
                      <w:szCs w:val="21"/>
                    </w:rPr>
                  </w:pPr>
                </w:p>
              </w:tc>
              <w:tc>
                <w:tcPr>
                  <w:tcW w:w="907" w:type="pct"/>
                  <w:noWrap w:val="0"/>
                  <w:vAlign w:val="center"/>
                </w:tcPr>
                <w:p>
                  <w:pPr>
                    <w:widowControl/>
                    <w:adjustRightInd w:val="0"/>
                    <w:jc w:val="center"/>
                    <w:rPr>
                      <w:color w:val="000000"/>
                      <w:szCs w:val="21"/>
                    </w:rPr>
                  </w:pPr>
                  <w:r>
                    <w:rPr>
                      <w:color w:val="000000"/>
                      <w:szCs w:val="21"/>
                    </w:rPr>
                    <w:t>废水</w:t>
                  </w:r>
                </w:p>
              </w:tc>
              <w:tc>
                <w:tcPr>
                  <w:tcW w:w="3662" w:type="pct"/>
                  <w:gridSpan w:val="2"/>
                  <w:noWrap w:val="0"/>
                  <w:vAlign w:val="center"/>
                </w:tcPr>
                <w:p>
                  <w:pPr>
                    <w:widowControl/>
                    <w:adjustRightInd w:val="0"/>
                    <w:rPr>
                      <w:rFonts w:hint="eastAsia"/>
                      <w:color w:val="000000"/>
                      <w:szCs w:val="21"/>
                    </w:rPr>
                  </w:pPr>
                  <w:r>
                    <w:rPr>
                      <w:color w:val="000000"/>
                      <w:szCs w:val="21"/>
                    </w:rPr>
                    <w:t>项目</w:t>
                  </w:r>
                  <w:r>
                    <w:rPr>
                      <w:rFonts w:hint="eastAsia"/>
                      <w:color w:val="000000"/>
                      <w:szCs w:val="21"/>
                    </w:rPr>
                    <w:t>循环冷却水循环使用，定期补充，不</w:t>
                  </w:r>
                  <w:r>
                    <w:rPr>
                      <w:color w:val="000000"/>
                      <w:szCs w:val="21"/>
                    </w:rPr>
                    <w:t>排放</w:t>
                  </w:r>
                  <w:r>
                    <w:rPr>
                      <w:rFonts w:hint="eastAsia"/>
                      <w:color w:val="000000"/>
                      <w:szCs w:val="21"/>
                    </w:rPr>
                    <w:t>；生活污水</w:t>
                  </w:r>
                  <w:r>
                    <w:rPr>
                      <w:color w:val="000000"/>
                      <w:szCs w:val="21"/>
                    </w:rPr>
                    <w:t>经化粪池处理后排入</w:t>
                  </w:r>
                  <w:r>
                    <w:rPr>
                      <w:rFonts w:hint="eastAsia"/>
                      <w:color w:val="000000"/>
                      <w:szCs w:val="21"/>
                    </w:rPr>
                    <w:t>市政</w:t>
                  </w:r>
                  <w:r>
                    <w:rPr>
                      <w:color w:val="000000"/>
                      <w:szCs w:val="21"/>
                    </w:rPr>
                    <w:t>管网由</w:t>
                  </w:r>
                  <w:r>
                    <w:rPr>
                      <w:rFonts w:hint="eastAsia"/>
                      <w:color w:val="000000"/>
                      <w:szCs w:val="21"/>
                    </w:rPr>
                    <w:t>平原县中设水务有限公司</w:t>
                  </w:r>
                  <w:r>
                    <w:rPr>
                      <w:color w:val="000000"/>
                      <w:szCs w:val="21"/>
                    </w:rPr>
                    <w:t>集中处理后达标排放。</w:t>
                  </w:r>
                </w:p>
              </w:tc>
            </w:tr>
            <w:tr>
              <w:tblPrEx>
                <w:tblW w:w="4998" w:type="pct"/>
                <w:jc w:val="center"/>
                <w:tblCellMar>
                  <w:top w:w="0" w:type="dxa"/>
                  <w:left w:w="108" w:type="dxa"/>
                  <w:bottom w:w="0" w:type="dxa"/>
                  <w:right w:w="108" w:type="dxa"/>
                </w:tblCellMar>
              </w:tblPrEx>
              <w:trPr>
                <w:trHeight w:val="1171"/>
                <w:jc w:val="center"/>
              </w:trPr>
              <w:tc>
                <w:tcPr>
                  <w:tcW w:w="430" w:type="pct"/>
                  <w:vMerge/>
                  <w:noWrap w:val="0"/>
                  <w:vAlign w:val="center"/>
                </w:tcPr>
                <w:p>
                  <w:pPr>
                    <w:shd w:val="clear" w:color="auto" w:fill="FFFFFF"/>
                    <w:adjustRightInd w:val="0"/>
                    <w:snapToGrid w:val="0"/>
                    <w:jc w:val="center"/>
                    <w:rPr>
                      <w:color w:val="000000"/>
                      <w:szCs w:val="21"/>
                    </w:rPr>
                  </w:pPr>
                </w:p>
              </w:tc>
              <w:tc>
                <w:tcPr>
                  <w:tcW w:w="907" w:type="pct"/>
                  <w:noWrap w:val="0"/>
                  <w:vAlign w:val="center"/>
                </w:tcPr>
                <w:p>
                  <w:pPr>
                    <w:widowControl/>
                    <w:adjustRightInd w:val="0"/>
                    <w:jc w:val="center"/>
                    <w:rPr>
                      <w:color w:val="000000"/>
                      <w:szCs w:val="21"/>
                    </w:rPr>
                  </w:pPr>
                  <w:r>
                    <w:rPr>
                      <w:color w:val="000000"/>
                      <w:szCs w:val="21"/>
                    </w:rPr>
                    <w:t>固体废物</w:t>
                  </w:r>
                </w:p>
              </w:tc>
              <w:tc>
                <w:tcPr>
                  <w:tcW w:w="3662" w:type="pct"/>
                  <w:gridSpan w:val="2"/>
                  <w:noWrap w:val="0"/>
                  <w:vAlign w:val="center"/>
                </w:tcPr>
                <w:p>
                  <w:pPr>
                    <w:widowControl/>
                    <w:adjustRightInd w:val="0"/>
                    <w:rPr>
                      <w:rFonts w:hint="eastAsia"/>
                      <w:color w:val="000000"/>
                      <w:szCs w:val="21"/>
                    </w:rPr>
                  </w:pPr>
                  <w:r>
                    <w:rPr>
                      <w:rFonts w:hint="eastAsia"/>
                      <w:color w:val="000000"/>
                      <w:szCs w:val="21"/>
                    </w:rPr>
                    <w:t>废包装、</w:t>
                  </w:r>
                  <w:r>
                    <w:rPr>
                      <w:color w:val="000000"/>
                      <w:szCs w:val="21"/>
                    </w:rPr>
                    <w:t>下脚料</w:t>
                  </w:r>
                  <w:r>
                    <w:rPr>
                      <w:rFonts w:hint="eastAsia"/>
                      <w:color w:val="000000"/>
                      <w:szCs w:val="21"/>
                    </w:rPr>
                    <w:t>分类收集后外售综合利用</w:t>
                  </w:r>
                  <w:r>
                    <w:rPr>
                      <w:color w:val="000000"/>
                      <w:szCs w:val="21"/>
                    </w:rPr>
                    <w:t>；</w:t>
                  </w:r>
                  <w:r>
                    <w:rPr>
                      <w:rFonts w:hint="eastAsia"/>
                      <w:color w:val="000000"/>
                      <w:szCs w:val="21"/>
                      <w:lang w:val="en-US" w:eastAsia="zh-CN"/>
                    </w:rPr>
                    <w:t>废UV油桶、废水性触感油桶</w:t>
                  </w:r>
                  <w:r>
                    <w:rPr>
                      <w:rFonts w:hint="eastAsia"/>
                      <w:color w:val="000000"/>
                      <w:szCs w:val="21"/>
                    </w:rPr>
                    <w:t>危废间分类暂存，</w:t>
                  </w:r>
                  <w:r>
                    <w:rPr>
                      <w:rFonts w:hint="eastAsia"/>
                      <w:color w:val="000000"/>
                      <w:szCs w:val="21"/>
                      <w:lang w:val="en-US" w:eastAsia="zh-CN"/>
                    </w:rPr>
                    <w:t>厂家回收再利用</w:t>
                  </w:r>
                  <w:r>
                    <w:rPr>
                      <w:rFonts w:hint="eastAsia"/>
                      <w:color w:val="000000"/>
                      <w:szCs w:val="21"/>
                      <w:lang w:eastAsia="zh-CN"/>
                    </w:rPr>
                    <w:t>，</w:t>
                  </w:r>
                  <w:r>
                    <w:rPr>
                      <w:rFonts w:hint="eastAsia"/>
                      <w:color w:val="000000"/>
                      <w:szCs w:val="21"/>
                      <w:lang w:val="en-US" w:eastAsia="zh-CN"/>
                    </w:rPr>
                    <w:t>废导热油</w:t>
                  </w:r>
                  <w:r>
                    <w:rPr>
                      <w:rFonts w:hint="eastAsia"/>
                      <w:color w:val="000000"/>
                      <w:szCs w:val="21"/>
                    </w:rPr>
                    <w:t>危废间暂存，</w:t>
                  </w:r>
                  <w:r>
                    <w:rPr>
                      <w:rFonts w:hint="eastAsia"/>
                      <w:color w:val="000000"/>
                      <w:szCs w:val="21"/>
                      <w:lang w:val="en-US" w:eastAsia="zh-CN"/>
                    </w:rPr>
                    <w:t>厂家回收再生利用</w:t>
                  </w:r>
                  <w:r>
                    <w:rPr>
                      <w:rFonts w:hint="eastAsia"/>
                      <w:color w:val="000000"/>
                      <w:szCs w:val="21"/>
                      <w:lang w:eastAsia="zh-CN"/>
                    </w:rPr>
                    <w:t>，</w:t>
                  </w:r>
                  <w:r>
                    <w:rPr>
                      <w:rFonts w:hint="eastAsia"/>
                      <w:color w:val="000000"/>
                      <w:szCs w:val="21"/>
                    </w:rPr>
                    <w:t>废UV灯管、</w:t>
                  </w:r>
                  <w:r>
                    <w:rPr>
                      <w:color w:val="000000"/>
                      <w:szCs w:val="21"/>
                    </w:rPr>
                    <w:t>废活性炭</w:t>
                  </w:r>
                  <w:r>
                    <w:rPr>
                      <w:rFonts w:hint="eastAsia"/>
                      <w:color w:val="000000"/>
                      <w:szCs w:val="21"/>
                    </w:rPr>
                    <w:t>危废间分类暂存，</w:t>
                  </w:r>
                  <w:r>
                    <w:rPr>
                      <w:color w:val="000000"/>
                      <w:szCs w:val="21"/>
                    </w:rPr>
                    <w:t>委托有资质单位处置；生活垃圾由环卫部门定期清运。</w:t>
                  </w:r>
                </w:p>
              </w:tc>
            </w:tr>
            <w:tr>
              <w:tblPrEx>
                <w:tblW w:w="4998" w:type="pct"/>
                <w:jc w:val="center"/>
                <w:tblCellMar>
                  <w:top w:w="0" w:type="dxa"/>
                  <w:left w:w="108" w:type="dxa"/>
                  <w:bottom w:w="0" w:type="dxa"/>
                  <w:right w:w="108" w:type="dxa"/>
                </w:tblCellMar>
              </w:tblPrEx>
              <w:trPr>
                <w:trHeight w:hRule="exact" w:val="680"/>
                <w:jc w:val="center"/>
              </w:trPr>
              <w:tc>
                <w:tcPr>
                  <w:tcW w:w="430" w:type="pct"/>
                  <w:vMerge/>
                  <w:noWrap w:val="0"/>
                  <w:vAlign w:val="center"/>
                </w:tcPr>
                <w:p>
                  <w:pPr>
                    <w:shd w:val="clear" w:color="auto" w:fill="FFFFFF"/>
                    <w:adjustRightInd w:val="0"/>
                    <w:snapToGrid w:val="0"/>
                    <w:jc w:val="center"/>
                    <w:rPr>
                      <w:color w:val="000000"/>
                      <w:szCs w:val="21"/>
                    </w:rPr>
                  </w:pPr>
                </w:p>
              </w:tc>
              <w:tc>
                <w:tcPr>
                  <w:tcW w:w="907" w:type="pct"/>
                  <w:noWrap w:val="0"/>
                  <w:vAlign w:val="center"/>
                </w:tcPr>
                <w:p>
                  <w:pPr>
                    <w:widowControl/>
                    <w:adjustRightInd w:val="0"/>
                    <w:jc w:val="center"/>
                    <w:rPr>
                      <w:color w:val="000000"/>
                      <w:szCs w:val="21"/>
                    </w:rPr>
                  </w:pPr>
                  <w:r>
                    <w:rPr>
                      <w:color w:val="000000"/>
                      <w:szCs w:val="21"/>
                    </w:rPr>
                    <w:t>噪声</w:t>
                  </w:r>
                </w:p>
              </w:tc>
              <w:tc>
                <w:tcPr>
                  <w:tcW w:w="3662" w:type="pct"/>
                  <w:gridSpan w:val="2"/>
                  <w:noWrap w:val="0"/>
                  <w:vAlign w:val="center"/>
                </w:tcPr>
                <w:p>
                  <w:pPr>
                    <w:widowControl/>
                    <w:adjustRightInd w:val="0"/>
                    <w:rPr>
                      <w:rFonts w:hint="eastAsia"/>
                      <w:color w:val="000000"/>
                      <w:szCs w:val="21"/>
                    </w:rPr>
                  </w:pPr>
                  <w:r>
                    <w:rPr>
                      <w:color w:val="000000"/>
                      <w:szCs w:val="21"/>
                    </w:rPr>
                    <w:t>选用低噪声设备、车间内合理布局、基础减振、</w:t>
                  </w:r>
                  <w:r>
                    <w:rPr>
                      <w:rFonts w:hint="eastAsia"/>
                      <w:color w:val="000000"/>
                      <w:szCs w:val="21"/>
                      <w:lang w:val="en-US" w:eastAsia="zh-CN"/>
                    </w:rPr>
                    <w:t>隔声罩</w:t>
                  </w:r>
                  <w:r>
                    <w:rPr>
                      <w:color w:val="000000"/>
                      <w:szCs w:val="21"/>
                    </w:rPr>
                    <w:t>、建筑隔声、距离衰减等</w:t>
                  </w:r>
                  <w:r>
                    <w:rPr>
                      <w:color w:val="000000"/>
                      <w:kern w:val="0"/>
                      <w:szCs w:val="21"/>
                    </w:rPr>
                    <w:t>。</w:t>
                  </w:r>
                </w:p>
              </w:tc>
            </w:tr>
          </w:tbl>
          <w:p/>
        </w:tc>
      </w:tr>
    </w:tbl>
    <w:p>
      <w:pPr>
        <w:sectPr>
          <w:footerReference w:type="default" r:id="rId29"/>
          <w:pgSz w:w="11906" w:h="16838"/>
          <w:pgMar w:top="1417" w:right="1417" w:bottom="1417" w:left="1417" w:header="851" w:footer="851" w:gutter="0"/>
          <w:pgBorders>
            <w:top w:val="none" w:sz="0" w:space="0" w:color="auto"/>
            <w:left w:val="none" w:sz="0" w:space="0" w:color="auto"/>
            <w:bottom w:val="none" w:sz="0" w:space="0" w:color="auto"/>
            <w:right w:val="none" w:sz="0" w:space="0" w:color="auto"/>
          </w:pgBorders>
          <w:pgNumType w:start="24"/>
          <w:cols w:num="1" w:space="720"/>
          <w:docGrid w:linePitch="312" w:charSpace="0"/>
        </w:sectPr>
      </w:pPr>
    </w:p>
    <w:tbl>
      <w:tblPr>
        <w:tblStyle w:val="TableNormal"/>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
      <w:tblGrid>
        <w:gridCol w:w="426"/>
        <w:gridCol w:w="8634"/>
      </w:tblGrid>
      <w:tr>
        <w:tblPrEx>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0" w:type="dxa"/>
            <w:left w:w="108" w:type="dxa"/>
            <w:bottom w:w="0" w:type="dxa"/>
            <w:right w:w="108" w:type="dxa"/>
          </w:tblCellMar>
        </w:tblPrEx>
        <w:trPr>
          <w:trHeight w:val="12994"/>
          <w:jc w:val="center"/>
        </w:trPr>
        <w:tc>
          <w:tcPr>
            <w:tcW w:w="426" w:type="dxa"/>
            <w:noWrap w:val="0"/>
            <w:vAlign w:val="center"/>
          </w:tcPr>
          <w:p/>
        </w:tc>
        <w:tc>
          <w:tcPr>
            <w:tcW w:w="8634" w:type="dxa"/>
            <w:noWrap w:val="0"/>
            <w:vAlign w:val="top"/>
          </w:tcPr>
          <w:p>
            <w:pPr>
              <w:adjustRightInd w:val="0"/>
              <w:snapToGrid w:val="0"/>
              <w:spacing w:line="360" w:lineRule="auto"/>
              <w:ind w:firstLine="420" w:firstLineChars="200"/>
              <w:rPr>
                <w:b/>
                <w:color w:val="000000"/>
                <w:szCs w:val="21"/>
              </w:rPr>
            </w:pPr>
            <w:r>
              <w:rPr>
                <w:rFonts w:hint="eastAsia"/>
                <w:b/>
                <w:color w:val="000000"/>
                <w:szCs w:val="21"/>
              </w:rPr>
              <w:t>3</w:t>
            </w:r>
            <w:r>
              <w:rPr>
                <w:b/>
                <w:color w:val="000000"/>
                <w:szCs w:val="21"/>
              </w:rPr>
              <w:t>、项目主要产品及产能</w:t>
            </w:r>
          </w:p>
          <w:p>
            <w:pPr>
              <w:snapToGrid w:val="0"/>
              <w:spacing w:line="360" w:lineRule="auto"/>
              <w:ind w:firstLine="420" w:firstLineChars="200"/>
              <w:rPr>
                <w:color w:val="000000"/>
                <w:szCs w:val="21"/>
              </w:rPr>
            </w:pPr>
            <w:r>
              <w:rPr>
                <w:color w:val="000000"/>
                <w:szCs w:val="21"/>
              </w:rPr>
              <w:t>项目产品及产能具体方案如下表。</w:t>
            </w:r>
          </w:p>
          <w:p>
            <w:pPr>
              <w:adjustRightInd w:val="0"/>
              <w:snapToGrid w:val="0"/>
              <w:spacing w:line="360" w:lineRule="auto"/>
              <w:jc w:val="center"/>
              <w:rPr>
                <w:color w:val="000000"/>
              </w:rPr>
            </w:pPr>
            <w:r>
              <w:rPr>
                <w:b/>
                <w:bCs/>
                <w:color w:val="000000"/>
                <w:szCs w:val="21"/>
              </w:rPr>
              <w:t>表</w:t>
            </w:r>
            <w:r>
              <w:rPr>
                <w:rFonts w:hint="eastAsia"/>
                <w:b/>
                <w:bCs/>
                <w:color w:val="000000"/>
                <w:szCs w:val="21"/>
              </w:rPr>
              <w:t>2-2</w:t>
            </w:r>
            <w:r>
              <w:rPr>
                <w:b/>
                <w:bCs/>
                <w:color w:val="000000"/>
                <w:szCs w:val="21"/>
              </w:rPr>
              <w:t>项目产品及产能一览表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blGrid>
              <w:gridCol w:w="1270"/>
              <w:gridCol w:w="3163"/>
              <w:gridCol w:w="1950"/>
              <w:gridCol w:w="2025"/>
            </w:tblGrid>
            <w:tr>
              <w:tblPrEx>
                <w:tblW w:w="0" w:type="auto"/>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Ex>
              <w:trPr>
                <w:trHeight w:hRule="exact" w:val="680"/>
              </w:trPr>
              <w:tc>
                <w:tcPr>
                  <w:tcW w:w="1270" w:type="dxa"/>
                  <w:noWrap w:val="0"/>
                  <w:vAlign w:val="center"/>
                </w:tcPr>
                <w:p>
                  <w:pPr>
                    <w:pStyle w:val="TableParagraph"/>
                    <w:adjustRightInd w:val="0"/>
                    <w:snapToGrid w:val="0"/>
                    <w:spacing w:line="240" w:lineRule="auto"/>
                    <w:ind w:firstLine="0" w:firstLineChars="0"/>
                    <w:jc w:val="center"/>
                    <w:rPr>
                      <w:b/>
                      <w:bCs/>
                      <w:color w:val="000000"/>
                      <w:sz w:val="21"/>
                      <w:szCs w:val="21"/>
                    </w:rPr>
                  </w:pPr>
                  <w:r>
                    <w:rPr>
                      <w:b/>
                      <w:bCs/>
                      <w:color w:val="000000"/>
                      <w:sz w:val="21"/>
                      <w:szCs w:val="21"/>
                    </w:rPr>
                    <w:t>序号</w:t>
                  </w:r>
                </w:p>
              </w:tc>
              <w:tc>
                <w:tcPr>
                  <w:tcW w:w="3163" w:type="dxa"/>
                  <w:noWrap w:val="0"/>
                  <w:vAlign w:val="center"/>
                </w:tcPr>
                <w:p>
                  <w:pPr>
                    <w:pStyle w:val="TableParagraph"/>
                    <w:adjustRightInd w:val="0"/>
                    <w:snapToGrid w:val="0"/>
                    <w:spacing w:line="240" w:lineRule="auto"/>
                    <w:ind w:firstLine="0" w:firstLineChars="0"/>
                    <w:jc w:val="center"/>
                    <w:rPr>
                      <w:b/>
                      <w:bCs/>
                      <w:color w:val="000000"/>
                      <w:sz w:val="21"/>
                      <w:szCs w:val="21"/>
                    </w:rPr>
                  </w:pPr>
                  <w:r>
                    <w:rPr>
                      <w:rFonts w:hint="eastAsia"/>
                      <w:b/>
                      <w:bCs/>
                      <w:color w:val="000000"/>
                      <w:sz w:val="21"/>
                      <w:szCs w:val="21"/>
                    </w:rPr>
                    <w:t>产品</w:t>
                  </w:r>
                  <w:r>
                    <w:rPr>
                      <w:b/>
                      <w:bCs/>
                      <w:color w:val="000000"/>
                      <w:sz w:val="21"/>
                      <w:szCs w:val="21"/>
                    </w:rPr>
                    <w:t>名称</w:t>
                  </w:r>
                </w:p>
              </w:tc>
              <w:tc>
                <w:tcPr>
                  <w:tcW w:w="1950" w:type="dxa"/>
                  <w:noWrap w:val="0"/>
                  <w:vAlign w:val="center"/>
                </w:tcPr>
                <w:p>
                  <w:pPr>
                    <w:pStyle w:val="TableParagraph"/>
                    <w:adjustRightInd w:val="0"/>
                    <w:snapToGrid w:val="0"/>
                    <w:spacing w:line="240" w:lineRule="auto"/>
                    <w:ind w:firstLine="0" w:firstLineChars="0"/>
                    <w:jc w:val="center"/>
                    <w:rPr>
                      <w:b/>
                      <w:bCs/>
                      <w:color w:val="000000"/>
                      <w:sz w:val="21"/>
                      <w:szCs w:val="21"/>
                    </w:rPr>
                  </w:pPr>
                  <w:r>
                    <w:rPr>
                      <w:b/>
                      <w:bCs/>
                      <w:color w:val="000000"/>
                      <w:sz w:val="21"/>
                      <w:szCs w:val="21"/>
                    </w:rPr>
                    <w:t>单位</w:t>
                  </w:r>
                </w:p>
              </w:tc>
              <w:tc>
                <w:tcPr>
                  <w:tcW w:w="2025" w:type="dxa"/>
                  <w:noWrap w:val="0"/>
                  <w:vAlign w:val="center"/>
                </w:tcPr>
                <w:p>
                  <w:pPr>
                    <w:pStyle w:val="TableParagraph"/>
                    <w:adjustRightInd w:val="0"/>
                    <w:snapToGrid w:val="0"/>
                    <w:spacing w:line="240" w:lineRule="auto"/>
                    <w:ind w:firstLine="0" w:firstLineChars="0"/>
                    <w:jc w:val="center"/>
                    <w:rPr>
                      <w:b/>
                      <w:bCs/>
                      <w:color w:val="000000"/>
                      <w:sz w:val="21"/>
                      <w:szCs w:val="21"/>
                    </w:rPr>
                  </w:pPr>
                  <w:r>
                    <w:rPr>
                      <w:rFonts w:hint="eastAsia"/>
                      <w:b/>
                      <w:bCs/>
                      <w:color w:val="000000"/>
                      <w:sz w:val="21"/>
                      <w:szCs w:val="21"/>
                    </w:rPr>
                    <w:t>产能</w:t>
                  </w:r>
                </w:p>
              </w:tc>
            </w:tr>
            <w:tr>
              <w:tblPrEx>
                <w:tblW w:w="0" w:type="auto"/>
                <w:tblInd w:w="0" w:type="dxa"/>
                <w:tblCellMar>
                  <w:top w:w="0" w:type="dxa"/>
                  <w:left w:w="108" w:type="dxa"/>
                  <w:bottom w:w="0" w:type="dxa"/>
                  <w:right w:w="108" w:type="dxa"/>
                </w:tblCellMar>
              </w:tblPrEx>
              <w:trPr>
                <w:trHeight w:hRule="exact" w:val="680"/>
              </w:trPr>
              <w:tc>
                <w:tcPr>
                  <w:tcW w:w="1270"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1</w:t>
                  </w:r>
                </w:p>
              </w:tc>
              <w:tc>
                <w:tcPr>
                  <w:tcW w:w="3163"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医用级</w:t>
                  </w:r>
                  <w:r>
                    <w:rPr>
                      <w:rFonts w:hint="eastAsia"/>
                      <w:color w:val="000000"/>
                      <w:sz w:val="21"/>
                      <w:szCs w:val="21"/>
                    </w:rPr>
                    <w:t>PET/PETG</w:t>
                  </w:r>
                  <w:r>
                    <w:rPr>
                      <w:rFonts w:hint="eastAsia"/>
                      <w:color w:val="000000"/>
                      <w:sz w:val="21"/>
                      <w:szCs w:val="21"/>
                      <w:lang w:val="en-US" w:eastAsia="zh-CN"/>
                    </w:rPr>
                    <w:t>片材</w:t>
                  </w:r>
                </w:p>
              </w:tc>
              <w:tc>
                <w:tcPr>
                  <w:tcW w:w="1950"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t/a</w:t>
                  </w:r>
                </w:p>
              </w:tc>
              <w:tc>
                <w:tcPr>
                  <w:tcW w:w="2025" w:type="dxa"/>
                  <w:noWrap w:val="0"/>
                  <w:vAlign w:val="center"/>
                </w:tcPr>
                <w:p>
                  <w:pPr>
                    <w:pStyle w:val="TableParagraph"/>
                    <w:adjustRightInd w:val="0"/>
                    <w:snapToGrid w:val="0"/>
                    <w:spacing w:line="240" w:lineRule="auto"/>
                    <w:ind w:firstLine="0" w:firstLineChars="0"/>
                    <w:jc w:val="center"/>
                    <w:rPr>
                      <w:color w:val="000000"/>
                      <w:sz w:val="21"/>
                      <w:szCs w:val="21"/>
                    </w:rPr>
                  </w:pPr>
                  <w:r>
                    <w:rPr>
                      <w:rFonts w:hint="eastAsia"/>
                      <w:color w:val="000000"/>
                      <w:sz w:val="21"/>
                      <w:szCs w:val="21"/>
                    </w:rPr>
                    <w:t>3000</w:t>
                  </w:r>
                </w:p>
              </w:tc>
            </w:tr>
          </w:tbl>
          <w:p>
            <w:pPr>
              <w:adjustRightInd w:val="0"/>
              <w:snapToGrid w:val="0"/>
              <w:spacing w:line="240" w:lineRule="exact"/>
              <w:ind w:firstLine="420" w:firstLineChars="200"/>
              <w:rPr>
                <w:rFonts w:hint="eastAsia"/>
                <w:b/>
                <w:color w:val="000000"/>
                <w:szCs w:val="21"/>
              </w:rPr>
            </w:pP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color w:val="000000"/>
                <w:szCs w:val="21"/>
              </w:rPr>
            </w:pPr>
            <w:r>
              <w:rPr>
                <w:rFonts w:ascii="Times New Roman" w:eastAsia="宋体" w:hAnsi="Times New Roman" w:cs="Times New Roman" w:hint="eastAsia"/>
                <w:color w:val="000000"/>
                <w:szCs w:val="21"/>
              </w:rPr>
              <w:t>PET/PETG</w:t>
            </w:r>
            <w:r>
              <w:rPr>
                <w:rFonts w:ascii="Times New Roman" w:eastAsia="宋体" w:hAnsi="Times New Roman" w:cs="Times New Roman" w:hint="eastAsia"/>
                <w:color w:val="000000"/>
                <w:szCs w:val="21"/>
                <w:lang w:val="en-US" w:eastAsia="zh-CN"/>
              </w:rPr>
              <w:t>片材，是一种非晶型共聚酯，主要特性有：</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color w:val="000000"/>
                <w:szCs w:val="21"/>
              </w:rPr>
            </w:pPr>
            <w:r>
              <w:rPr>
                <w:rFonts w:ascii="Times New Roman" w:eastAsia="宋体" w:hAnsi="Times New Roman" w:cs="Times New Roman" w:hint="eastAsia"/>
                <w:color w:val="000000"/>
                <w:szCs w:val="21"/>
                <w:lang w:val="en-US" w:eastAsia="zh-CN"/>
              </w:rPr>
              <w:t>(1)出众的热成型性能：成形性极佳，适用于吸塑这种成型方法，制作出来的产品高度透明、且具有优异的抗冲击性能。我们所生产出来的医用吸塑包装，就是通过医用</w:t>
            </w:r>
            <w:r>
              <w:rPr>
                <w:rFonts w:ascii="Times New Roman" w:eastAsia="宋体" w:hAnsi="Times New Roman" w:cs="Times New Roman" w:hint="eastAsia"/>
                <w:color w:val="000000"/>
                <w:szCs w:val="21"/>
              </w:rPr>
              <w:t>PET/PETG</w:t>
            </w:r>
            <w:r>
              <w:rPr>
                <w:rFonts w:ascii="Times New Roman" w:eastAsia="宋体" w:hAnsi="Times New Roman" w:cs="Times New Roman" w:hint="eastAsia"/>
                <w:color w:val="000000"/>
                <w:szCs w:val="21"/>
                <w:lang w:val="en-US" w:eastAsia="zh-CN"/>
              </w:rPr>
              <w:t>片材加热成型吸塑出来的产品。</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color w:val="000000"/>
                <w:szCs w:val="21"/>
              </w:rPr>
            </w:pPr>
            <w:r>
              <w:rPr>
                <w:rFonts w:ascii="Times New Roman" w:eastAsia="宋体" w:hAnsi="Times New Roman" w:cs="Times New Roman" w:hint="eastAsia"/>
                <w:color w:val="000000"/>
                <w:szCs w:val="21"/>
                <w:lang w:val="en-US" w:eastAsia="zh-CN"/>
              </w:rPr>
              <w:t>(2)坚韧性：</w:t>
            </w:r>
            <w:r>
              <w:rPr>
                <w:rFonts w:ascii="Times New Roman" w:eastAsia="宋体" w:hAnsi="Times New Roman" w:cs="Times New Roman" w:hint="eastAsia"/>
                <w:color w:val="000000"/>
                <w:szCs w:val="21"/>
              </w:rPr>
              <w:t>PET/PETG</w:t>
            </w:r>
            <w:r>
              <w:rPr>
                <w:rFonts w:ascii="Times New Roman" w:eastAsia="宋体" w:hAnsi="Times New Roman" w:cs="Times New Roman" w:hint="eastAsia"/>
                <w:color w:val="000000"/>
                <w:szCs w:val="21"/>
                <w:lang w:val="en-US" w:eastAsia="zh-CN"/>
              </w:rPr>
              <w:t>片材在加工、运输和使用过程中具有足够的承受能力，有助于防止破裂。</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color w:val="000000"/>
                <w:szCs w:val="21"/>
              </w:rPr>
            </w:pPr>
            <w:r>
              <w:rPr>
                <w:rFonts w:ascii="Times New Roman" w:eastAsia="宋体" w:hAnsi="Times New Roman" w:cs="Times New Roman" w:hint="eastAsia"/>
                <w:color w:val="000000"/>
                <w:szCs w:val="21"/>
                <w:lang w:val="en-US" w:eastAsia="zh-CN"/>
              </w:rPr>
              <w:t>(3)耐候性：它可以保持产品的坚韧性，防止变黄。它含有紫外线吸收剂，可共挤成一保护层，保护了板材免受紫外线的有害影响。</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color w:val="000000"/>
                <w:szCs w:val="21"/>
              </w:rPr>
            </w:pPr>
            <w:r>
              <w:rPr>
                <w:rFonts w:ascii="Times New Roman" w:eastAsia="宋体" w:hAnsi="Times New Roman" w:cs="Times New Roman" w:hint="eastAsia"/>
                <w:color w:val="000000"/>
                <w:szCs w:val="21"/>
                <w:lang w:val="en-US" w:eastAsia="zh-CN"/>
              </w:rPr>
              <w:t>(4)加工简便：</w:t>
            </w:r>
            <w:r>
              <w:rPr>
                <w:rFonts w:ascii="Times New Roman" w:eastAsia="宋体" w:hAnsi="Times New Roman" w:cs="Times New Roman" w:hint="eastAsia"/>
                <w:color w:val="000000"/>
                <w:szCs w:val="21"/>
              </w:rPr>
              <w:t>PET/PETG</w:t>
            </w:r>
            <w:r>
              <w:rPr>
                <w:rFonts w:ascii="Times New Roman" w:eastAsia="宋体" w:hAnsi="Times New Roman" w:cs="Times New Roman" w:hint="eastAsia"/>
                <w:color w:val="000000"/>
                <w:szCs w:val="21"/>
                <w:lang w:val="en-US" w:eastAsia="zh-CN"/>
              </w:rPr>
              <w:t>片材可进行、模切、钻孔、冲孔、剪切、铆接、铣边以及冷弯，不至于破碎。</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color w:val="000000"/>
                <w:szCs w:val="21"/>
              </w:rPr>
            </w:pPr>
            <w:r>
              <w:rPr>
                <w:rFonts w:ascii="Times New Roman" w:eastAsia="宋体" w:hAnsi="Times New Roman" w:cs="Times New Roman" w:hint="eastAsia"/>
                <w:color w:val="000000"/>
                <w:szCs w:val="21"/>
                <w:lang w:val="en-US" w:eastAsia="zh-CN"/>
              </w:rPr>
              <w:t>(5)优秀的耐化学性能：</w:t>
            </w:r>
            <w:r>
              <w:rPr>
                <w:rFonts w:ascii="Times New Roman" w:eastAsia="宋体" w:hAnsi="Times New Roman" w:cs="Times New Roman" w:hint="eastAsia"/>
                <w:color w:val="000000"/>
                <w:szCs w:val="21"/>
              </w:rPr>
              <w:t>PET/PETG</w:t>
            </w:r>
            <w:r>
              <w:rPr>
                <w:rFonts w:ascii="Times New Roman" w:eastAsia="宋体" w:hAnsi="Times New Roman" w:cs="Times New Roman" w:hint="eastAsia"/>
                <w:color w:val="000000"/>
                <w:szCs w:val="21"/>
                <w:lang w:val="en-US" w:eastAsia="zh-CN"/>
              </w:rPr>
              <w:t>片材可以耐受多种化学品以及常用的清洁剂。</w:t>
            </w: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color w:val="000000"/>
                <w:szCs w:val="21"/>
              </w:rPr>
            </w:pPr>
            <w:r>
              <w:rPr>
                <w:rFonts w:ascii="Times New Roman" w:eastAsia="宋体" w:hAnsi="Times New Roman" w:cs="Times New Roman" w:hint="eastAsia"/>
                <w:color w:val="000000"/>
                <w:szCs w:val="21"/>
                <w:lang w:val="en-US" w:eastAsia="zh-CN"/>
              </w:rPr>
              <w:t>(6)环保性：</w:t>
            </w:r>
            <w:r>
              <w:rPr>
                <w:rFonts w:ascii="Times New Roman" w:eastAsia="宋体" w:hAnsi="Times New Roman" w:cs="Times New Roman" w:hint="eastAsia"/>
                <w:color w:val="000000"/>
                <w:szCs w:val="21"/>
              </w:rPr>
              <w:t>PET/PETG</w:t>
            </w:r>
            <w:r>
              <w:rPr>
                <w:rFonts w:ascii="Times New Roman" w:eastAsia="宋体" w:hAnsi="Times New Roman" w:cs="Times New Roman" w:hint="eastAsia"/>
                <w:color w:val="000000"/>
                <w:szCs w:val="21"/>
                <w:lang w:val="en-US" w:eastAsia="zh-CN"/>
              </w:rPr>
              <w:t>片材基材均为环保材料，符合医用接触管理要求。 </w:t>
            </w:r>
          </w:p>
          <w:p>
            <w:pPr>
              <w:adjustRightInd w:val="0"/>
              <w:snapToGrid w:val="0"/>
              <w:spacing w:line="360" w:lineRule="auto"/>
              <w:ind w:firstLine="420" w:firstLineChars="200"/>
              <w:rPr>
                <w:b/>
                <w:color w:val="000000"/>
                <w:szCs w:val="21"/>
              </w:rPr>
            </w:pPr>
            <w:r>
              <w:rPr>
                <w:rFonts w:hint="eastAsia"/>
                <w:b/>
                <w:color w:val="000000"/>
                <w:szCs w:val="21"/>
              </w:rPr>
              <w:t>4</w:t>
            </w:r>
            <w:r>
              <w:rPr>
                <w:b/>
                <w:color w:val="000000"/>
                <w:szCs w:val="21"/>
              </w:rPr>
              <w:t>、项目主要原辅材料</w:t>
            </w:r>
          </w:p>
          <w:p>
            <w:pPr>
              <w:adjustRightInd w:val="0"/>
              <w:snapToGrid w:val="0"/>
              <w:spacing w:line="360" w:lineRule="auto"/>
              <w:jc w:val="center"/>
              <w:rPr>
                <w:b/>
                <w:color w:val="000000"/>
                <w:szCs w:val="21"/>
                <w:lang w:bidi="ar"/>
              </w:rPr>
            </w:pPr>
            <w:r>
              <w:rPr>
                <w:rFonts w:hint="eastAsia"/>
                <w:b/>
                <w:color w:val="000000"/>
                <w:szCs w:val="21"/>
                <w:lang w:bidi="ar"/>
              </w:rPr>
              <w:t>表2-3</w:t>
            </w:r>
            <w:r>
              <w:rPr>
                <w:rFonts w:hint="eastAsia"/>
                <w:b/>
                <w:color w:val="000000"/>
                <w:szCs w:val="21"/>
                <w:lang w:val="en-US" w:eastAsia="zh-CN" w:bidi="ar"/>
              </w:rPr>
              <w:t>项目</w:t>
            </w:r>
            <w:r>
              <w:rPr>
                <w:b/>
                <w:color w:val="000000"/>
                <w:szCs w:val="21"/>
                <w:lang w:bidi="ar"/>
              </w:rPr>
              <w:t>主要原辅材料消耗情况表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blGrid>
              <w:gridCol w:w="1201"/>
              <w:gridCol w:w="3219"/>
              <w:gridCol w:w="1936"/>
              <w:gridCol w:w="2052"/>
            </w:tblGrid>
            <w:tr>
              <w:tblPrEx>
                <w:tblW w:w="0" w:type="auto"/>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Ex>
              <w:trPr>
                <w:trHeight w:hRule="exact" w:val="510"/>
              </w:trPr>
              <w:tc>
                <w:tcPr>
                  <w:tcW w:w="1201" w:type="dxa"/>
                  <w:noWrap w:val="0"/>
                  <w:vAlign w:val="center"/>
                </w:tcPr>
                <w:p>
                  <w:pPr>
                    <w:pStyle w:val="TableParagraph"/>
                    <w:adjustRightInd w:val="0"/>
                    <w:snapToGrid w:val="0"/>
                    <w:spacing w:line="240" w:lineRule="auto"/>
                    <w:ind w:firstLine="0" w:firstLineChars="0"/>
                    <w:jc w:val="center"/>
                    <w:rPr>
                      <w:b/>
                      <w:bCs/>
                      <w:color w:val="000000"/>
                      <w:sz w:val="21"/>
                      <w:szCs w:val="21"/>
                    </w:rPr>
                  </w:pPr>
                  <w:r>
                    <w:rPr>
                      <w:b/>
                      <w:bCs/>
                      <w:color w:val="000000"/>
                      <w:sz w:val="21"/>
                      <w:szCs w:val="21"/>
                    </w:rPr>
                    <w:t>序号</w:t>
                  </w:r>
                </w:p>
              </w:tc>
              <w:tc>
                <w:tcPr>
                  <w:tcW w:w="3219" w:type="dxa"/>
                  <w:noWrap w:val="0"/>
                  <w:vAlign w:val="center"/>
                </w:tcPr>
                <w:p>
                  <w:pPr>
                    <w:pStyle w:val="TableParagraph"/>
                    <w:adjustRightInd w:val="0"/>
                    <w:snapToGrid w:val="0"/>
                    <w:spacing w:line="240" w:lineRule="auto"/>
                    <w:ind w:firstLine="0" w:firstLineChars="0"/>
                    <w:jc w:val="center"/>
                    <w:rPr>
                      <w:b/>
                      <w:bCs/>
                      <w:color w:val="000000"/>
                      <w:sz w:val="21"/>
                      <w:szCs w:val="21"/>
                    </w:rPr>
                  </w:pPr>
                  <w:r>
                    <w:rPr>
                      <w:b/>
                      <w:bCs/>
                      <w:color w:val="000000"/>
                      <w:sz w:val="21"/>
                      <w:szCs w:val="21"/>
                    </w:rPr>
                    <w:t>名称</w:t>
                  </w:r>
                </w:p>
              </w:tc>
              <w:tc>
                <w:tcPr>
                  <w:tcW w:w="1936" w:type="dxa"/>
                  <w:noWrap w:val="0"/>
                  <w:vAlign w:val="center"/>
                </w:tcPr>
                <w:p>
                  <w:pPr>
                    <w:pStyle w:val="TableParagraph"/>
                    <w:adjustRightInd w:val="0"/>
                    <w:snapToGrid w:val="0"/>
                    <w:spacing w:line="240" w:lineRule="auto"/>
                    <w:ind w:firstLine="0" w:firstLineChars="0"/>
                    <w:jc w:val="center"/>
                    <w:rPr>
                      <w:b/>
                      <w:bCs/>
                      <w:color w:val="000000"/>
                      <w:sz w:val="21"/>
                      <w:szCs w:val="21"/>
                    </w:rPr>
                  </w:pPr>
                  <w:r>
                    <w:rPr>
                      <w:b/>
                      <w:bCs/>
                      <w:color w:val="000000"/>
                      <w:sz w:val="21"/>
                      <w:szCs w:val="21"/>
                    </w:rPr>
                    <w:t>单位</w:t>
                  </w:r>
                </w:p>
              </w:tc>
              <w:tc>
                <w:tcPr>
                  <w:tcW w:w="2052" w:type="dxa"/>
                  <w:noWrap w:val="0"/>
                  <w:vAlign w:val="center"/>
                </w:tcPr>
                <w:p>
                  <w:pPr>
                    <w:pStyle w:val="TableParagraph"/>
                    <w:adjustRightInd w:val="0"/>
                    <w:snapToGrid w:val="0"/>
                    <w:spacing w:line="240" w:lineRule="auto"/>
                    <w:ind w:firstLine="0" w:firstLineChars="0"/>
                    <w:jc w:val="center"/>
                    <w:rPr>
                      <w:b/>
                      <w:bCs/>
                      <w:color w:val="000000"/>
                      <w:sz w:val="21"/>
                      <w:szCs w:val="21"/>
                    </w:rPr>
                  </w:pPr>
                  <w:r>
                    <w:rPr>
                      <w:rFonts w:hint="eastAsia"/>
                      <w:b/>
                      <w:bCs/>
                      <w:color w:val="000000"/>
                      <w:sz w:val="21"/>
                      <w:szCs w:val="21"/>
                    </w:rPr>
                    <w:t>用量</w:t>
                  </w:r>
                </w:p>
              </w:tc>
            </w:tr>
            <w:tr>
              <w:tblPrEx>
                <w:tblW w:w="0" w:type="auto"/>
                <w:tblInd w:w="0" w:type="dxa"/>
                <w:tblCellMar>
                  <w:top w:w="0" w:type="dxa"/>
                  <w:left w:w="108" w:type="dxa"/>
                  <w:bottom w:w="0" w:type="dxa"/>
                  <w:right w:w="108" w:type="dxa"/>
                </w:tblCellMar>
              </w:tblPrEx>
              <w:trPr>
                <w:trHeight w:hRule="exact" w:val="510"/>
              </w:trPr>
              <w:tc>
                <w:tcPr>
                  <w:tcW w:w="1201"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1</w:t>
                  </w:r>
                </w:p>
              </w:tc>
              <w:tc>
                <w:tcPr>
                  <w:tcW w:w="3219" w:type="dxa"/>
                  <w:noWrap w:val="0"/>
                  <w:vAlign w:val="center"/>
                </w:tcPr>
                <w:p>
                  <w:pPr>
                    <w:pStyle w:val="TableParagraph"/>
                    <w:adjustRightInd w:val="0"/>
                    <w:snapToGrid w:val="0"/>
                    <w:spacing w:line="240" w:lineRule="auto"/>
                    <w:ind w:firstLine="0" w:firstLineChars="0"/>
                    <w:jc w:val="center"/>
                    <w:rPr>
                      <w:color w:val="000000"/>
                      <w:sz w:val="21"/>
                      <w:szCs w:val="21"/>
                    </w:rPr>
                  </w:pPr>
                  <w:r>
                    <w:rPr>
                      <w:rFonts w:hint="eastAsia"/>
                      <w:color w:val="000000"/>
                      <w:sz w:val="21"/>
                      <w:szCs w:val="21"/>
                    </w:rPr>
                    <w:t>PET/PETG颗粒</w:t>
                  </w:r>
                </w:p>
              </w:tc>
              <w:tc>
                <w:tcPr>
                  <w:tcW w:w="1936"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t/a</w:t>
                  </w:r>
                </w:p>
              </w:tc>
              <w:tc>
                <w:tcPr>
                  <w:tcW w:w="2052" w:type="dxa"/>
                  <w:noWrap w:val="0"/>
                  <w:vAlign w:val="center"/>
                </w:tcPr>
                <w:p>
                  <w:pPr>
                    <w:pStyle w:val="TableParagraph"/>
                    <w:adjustRightInd w:val="0"/>
                    <w:snapToGrid w:val="0"/>
                    <w:spacing w:line="240" w:lineRule="auto"/>
                    <w:ind w:firstLine="0" w:firstLineChars="0"/>
                    <w:jc w:val="center"/>
                    <w:rPr>
                      <w:color w:val="000000"/>
                      <w:sz w:val="21"/>
                      <w:szCs w:val="21"/>
                    </w:rPr>
                  </w:pPr>
                  <w:r>
                    <w:rPr>
                      <w:rFonts w:hint="eastAsia"/>
                      <w:color w:val="000000"/>
                      <w:sz w:val="21"/>
                      <w:szCs w:val="21"/>
                    </w:rPr>
                    <w:t>3000</w:t>
                  </w:r>
                </w:p>
              </w:tc>
            </w:tr>
            <w:tr>
              <w:tblPrEx>
                <w:tblW w:w="0" w:type="auto"/>
                <w:tblInd w:w="0" w:type="dxa"/>
                <w:tblCellMar>
                  <w:top w:w="0" w:type="dxa"/>
                  <w:left w:w="108" w:type="dxa"/>
                  <w:bottom w:w="0" w:type="dxa"/>
                  <w:right w:w="108" w:type="dxa"/>
                </w:tblCellMar>
              </w:tblPrEx>
              <w:trPr>
                <w:trHeight w:hRule="exact" w:val="510"/>
              </w:trPr>
              <w:tc>
                <w:tcPr>
                  <w:tcW w:w="1201"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2</w:t>
                  </w:r>
                </w:p>
              </w:tc>
              <w:tc>
                <w:tcPr>
                  <w:tcW w:w="3219" w:type="dxa"/>
                  <w:noWrap w:val="0"/>
                  <w:vAlign w:val="center"/>
                </w:tcPr>
                <w:p>
                  <w:pPr>
                    <w:pStyle w:val="TableParagraph"/>
                    <w:adjustRightInd w:val="0"/>
                    <w:snapToGrid w:val="0"/>
                    <w:spacing w:line="240" w:lineRule="auto"/>
                    <w:ind w:firstLine="0" w:firstLineChars="0"/>
                    <w:jc w:val="center"/>
                    <w:rPr>
                      <w:color w:val="000000"/>
                      <w:sz w:val="21"/>
                      <w:szCs w:val="21"/>
                    </w:rPr>
                  </w:pPr>
                  <w:r>
                    <w:rPr>
                      <w:rFonts w:hint="eastAsia"/>
                      <w:color w:val="000000"/>
                      <w:sz w:val="21"/>
                      <w:szCs w:val="21"/>
                    </w:rPr>
                    <w:t>UV光油</w:t>
                  </w:r>
                </w:p>
              </w:tc>
              <w:tc>
                <w:tcPr>
                  <w:tcW w:w="1936"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t/a</w:t>
                  </w:r>
                </w:p>
              </w:tc>
              <w:tc>
                <w:tcPr>
                  <w:tcW w:w="2052" w:type="dxa"/>
                  <w:noWrap w:val="0"/>
                  <w:vAlign w:val="center"/>
                </w:tcPr>
                <w:p>
                  <w:pPr>
                    <w:pStyle w:val="TableParagraph"/>
                    <w:adjustRightInd w:val="0"/>
                    <w:snapToGrid w:val="0"/>
                    <w:spacing w:line="240" w:lineRule="auto"/>
                    <w:ind w:firstLine="0" w:firstLineChars="0"/>
                    <w:jc w:val="center"/>
                    <w:rPr>
                      <w:color w:val="000000"/>
                      <w:sz w:val="21"/>
                      <w:szCs w:val="21"/>
                    </w:rPr>
                  </w:pPr>
                  <w:r>
                    <w:rPr>
                      <w:rFonts w:hint="eastAsia"/>
                      <w:color w:val="000000"/>
                      <w:sz w:val="21"/>
                      <w:szCs w:val="21"/>
                    </w:rPr>
                    <w:t>15</w:t>
                  </w:r>
                </w:p>
              </w:tc>
            </w:tr>
            <w:tr>
              <w:tblPrEx>
                <w:tblW w:w="0" w:type="auto"/>
                <w:tblInd w:w="0" w:type="dxa"/>
                <w:tblCellMar>
                  <w:top w:w="0" w:type="dxa"/>
                  <w:left w:w="108" w:type="dxa"/>
                  <w:bottom w:w="0" w:type="dxa"/>
                  <w:right w:w="108" w:type="dxa"/>
                </w:tblCellMar>
              </w:tblPrEx>
              <w:trPr>
                <w:trHeight w:hRule="exact" w:val="510"/>
              </w:trPr>
              <w:tc>
                <w:tcPr>
                  <w:tcW w:w="1201"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3</w:t>
                  </w:r>
                </w:p>
              </w:tc>
              <w:tc>
                <w:tcPr>
                  <w:tcW w:w="3219" w:type="dxa"/>
                  <w:noWrap w:val="0"/>
                  <w:vAlign w:val="center"/>
                </w:tcPr>
                <w:p>
                  <w:pPr>
                    <w:pStyle w:val="TableParagraph"/>
                    <w:adjustRightInd w:val="0"/>
                    <w:snapToGrid w:val="0"/>
                    <w:spacing w:line="240" w:lineRule="auto"/>
                    <w:ind w:firstLine="0" w:firstLineChars="0"/>
                    <w:jc w:val="center"/>
                    <w:rPr>
                      <w:color w:val="000000"/>
                      <w:sz w:val="21"/>
                      <w:szCs w:val="21"/>
                    </w:rPr>
                  </w:pPr>
                  <w:r>
                    <w:rPr>
                      <w:rFonts w:hint="eastAsia"/>
                      <w:color w:val="000000"/>
                      <w:sz w:val="21"/>
                      <w:szCs w:val="21"/>
                    </w:rPr>
                    <w:t>水性触感油</w:t>
                  </w:r>
                </w:p>
              </w:tc>
              <w:tc>
                <w:tcPr>
                  <w:tcW w:w="1936"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t/a</w:t>
                  </w:r>
                </w:p>
              </w:tc>
              <w:tc>
                <w:tcPr>
                  <w:tcW w:w="2052" w:type="dxa"/>
                  <w:noWrap w:val="0"/>
                  <w:vAlign w:val="center"/>
                </w:tcPr>
                <w:p>
                  <w:pPr>
                    <w:pStyle w:val="TableParagraph"/>
                    <w:adjustRightInd w:val="0"/>
                    <w:snapToGrid w:val="0"/>
                    <w:spacing w:line="240" w:lineRule="auto"/>
                    <w:ind w:firstLine="0" w:firstLineChars="0"/>
                    <w:jc w:val="center"/>
                    <w:rPr>
                      <w:color w:val="000000"/>
                      <w:sz w:val="21"/>
                      <w:szCs w:val="21"/>
                    </w:rPr>
                  </w:pPr>
                  <w:r>
                    <w:rPr>
                      <w:rFonts w:hint="eastAsia"/>
                      <w:color w:val="000000"/>
                      <w:sz w:val="21"/>
                      <w:szCs w:val="21"/>
                    </w:rPr>
                    <w:t>5</w:t>
                  </w:r>
                </w:p>
              </w:tc>
            </w:tr>
            <w:tr>
              <w:tblPrEx>
                <w:tblW w:w="0" w:type="auto"/>
                <w:tblInd w:w="0" w:type="dxa"/>
                <w:tblCellMar>
                  <w:top w:w="0" w:type="dxa"/>
                  <w:left w:w="108" w:type="dxa"/>
                  <w:bottom w:w="0" w:type="dxa"/>
                  <w:right w:w="108" w:type="dxa"/>
                </w:tblCellMar>
              </w:tblPrEx>
              <w:trPr>
                <w:trHeight w:hRule="exact" w:val="510"/>
              </w:trPr>
              <w:tc>
                <w:tcPr>
                  <w:tcW w:w="1201" w:type="dxa"/>
                  <w:noWrap w:val="0"/>
                  <w:vAlign w:val="center"/>
                </w:tcPr>
                <w:p>
                  <w:pPr>
                    <w:pStyle w:val="TableParagraph"/>
                    <w:adjustRightInd w:val="0"/>
                    <w:snapToGrid w:val="0"/>
                    <w:spacing w:line="240" w:lineRule="auto"/>
                    <w:ind w:firstLine="0" w:firstLineChars="0"/>
                    <w:jc w:val="center"/>
                    <w:rPr>
                      <w:rFonts w:eastAsia="宋体" w:hint="eastAsia"/>
                      <w:color w:val="000000"/>
                      <w:sz w:val="21"/>
                      <w:szCs w:val="21"/>
                      <w:lang w:val="en-US" w:eastAsia="zh-CN"/>
                    </w:rPr>
                  </w:pPr>
                  <w:r>
                    <w:rPr>
                      <w:rFonts w:hint="eastAsia"/>
                      <w:color w:val="000000"/>
                      <w:sz w:val="21"/>
                      <w:szCs w:val="21"/>
                      <w:lang w:val="en-US" w:eastAsia="zh-CN"/>
                    </w:rPr>
                    <w:t>4</w:t>
                  </w:r>
                </w:p>
              </w:tc>
              <w:tc>
                <w:tcPr>
                  <w:tcW w:w="3219" w:type="dxa"/>
                  <w:noWrap w:val="0"/>
                  <w:vAlign w:val="center"/>
                </w:tcPr>
                <w:p>
                  <w:pPr>
                    <w:pStyle w:val="TableParagraph"/>
                    <w:adjustRightInd w:val="0"/>
                    <w:snapToGrid w:val="0"/>
                    <w:spacing w:line="240" w:lineRule="auto"/>
                    <w:ind w:firstLine="0" w:firstLineChars="0"/>
                    <w:jc w:val="center"/>
                    <w:rPr>
                      <w:rFonts w:eastAsia="宋体" w:hint="eastAsia"/>
                      <w:color w:val="000000"/>
                      <w:sz w:val="21"/>
                      <w:szCs w:val="21"/>
                      <w:lang w:val="en-US" w:eastAsia="zh-CN"/>
                    </w:rPr>
                  </w:pPr>
                  <w:r>
                    <w:rPr>
                      <w:rFonts w:hint="eastAsia"/>
                      <w:color w:val="000000"/>
                      <w:sz w:val="21"/>
                      <w:szCs w:val="21"/>
                      <w:lang w:val="en-US" w:eastAsia="zh-CN"/>
                    </w:rPr>
                    <w:t>导热油（用于模压复合加热）</w:t>
                  </w:r>
                </w:p>
              </w:tc>
              <w:tc>
                <w:tcPr>
                  <w:tcW w:w="1936" w:type="dxa"/>
                  <w:noWrap w:val="0"/>
                  <w:vAlign w:val="center"/>
                </w:tcPr>
                <w:p>
                  <w:pPr>
                    <w:pStyle w:val="TableParagraph"/>
                    <w:adjustRightInd w:val="0"/>
                    <w:snapToGrid w:val="0"/>
                    <w:spacing w:line="240" w:lineRule="auto"/>
                    <w:ind w:firstLine="0" w:firstLineChars="0"/>
                    <w:jc w:val="center"/>
                    <w:rPr>
                      <w:color w:val="000000"/>
                      <w:sz w:val="21"/>
                      <w:szCs w:val="21"/>
                    </w:rPr>
                  </w:pPr>
                  <w:r>
                    <w:rPr>
                      <w:color w:val="000000"/>
                      <w:sz w:val="21"/>
                      <w:szCs w:val="21"/>
                    </w:rPr>
                    <w:t>t/a</w:t>
                  </w:r>
                </w:p>
              </w:tc>
              <w:tc>
                <w:tcPr>
                  <w:tcW w:w="2052" w:type="dxa"/>
                  <w:noWrap w:val="0"/>
                  <w:vAlign w:val="center"/>
                </w:tcPr>
                <w:p>
                  <w:pPr>
                    <w:pStyle w:val="TableParagraph"/>
                    <w:adjustRightInd w:val="0"/>
                    <w:snapToGrid w:val="0"/>
                    <w:spacing w:line="240" w:lineRule="auto"/>
                    <w:ind w:firstLine="0" w:firstLineChars="0"/>
                    <w:jc w:val="center"/>
                    <w:rPr>
                      <w:rFonts w:eastAsia="宋体" w:hint="default"/>
                      <w:color w:val="000000"/>
                      <w:sz w:val="21"/>
                      <w:szCs w:val="21"/>
                      <w:lang w:val="en-US" w:eastAsia="zh-CN"/>
                    </w:rPr>
                  </w:pPr>
                  <w:r>
                    <w:rPr>
                      <w:rFonts w:hint="eastAsia"/>
                      <w:color w:val="000000"/>
                      <w:sz w:val="21"/>
                      <w:szCs w:val="21"/>
                      <w:lang w:val="en-US" w:eastAsia="zh-CN"/>
                    </w:rPr>
                    <w:t>0.05</w:t>
                  </w:r>
                </w:p>
              </w:tc>
            </w:tr>
          </w:tbl>
          <w:p>
            <w:pPr>
              <w:adjustRightInd w:val="0"/>
              <w:snapToGrid w:val="0"/>
              <w:ind w:firstLine="420" w:firstLineChars="200"/>
              <w:jc w:val="left"/>
              <w:rPr>
                <w:rFonts w:ascii="宋体" w:hAnsi="宋体" w:hint="eastAsia"/>
                <w:color w:val="000000"/>
                <w:szCs w:val="21"/>
              </w:rPr>
            </w:pPr>
          </w:p>
          <w:p>
            <w:pPr>
              <w:spacing w:line="360" w:lineRule="auto"/>
              <w:jc w:val="center"/>
              <w:rPr>
                <w:b/>
                <w:bCs/>
                <w:color w:val="000000"/>
                <w:szCs w:val="21"/>
              </w:rPr>
            </w:pPr>
            <w:r>
              <w:rPr>
                <w:b/>
                <w:bCs/>
                <w:color w:val="000000"/>
                <w:szCs w:val="21"/>
              </w:rPr>
              <w:t>表</w:t>
            </w:r>
            <w:r>
              <w:rPr>
                <w:rFonts w:hint="eastAsia"/>
                <w:b/>
                <w:color w:val="000000"/>
                <w:szCs w:val="21"/>
                <w:lang w:bidi="ar"/>
              </w:rPr>
              <w:t>2-4</w:t>
            </w:r>
            <w:r>
              <w:rPr>
                <w:b/>
                <w:bCs/>
                <w:color w:val="000000"/>
                <w:szCs w:val="21"/>
              </w:rPr>
              <w:t>主要原辅材料的理化性质一览表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blGrid>
              <w:gridCol w:w="661"/>
              <w:gridCol w:w="1542"/>
              <w:gridCol w:w="6205"/>
            </w:tblGrid>
            <w:tr>
              <w:tblPrEx>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Ex>
              <w:trPr>
                <w:trHeight w:val="541"/>
                <w:jc w:val="center"/>
              </w:trPr>
              <w:tc>
                <w:tcPr>
                  <w:tcW w:w="661" w:type="dxa"/>
                  <w:noWrap w:val="0"/>
                  <w:vAlign w:val="center"/>
                </w:tcPr>
                <w:p>
                  <w:pPr>
                    <w:jc w:val="center"/>
                    <w:rPr>
                      <w:b/>
                      <w:color w:val="000000"/>
                      <w:szCs w:val="21"/>
                    </w:rPr>
                  </w:pPr>
                  <w:r>
                    <w:rPr>
                      <w:b/>
                      <w:color w:val="000000"/>
                      <w:szCs w:val="21"/>
                    </w:rPr>
                    <w:t>序号</w:t>
                  </w:r>
                </w:p>
              </w:tc>
              <w:tc>
                <w:tcPr>
                  <w:tcW w:w="1542" w:type="dxa"/>
                  <w:noWrap w:val="0"/>
                  <w:vAlign w:val="center"/>
                </w:tcPr>
                <w:p>
                  <w:pPr>
                    <w:jc w:val="center"/>
                    <w:rPr>
                      <w:b/>
                      <w:color w:val="000000"/>
                      <w:szCs w:val="21"/>
                    </w:rPr>
                  </w:pPr>
                  <w:r>
                    <w:rPr>
                      <w:b/>
                      <w:color w:val="000000"/>
                      <w:szCs w:val="21"/>
                    </w:rPr>
                    <w:t>物质名称</w:t>
                  </w:r>
                </w:p>
              </w:tc>
              <w:tc>
                <w:tcPr>
                  <w:tcW w:w="6205" w:type="dxa"/>
                  <w:noWrap w:val="0"/>
                  <w:vAlign w:val="center"/>
                </w:tcPr>
                <w:p>
                  <w:pPr>
                    <w:jc w:val="center"/>
                    <w:rPr>
                      <w:b/>
                      <w:color w:val="000000"/>
                      <w:szCs w:val="21"/>
                    </w:rPr>
                  </w:pPr>
                  <w:r>
                    <w:rPr>
                      <w:b/>
                      <w:color w:val="000000"/>
                      <w:szCs w:val="21"/>
                    </w:rPr>
                    <w:t>理化性质</w:t>
                  </w:r>
                </w:p>
              </w:tc>
            </w:tr>
            <w:tr>
              <w:tblPrEx>
                <w:tblW w:w="0" w:type="auto"/>
                <w:jc w:val="center"/>
                <w:tblCellMar>
                  <w:top w:w="0" w:type="dxa"/>
                  <w:left w:w="108" w:type="dxa"/>
                  <w:bottom w:w="0" w:type="dxa"/>
                  <w:right w:w="108" w:type="dxa"/>
                </w:tblCellMar>
              </w:tblPrEx>
              <w:trPr>
                <w:trHeight w:hRule="exact" w:val="1531"/>
                <w:jc w:val="center"/>
              </w:trPr>
              <w:tc>
                <w:tcPr>
                  <w:tcW w:w="661" w:type="dxa"/>
                  <w:noWrap w:val="0"/>
                  <w:vAlign w:val="center"/>
                </w:tcPr>
                <w:p>
                  <w:pPr>
                    <w:jc w:val="center"/>
                    <w:rPr>
                      <w:color w:val="000000"/>
                      <w:szCs w:val="21"/>
                    </w:rPr>
                  </w:pPr>
                  <w:r>
                    <w:rPr>
                      <w:color w:val="000000"/>
                      <w:szCs w:val="21"/>
                    </w:rPr>
                    <w:t>1</w:t>
                  </w:r>
                </w:p>
              </w:tc>
              <w:tc>
                <w:tcPr>
                  <w:tcW w:w="1542" w:type="dxa"/>
                  <w:noWrap w:val="0"/>
                  <w:vAlign w:val="center"/>
                </w:tcPr>
                <w:p>
                  <w:pPr>
                    <w:adjustRightInd w:val="0"/>
                    <w:snapToGrid w:val="0"/>
                    <w:jc w:val="center"/>
                    <w:rPr>
                      <w:color w:val="000000"/>
                      <w:szCs w:val="21"/>
                    </w:rPr>
                  </w:pPr>
                  <w:r>
                    <w:rPr>
                      <w:color w:val="000000"/>
                      <w:szCs w:val="21"/>
                      <w:shd w:val="clear" w:color="auto" w:fill="FFFFFF"/>
                    </w:rPr>
                    <w:t>PET</w:t>
                  </w:r>
                </w:p>
              </w:tc>
              <w:tc>
                <w:tcPr>
                  <w:tcW w:w="6205" w:type="dxa"/>
                  <w:noWrap w:val="0"/>
                  <w:vAlign w:val="center"/>
                </w:tcPr>
                <w:p>
                  <w:pPr>
                    <w:rPr>
                      <w:color w:val="000000"/>
                      <w:szCs w:val="21"/>
                    </w:rPr>
                  </w:pPr>
                  <w:r>
                    <w:rPr>
                      <w:color w:val="000000"/>
                      <w:szCs w:val="21"/>
                      <w:shd w:val="clear" w:color="auto" w:fill="FFFFFF"/>
                    </w:rPr>
                    <w:t>PET塑料是英文Polyethylene terephthalate的缩写，简称</w:t>
                  </w:r>
                  <w:r>
                    <w:rPr>
                      <w:rStyle w:val="Strong"/>
                      <w:b w:val="0"/>
                      <w:color w:val="000000"/>
                      <w:szCs w:val="21"/>
                      <w:shd w:val="clear" w:color="auto" w:fill="FFFFFF"/>
                    </w:rPr>
                    <w:t>PET或PETP</w:t>
                  </w:r>
                  <w:r>
                    <w:rPr>
                      <w:color w:val="000000"/>
                      <w:szCs w:val="21"/>
                      <w:shd w:val="clear" w:color="auto" w:fill="FFFFFF"/>
                    </w:rPr>
                    <w:t>。中文意思是</w:t>
                  </w:r>
                  <w:r>
                    <w:rPr>
                      <w:rFonts w:hint="eastAsia"/>
                      <w:color w:val="000000"/>
                      <w:szCs w:val="21"/>
                      <w:shd w:val="clear" w:color="auto" w:fill="FFFFFF"/>
                    </w:rPr>
                    <w:t>：</w:t>
                  </w:r>
                  <w:r>
                    <w:rPr>
                      <w:color w:val="000000"/>
                      <w:szCs w:val="21"/>
                      <w:shd w:val="clear" w:color="auto" w:fill="FFFFFF"/>
                    </w:rPr>
                    <w:t>聚对苯二甲酸类塑料，主要包括聚对苯二甲酸乙二酯PET和</w:t>
                  </w:r>
                  <w:hyperlink r:id="rId30" w:tgtFrame="https://baike.so.com/doc/_blank" w:history="1">
                    <w:r>
                      <w:rPr>
                        <w:rStyle w:val="Hyperlink"/>
                        <w:color w:val="000000"/>
                        <w:szCs w:val="21"/>
                        <w:u w:val="none"/>
                        <w:shd w:val="clear" w:color="auto" w:fill="FFFFFF"/>
                      </w:rPr>
                      <w:t>聚对苯二甲酸丁二酯</w:t>
                    </w:r>
                  </w:hyperlink>
                  <w:r>
                    <w:rPr>
                      <w:color w:val="000000"/>
                      <w:szCs w:val="21"/>
                      <w:shd w:val="clear" w:color="auto" w:fill="FFFFFF"/>
                    </w:rPr>
                    <w:t>PBT。</w:t>
                  </w:r>
                  <w:hyperlink r:id="rId31" w:tgtFrame="https://baike.so.com/doc/_blank" w:history="1">
                    <w:r>
                      <w:rPr>
                        <w:rStyle w:val="Hyperlink"/>
                        <w:color w:val="000000"/>
                        <w:szCs w:val="21"/>
                        <w:u w:val="none"/>
                        <w:shd w:val="clear" w:color="auto" w:fill="FFFFFF"/>
                      </w:rPr>
                      <w:t>聚对苯二甲酸乙二醇酯</w:t>
                    </w:r>
                  </w:hyperlink>
                  <w:r>
                    <w:rPr>
                      <w:color w:val="000000"/>
                      <w:szCs w:val="21"/>
                      <w:shd w:val="clear" w:color="auto" w:fill="FFFFFF"/>
                    </w:rPr>
                    <w:t>又俗称涤纶树脂。它是对苯二甲酸与乙二醇的缩聚物，与PBT一起统称为</w:t>
                  </w:r>
                  <w:hyperlink r:id="rId32" w:tgtFrame="https://baike.so.com/doc/_blank" w:history="1">
                    <w:r>
                      <w:rPr>
                        <w:rStyle w:val="Hyperlink"/>
                        <w:color w:val="000000"/>
                        <w:szCs w:val="21"/>
                        <w:u w:val="none"/>
                        <w:shd w:val="clear" w:color="auto" w:fill="FFFFFF"/>
                      </w:rPr>
                      <w:t>热塑性聚酯</w:t>
                    </w:r>
                  </w:hyperlink>
                  <w:r>
                    <w:rPr>
                      <w:color w:val="000000"/>
                      <w:szCs w:val="21"/>
                      <w:shd w:val="clear" w:color="auto" w:fill="FFFFFF"/>
                    </w:rPr>
                    <w:t>，或饱和聚酯。</w:t>
                  </w:r>
                </w:p>
              </w:tc>
            </w:tr>
          </w:tbl>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https://d.book118.com/067153042005006044</w:t>
        </w:r>
      </w:hyperlink>
    </w:p>
    <w:p/>
    <w:sectPr>
      <w:footerReference w:type="default" r:id="rId34"/>
      <w:type w:val="nextPage"/>
      <w:pgSz w:w="11906" w:h="16838"/>
      <w:pgMar w:top="1417" w:right="1417" w:bottom="1417" w:left="1417" w:header="851" w:footer="851" w:gutter="0"/>
      <w:pgBorders>
        <w:top w:val="none" w:sz="0" w:space="0" w:color="auto"/>
        <w:left w:val="none" w:sz="0" w:space="0" w:color="auto"/>
        <w:bottom w:val="none" w:sz="0" w:space="0" w:color="auto"/>
        <w:right w:val="none" w:sz="0" w:space="0" w:color="auto"/>
      </w:pgBorders>
      <w:pgNumType w:start="25"/>
      <w:cols w:num="1" w:space="720"/>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0"/>
    <w:family w:val="auto"/>
    <w:pitch w:val="default"/>
    <w:sig w:usb0="000000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auto"/>
    <w:pitch w:val="default"/>
    <w:sig w:usb0="00000000" w:usb1="00000000" w:usb2="00000000" w:usb3="00000000" w:csb0="00040000" w:csb1="00000000"/>
  </w:font>
  <w:font w:name="TimesNewRoman">
    <w:altName w:val="Times New Roman"/>
    <w:panose1 w:val="00000000000000000000"/>
    <w:charset w:val="00"/>
    <w:family w:val="auto"/>
    <w:pitch w:val="default"/>
    <w:sig w:usb0="00000000" w:usb1="00000000" w:usb2="00000010"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auto"/>
    <w:pitch w:val="default"/>
    <w:sig w:usb0="00000000" w:usb1="00000000" w:usb2="0000003F" w:usb3="00000000" w:csb0="003F01FF" w:csb1="00000000"/>
  </w:font>
  <w:font w:name="Tahoma">
    <w:panose1 w:val="020B0604030504040204"/>
    <w:charset w:val="00"/>
    <w:family w:val="auto"/>
    <w:pitch w:val="default"/>
    <w:sig w:usb0="E1002EFF" w:usb1="C000605B" w:usb2="00000029" w:usb3="00000000" w:csb0="200101FF" w:csb1="20280000"/>
  </w:font>
  <w:font w:name="MingLiU">
    <w:altName w:val="PMingLiU-ExtB"/>
    <w:panose1 w:val="02020309000000000000"/>
    <w:charset w:val="88"/>
    <w:family w:val="auto"/>
    <w:pitch w:val="default"/>
    <w:sig w:usb0="00000000" w:usb1="00000000" w:usb2="00000016" w:usb3="00000000" w:csb0="00100001" w:csb1="00000000"/>
  </w:font>
  <w:font w:name="方正仿宋_GBK">
    <w:altName w:val="宋体"/>
    <w:panose1 w:val="00000000000000000000"/>
    <w:charset w:val="00"/>
    <w:family w:val="auto"/>
    <w:pitch w:val="default"/>
    <w:sig w:usb0="00000000" w:usb1="00000000" w:usb2="00000000" w:usb3="00000000" w:csb0="00040001" w:csb1="00000000"/>
  </w:font>
  <w:font w:name="TimesNewRomanPS-BoldMT">
    <w:altName w:val="微软雅黑"/>
    <w:panose1 w:val="00000000000000000000"/>
    <w:charset w:val="00"/>
    <w:family w:val="auto"/>
    <w:pitch w:val="default"/>
    <w:sig w:usb0="00000000" w:usb1="00000000" w:usb2="00000000" w:usb3="00000000" w:csb0="00040001" w:csb1="00000000"/>
  </w:font>
  <w:font w:name="方正小标宋_GBK">
    <w:altName w:val="宋体"/>
    <w:panose1 w:val="02000000000000000000"/>
    <w:charset w:val="86"/>
    <w:family w:val="auto"/>
    <w:pitch w:val="default"/>
    <w:sig w:usb0="00000000" w:usb1="00000000" w:usb2="00082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YaHei">
    <w:altName w:val="Courier New"/>
    <w:panose1 w:val="00000000000000000000"/>
    <w:charset w:val="00"/>
    <w:family w:val="auto"/>
    <w:pitch w:val="default"/>
    <w:sig w:usb0="00000000" w:usb1="00000000" w:usb2="00000000" w:usb3="00000000" w:csb0="00040001" w:csb1="00000000"/>
  </w:font>
  <w:font w:name="TimesNewRomanPSMT">
    <w:altName w:val="Times New Roman"/>
    <w:panose1 w:val="00000000000000000000"/>
    <w:charset w:val="86"/>
    <w:family w:val="auto"/>
    <w:pitch w:val="default"/>
    <w:sig w:usb0="00000000" w:usb1="00000000" w:usb2="00000000" w:usb3="00000000" w:csb0="00040000" w:csb1="00000000"/>
  </w:font>
  <w:font w:name="WXXBS">
    <w:altName w:val="宋体"/>
    <w:panose1 w:val="00000000000000000000"/>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49" style="width:9.05pt;height:10.35pt;margin-top:0;margin-left:0;mso-height-relative:page;mso-position-horizontal:center;mso-position-horizontal-relative:margin;mso-width-relative:page;mso-wrap-style:none;position:absolute;z-index:251658240"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0" style="width:9.05pt;height:10.35pt;margin-top:0;margin-left:0;mso-height-relative:page;mso-position-horizontal:center;mso-position-horizontal-relative:margin;mso-width-relative:page;mso-wrap-style:none;position:absolute;z-index:251659264"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1" style="width:9.05pt;height:10.35pt;margin-top:0;margin-left:0;mso-height-relative:page;mso-position-horizontal:center;mso-position-horizontal-relative:margin;mso-width-relative:page;mso-wrap-style:none;position:absolute;z-index:251660288"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rect>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2" style="width:9.05pt;height:10.35pt;margin-top:0;margin-left:0;mso-height-relative:page;mso-position-horizontal:center;mso-position-horizontal-relative:margin;mso-width-relative:page;mso-wrap-style:none;position:absolute;z-index:251661312"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5</w:t>
                </w:r>
                <w:r>
                  <w:fldChar w:fldCharType="end"/>
                </w:r>
              </w:p>
            </w:txbxContent>
          </v:textbox>
          <w10:wrap anchorx="margin"/>
        </v:rect>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3" style="width:9.05pt;height:10.35pt;margin-top:0;margin-left:0;mso-height-relative:page;mso-position-horizontal:center;mso-position-horizontal-relative:margin;mso-width-relative:page;mso-wrap-style:none;position:absolute;z-index:251662336"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rect>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4" style="width:9.05pt;height:10.35pt;margin-top:0;margin-left:0;mso-height-relative:page;mso-position-horizontal:center;mso-position-horizontal-relative:margin;mso-width-relative:page;mso-wrap-style:none;position:absolute;z-index:251663360"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rect>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5" style="width:9.05pt;height:10.35pt;margin-top:0;margin-left:0;mso-height-relative:page;mso-position-horizontal:center;mso-position-horizontal-relative:margin;mso-width-relative:page;mso-wrap-style:none;position:absolute;z-index:251664384"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rect>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6" style="width:9.05pt;height:10.35pt;margin-top:0;margin-left:0;mso-height-relative:page;mso-position-horizontal:center;mso-position-horizontal-relative:margin;mso-width-relative:page;mso-wrap-style:none;position:absolute;z-index:251665408"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rect>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7" style="width:9.05pt;height:10.35pt;margin-top:0;margin-left:0;mso-height-relative:page;mso-position-horizontal:center;mso-position-horizontal-relative:margin;mso-width-relative:page;mso-wrap-style:none;position:absolute;z-index:251666432"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rect>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8" style="width:9.05pt;height:10.35pt;margin-top:0;margin-left:0;mso-height-relative:page;mso-position-horizontal:center;mso-position-horizontal-relative:margin;mso-width-relative:page;mso-wrap-style:none;position:absolute;z-index:251667456"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rect>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59" style="width:9.05pt;height:10.35pt;margin-top:0;margin-left:0;mso-height-relative:page;mso-position-horizontal:center;mso-position-horizontal-relative:margin;mso-width-relative:page;mso-wrap-style:none;position:absolute;z-index:251668480"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11</w:t>
                </w:r>
                <w:r>
                  <w:fldChar w:fldCharType="end"/>
                </w:r>
              </w:p>
            </w:txbxContent>
          </v:textbox>
          <w10:wrap anchorx="margin"/>
        </v:rect>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0" style="width:9.05pt;height:10.35pt;margin-top:0;margin-left:0;mso-height-relative:page;mso-position-horizontal:center;mso-position-horizontal-relative:margin;mso-width-relative:page;mso-wrap-style:none;position:absolute;z-index:251669504"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13</w:t>
                </w:r>
                <w:r>
                  <w:fldChar w:fldCharType="end"/>
                </w:r>
              </w:p>
            </w:txbxContent>
          </v:textbox>
          <w10:wrap anchorx="margin"/>
        </v:rect>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1" style="width:9.05pt;height:10.35pt;margin-top:0;margin-left:0;mso-height-relative:page;mso-position-horizontal:center;mso-position-horizontal-relative:margin;mso-width-relative:page;mso-wrap-style:none;position:absolute;z-index:251670528"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14</w:t>
                </w:r>
                <w:r>
                  <w:fldChar w:fldCharType="end"/>
                </w:r>
              </w:p>
            </w:txbxContent>
          </v:textbox>
          <w10:wrap anchorx="margin"/>
        </v:rect>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2" style="width:9.05pt;height:10.35pt;margin-top:0;margin-left:0;mso-height-relative:page;mso-position-horizontal:center;mso-position-horizontal-relative:margin;mso-width-relative:page;mso-wrap-style:none;position:absolute;z-index:251671552"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15</w:t>
                </w:r>
                <w:r>
                  <w:fldChar w:fldCharType="end"/>
                </w:r>
              </w:p>
            </w:txbxContent>
          </v:textbox>
          <w10:wrap anchorx="margin"/>
        </v:rect>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3" style="width:9.05pt;height:10.35pt;margin-top:0;margin-left:0;mso-height-relative:page;mso-position-horizontal:center;mso-position-horizontal-relative:margin;mso-width-relative:page;mso-wrap-style:none;position:absolute;z-index:251672576"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15</w:t>
                </w:r>
                <w:r>
                  <w:fldChar w:fldCharType="end"/>
                </w:r>
              </w:p>
            </w:txbxContent>
          </v:textbox>
          <w10:wrap anchorx="margin"/>
        </v:rect>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4" style="width:9.05pt;height:10.35pt;margin-top:0;margin-left:0;mso-height-relative:page;mso-position-horizontal:center;mso-position-horizontal-relative:margin;mso-width-relative:page;mso-wrap-style:none;position:absolute;z-index:251673600"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16</w:t>
                </w:r>
                <w:r>
                  <w:fldChar w:fldCharType="end"/>
                </w:r>
              </w:p>
            </w:txbxContent>
          </v:textbox>
          <w10:wrap anchorx="margin"/>
        </v:rect>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5" style="width:9.05pt;height:10.35pt;margin-top:0;margin-left:0;mso-height-relative:page;mso-position-horizontal:center;mso-position-horizontal-relative:margin;mso-width-relative:page;mso-wrap-style:none;position:absolute;z-index:251674624"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17</w:t>
                </w:r>
                <w:r>
                  <w:fldChar w:fldCharType="end"/>
                </w:r>
              </w:p>
            </w:txbxContent>
          </v:textbox>
          <w10:wrap anchorx="margin"/>
        </v:rect>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6" style="width:9.05pt;height:10.35pt;margin-top:0;margin-left:0;mso-height-relative:page;mso-position-horizontal:center;mso-position-horizontal-relative:margin;mso-width-relative:page;mso-wrap-style:none;position:absolute;z-index:251675648"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18</w:t>
                </w:r>
                <w:r>
                  <w:fldChar w:fldCharType="end"/>
                </w:r>
              </w:p>
            </w:txbxContent>
          </v:textbox>
          <w10:wrap anchorx="margin"/>
        </v:rect>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7" style="width:9.05pt;height:10.35pt;margin-top:0;margin-left:0;mso-height-relative:page;mso-position-horizontal:center;mso-position-horizontal-relative:margin;mso-width-relative:page;mso-wrap-style:none;position:absolute;z-index:251676672"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19</w:t>
                </w:r>
                <w:r>
                  <w:fldChar w:fldCharType="end"/>
                </w:r>
              </w:p>
            </w:txbxContent>
          </v:textbox>
          <w10:wrap anchorx="margin"/>
        </v:rect>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8" style="width:9.05pt;height:10.35pt;margin-top:0;margin-left:0;mso-height-relative:page;mso-position-horizontal:center;mso-position-horizontal-relative:margin;mso-width-relative:page;mso-wrap-style:none;position:absolute;z-index:251677696"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20</w:t>
                </w:r>
                <w:r>
                  <w:fldChar w:fldCharType="end"/>
                </w:r>
              </w:p>
            </w:txbxContent>
          </v:textbox>
          <w10:wrap anchorx="margin"/>
        </v:rect>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69" style="width:9.05pt;height:10.35pt;margin-top:0;margin-left:0;mso-height-relative:page;mso-position-horizontal:center;mso-position-horizontal-relative:margin;mso-width-relative:page;mso-wrap-style:none;position:absolute;z-index:251678720"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21</w:t>
                </w:r>
                <w:r>
                  <w:fldChar w:fldCharType="end"/>
                </w:r>
              </w:p>
            </w:txbxContent>
          </v:textbox>
          <w10:wrap anchorx="margin"/>
        </v:rect>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70" style="width:9.05pt;height:10.35pt;margin-top:0;margin-left:0;mso-height-relative:page;mso-position-horizontal:center;mso-position-horizontal-relative:margin;mso-width-relative:page;mso-wrap-style:none;position:absolute;z-index:251679744"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22</w:t>
                </w:r>
                <w:r>
                  <w:fldChar w:fldCharType="end"/>
                </w:r>
              </w:p>
            </w:txbxContent>
          </v:textbox>
          <w10:wrap anchorx="margin"/>
        </v:rect>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71" style="width:9.05pt;height:10.35pt;margin-top:0;margin-left:0;mso-height-relative:page;mso-position-horizontal:center;mso-position-horizontal-relative:margin;mso-width-relative:page;mso-wrap-style:none;position:absolute;z-index:251680768"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23</w:t>
                </w:r>
                <w:r>
                  <w:fldChar w:fldCharType="end"/>
                </w:r>
              </w:p>
            </w:txbxContent>
          </v:textbox>
          <w10:wrap anchorx="margin"/>
        </v:rect>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72" style="width:9.05pt;height:10.35pt;margin-top:0;margin-left:0;mso-height-relative:page;mso-position-horizontal:center;mso-position-horizontal-relative:margin;mso-width-relative:page;mso-wrap-style:none;position:absolute;z-index:251681792"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24</w:t>
                </w:r>
                <w:r>
                  <w:fldChar w:fldCharType="end"/>
                </w:r>
              </w:p>
            </w:txbxContent>
          </v:textbox>
          <w10:wrap anchorx="margin"/>
        </v:rect>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r>
      <w:rPr>
        <w:rFonts w:ascii="Times New Roman" w:eastAsia="宋体" w:hAnsi="Times New Roman" w:cs="Times New Roman"/>
        <w:kern w:val="2"/>
        <w:sz w:val="18"/>
        <w:szCs w:val="18"/>
        <w:lang w:val="en-US" w:eastAsia="zh-CN" w:bidi="ar-SA"/>
      </w:rPr>
      <w:pict>
        <v:rect id="文本框 175" o:spid="_x0000_s2073" style="width:9.05pt;height:10.35pt;margin-top:0;margin-left:0;mso-height-relative:page;mso-position-horizontal:center;mso-position-horizontal-relative:margin;mso-width-relative:page;mso-wrap-style:none;position:absolute;z-index:251682816" coordsize="21600,21600" o:preferrelative="t" filled="f" fillcolor="white" stroked="f">
          <v:fill color2="white"/>
          <o:lock v:ext="edit" aspectratio="f"/>
          <v:textbox style="mso-fit-shape-to-text:t" inset="0,0,0,0">
            <w:txbxContent>
              <w:p>
                <w:pPr>
                  <w:pStyle w:val="Footer"/>
                </w:pPr>
                <w:r>
                  <w:fldChar w:fldCharType="begin"/>
                </w:r>
                <w:r>
                  <w:instrText xml:space="preserve"> PAGE  \* MERGEFORMAT </w:instrText>
                </w:r>
                <w:r>
                  <w:fldChar w:fldCharType="separate"/>
                </w:r>
                <w:r>
                  <w:t>26</w:t>
                </w:r>
                <w:r>
                  <w:fldChar w:fldCharType="end"/>
                </w:r>
              </w:p>
            </w:txbxContent>
          </v:textbox>
          <w10:wrap anchorx="margin"/>
        </v:rect>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C605F5F2"/>
    <w:multiLevelType w:val="singleLevel"/>
    <w:tmpl w:val="C605F5F2"/>
    <w:lvl w:ilvl="0">
      <w:start w:val="1"/>
      <w:numFmt w:val="decimal"/>
      <w:pStyle w:val="4"/>
      <w:lvlText w:val="表4-%1."/>
      <w:lvlJc w:val="left"/>
      <w:pPr>
        <w:tabs>
          <w:tab w:val="left" w:pos="397"/>
        </w:tabs>
        <w:ind w:left="454" w:hanging="454"/>
      </w:pPr>
      <w:rPr>
        <w:rFonts w:hint="default"/>
      </w:rPr>
    </w:lvl>
  </w:abstractNum>
  <w:abstractNum w:abstractNumId="1">
    <w:nsid w:val="E0D27CB2"/>
    <w:multiLevelType w:val="multilevel"/>
    <w:tmpl w:val="E0D27CB2"/>
    <w:lvl w:ilvl="0">
      <w:start w:val="1"/>
      <w:numFmt w:val="decimal"/>
      <w:pStyle w:val="1-"/>
      <w:lvlText w:val="表1-%1."/>
      <w:lvlJc w:val="left"/>
      <w:pPr>
        <w:ind w:left="1895" w:hanging="425"/>
      </w:pPr>
      <w:rPr>
        <w:rFonts w:ascii="宋体" w:eastAsia="宋体" w:hAnsi="宋体" w:cs="宋体" w:hint="default"/>
      </w:rPr>
    </w:lvl>
    <w:lvl w:ilvl="1">
      <w:start w:val="1"/>
      <w:numFmt w:val="decimal"/>
      <w:lvlText w:val="%1.%2."/>
      <w:lvlJc w:val="left"/>
      <w:pPr>
        <w:ind w:left="2320" w:hanging="453"/>
      </w:pPr>
      <w:rPr>
        <w:rFonts w:hint="default"/>
      </w:rPr>
    </w:lvl>
    <w:lvl w:ilvl="2">
      <w:start w:val="1"/>
      <w:numFmt w:val="decimal"/>
      <w:lvlText w:val="%1.%2.%3."/>
      <w:lvlJc w:val="left"/>
      <w:pPr>
        <w:ind w:left="2978" w:hanging="708"/>
      </w:pPr>
      <w:rPr>
        <w:rFonts w:hint="default"/>
      </w:rPr>
    </w:lvl>
    <w:lvl w:ilvl="3">
      <w:start w:val="1"/>
      <w:numFmt w:val="decimal"/>
      <w:lvlText w:val="%1.%2.%3.%4."/>
      <w:lvlJc w:val="left"/>
      <w:pPr>
        <w:ind w:left="3523" w:hanging="853"/>
      </w:pPr>
      <w:rPr>
        <w:rFonts w:hint="default"/>
      </w:rPr>
    </w:lvl>
    <w:lvl w:ilvl="4">
      <w:start w:val="1"/>
      <w:numFmt w:val="decimal"/>
      <w:lvlText w:val="%1.%2.%3.%4.%5."/>
      <w:lvlJc w:val="left"/>
      <w:pPr>
        <w:ind w:left="3965" w:hanging="895"/>
      </w:pPr>
      <w:rPr>
        <w:rFonts w:hint="default"/>
      </w:rPr>
    </w:lvl>
    <w:lvl w:ilvl="5">
      <w:start w:val="1"/>
      <w:numFmt w:val="decimal"/>
      <w:lvlText w:val="%1.%2.%3.%4.%5.%6."/>
      <w:lvlJc w:val="left"/>
      <w:pPr>
        <w:ind w:left="4606" w:hanging="1136"/>
      </w:pPr>
      <w:rPr>
        <w:rFonts w:hint="default"/>
      </w:rPr>
    </w:lvl>
    <w:lvl w:ilvl="6">
      <w:start w:val="1"/>
      <w:numFmt w:val="decimal"/>
      <w:lvlText w:val="%1.%2.%3.%4.%5.%6.%7."/>
      <w:lvlJc w:val="left"/>
      <w:pPr>
        <w:ind w:left="5143" w:hanging="1273"/>
      </w:pPr>
      <w:rPr>
        <w:rFonts w:hint="default"/>
      </w:rPr>
    </w:lvl>
    <w:lvl w:ilvl="7">
      <w:start w:val="1"/>
      <w:numFmt w:val="decimal"/>
      <w:lvlText w:val="%1.%2.%3.%4.%5.%6.%7.%8."/>
      <w:lvlJc w:val="left"/>
      <w:pPr>
        <w:ind w:left="5688" w:hanging="1418"/>
      </w:pPr>
      <w:rPr>
        <w:rFonts w:hint="default"/>
      </w:rPr>
    </w:lvl>
    <w:lvl w:ilvl="8">
      <w:start w:val="1"/>
      <w:numFmt w:val="decimal"/>
      <w:lvlText w:val="%1.%2.%3.%4.%5.%6.%7.%8.%9."/>
      <w:lvlJc w:val="left"/>
      <w:pPr>
        <w:ind w:left="6118" w:hanging="1448"/>
      </w:pPr>
      <w:rPr>
        <w:rFonts w:hint="default"/>
      </w:rPr>
    </w:lvl>
  </w:abstractNum>
  <w:abstractNum w:abstractNumId="2">
    <w:nsid w:val="E1618DCA"/>
    <w:multiLevelType w:val="singleLevel"/>
    <w:tmpl w:val="E1618DCA"/>
    <w:lvl w:ilvl="0">
      <w:start w:val="1"/>
      <w:numFmt w:val="chineseCounting"/>
      <w:suff w:val="nothing"/>
      <w:lvlText w:val="%1、"/>
      <w:lvlJc w:val="left"/>
      <w:rPr>
        <w:rFonts w:hint="eastAsia"/>
      </w:rPr>
    </w:lvl>
  </w:abstractNum>
  <w:abstractNum w:abstractNumId="3">
    <w:nsid w:val="F0C93DB3"/>
    <w:multiLevelType w:val="singleLevel"/>
    <w:tmpl w:val="F0C93DB3"/>
    <w:lvl w:ilvl="0">
      <w:start w:val="1"/>
      <w:numFmt w:val="decimal"/>
      <w:pStyle w:val="3"/>
      <w:lvlText w:val="表3-%1."/>
      <w:lvlJc w:val="left"/>
      <w:pPr>
        <w:tabs>
          <w:tab w:val="left" w:pos="420"/>
        </w:tabs>
        <w:ind w:left="425" w:hanging="425"/>
      </w:pPr>
      <w:rPr>
        <w:rFonts w:hint="default"/>
      </w:rPr>
    </w:lvl>
  </w:abstractNum>
  <w:abstractNum w:abstractNumId="4">
    <w:nsid w:val="1778AB6C"/>
    <w:multiLevelType w:val="singleLevel"/>
    <w:tmpl w:val="1778AB6C"/>
    <w:lvl w:ilvl="0">
      <w:start w:val="1"/>
      <w:numFmt w:val="decimal"/>
      <w:suff w:val="nothing"/>
      <w:lvlText w:val="（%1）"/>
      <w:lvlJc w:val="left"/>
    </w:lvl>
  </w:abstractNum>
  <w:abstractNum w:abstractNumId="5">
    <w:nsid w:val="20510C44"/>
    <w:multiLevelType w:val="multilevel"/>
    <w:tmpl w:val="20510C44"/>
    <w:lvl w:ilvl="0">
      <w:start w:val="1"/>
      <w:numFmt w:val="decimal"/>
      <w:pStyle w:val="7"/>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3F7EED4D"/>
    <w:multiLevelType w:val="singleLevel"/>
    <w:tmpl w:val="3F7EED4D"/>
    <w:lvl w:ilvl="0">
      <w:start w:val="1"/>
      <w:numFmt w:val="bullet"/>
      <w:pStyle w:val="ListBullet5"/>
      <w:lvlText w:val=""/>
      <w:lvlJc w:val="left"/>
      <w:pPr>
        <w:tabs>
          <w:tab w:val="left" w:pos="2040"/>
        </w:tabs>
        <w:ind w:left="2040" w:hanging="360"/>
      </w:pPr>
      <w:rPr>
        <w:rFonts w:ascii="Wingdings" w:hAnsi="Wingdings" w:hint="default"/>
      </w:rPr>
    </w:lvl>
  </w:abstractNum>
  <w:abstractNum w:abstractNumId="7">
    <w:nsid w:val="45CDEB14"/>
    <w:multiLevelType w:val="multilevel"/>
    <w:tmpl w:val="45CDEB14"/>
    <w:lvl w:ilvl="0">
      <w:start w:val="1"/>
      <w:numFmt w:val="decimal"/>
      <w:pStyle w:val="2-"/>
      <w:lvlText w:val="表2-%1."/>
      <w:lvlJc w:val="left"/>
      <w:pPr>
        <w:ind w:left="425" w:hanging="425"/>
      </w:pPr>
      <w:rPr>
        <w:rFonts w:ascii="宋体" w:eastAsia="宋体" w:hAnsi="宋体" w:cs="宋体" w:hint="default"/>
      </w:rPr>
    </w:lvl>
    <w:lvl w:ilvl="1">
      <w:start w:val="1"/>
      <w:numFmt w:val="decimal"/>
      <w:lvlText w:val="%1.%2."/>
      <w:lvlJc w:val="left"/>
      <w:pPr>
        <w:ind w:left="850" w:hanging="453"/>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num w:numId="1">
    <w:abstractNumId w:val="6"/>
  </w:num>
  <w:num w:numId="2">
    <w:abstractNumId w:val="5"/>
  </w:num>
  <w:num w:numId="3">
    <w:abstractNumId w:val="3"/>
  </w:num>
  <w:num w:numId="4">
    <w:abstractNumId w:val="0"/>
  </w:num>
  <w:num w:numId="5">
    <w:abstractNumId w:val="7"/>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HorizontalSpacing w:val="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F22F9D"/>
    <w:rsid w:val="01136215"/>
    <w:rsid w:val="01F83CB0"/>
    <w:rsid w:val="020B6FE8"/>
    <w:rsid w:val="02353A89"/>
    <w:rsid w:val="02587777"/>
    <w:rsid w:val="026E67DA"/>
    <w:rsid w:val="02AB3D4B"/>
    <w:rsid w:val="02BC3862"/>
    <w:rsid w:val="031255A6"/>
    <w:rsid w:val="03196F07"/>
    <w:rsid w:val="0323672A"/>
    <w:rsid w:val="03D60BBC"/>
    <w:rsid w:val="050A36D9"/>
    <w:rsid w:val="056A06B9"/>
    <w:rsid w:val="057C7839"/>
    <w:rsid w:val="058F34B0"/>
    <w:rsid w:val="05A117DC"/>
    <w:rsid w:val="07097292"/>
    <w:rsid w:val="07330B1F"/>
    <w:rsid w:val="087921C3"/>
    <w:rsid w:val="089F21D6"/>
    <w:rsid w:val="09CA2E20"/>
    <w:rsid w:val="09ED6113"/>
    <w:rsid w:val="0A1755E4"/>
    <w:rsid w:val="0A2C5DCB"/>
    <w:rsid w:val="0A5B19B0"/>
    <w:rsid w:val="0A5B7CB7"/>
    <w:rsid w:val="0A75718C"/>
    <w:rsid w:val="0AA736C5"/>
    <w:rsid w:val="0AD4074E"/>
    <w:rsid w:val="0B316DB7"/>
    <w:rsid w:val="0B7E79F9"/>
    <w:rsid w:val="0C3502F0"/>
    <w:rsid w:val="0C796C68"/>
    <w:rsid w:val="0CEF4999"/>
    <w:rsid w:val="0CF2235F"/>
    <w:rsid w:val="0D7C73F5"/>
    <w:rsid w:val="0DFF319D"/>
    <w:rsid w:val="0F093F3B"/>
    <w:rsid w:val="0F61415F"/>
    <w:rsid w:val="0FA23A8F"/>
    <w:rsid w:val="0FF21CA9"/>
    <w:rsid w:val="100107CC"/>
    <w:rsid w:val="104D01F0"/>
    <w:rsid w:val="11507CD0"/>
    <w:rsid w:val="11AF0969"/>
    <w:rsid w:val="11E144B4"/>
    <w:rsid w:val="11EB7CC0"/>
    <w:rsid w:val="11ED7150"/>
    <w:rsid w:val="12647A72"/>
    <w:rsid w:val="12696E37"/>
    <w:rsid w:val="12851EC3"/>
    <w:rsid w:val="139C332A"/>
    <w:rsid w:val="13BF768D"/>
    <w:rsid w:val="14DB04C0"/>
    <w:rsid w:val="150A7927"/>
    <w:rsid w:val="16210154"/>
    <w:rsid w:val="16625582"/>
    <w:rsid w:val="167A5BE3"/>
    <w:rsid w:val="16BB1B19"/>
    <w:rsid w:val="16C17241"/>
    <w:rsid w:val="16F413C5"/>
    <w:rsid w:val="170513F4"/>
    <w:rsid w:val="172A128B"/>
    <w:rsid w:val="17CF598E"/>
    <w:rsid w:val="17ED79BD"/>
    <w:rsid w:val="1833760E"/>
    <w:rsid w:val="1845108E"/>
    <w:rsid w:val="191B7A61"/>
    <w:rsid w:val="19C07C0D"/>
    <w:rsid w:val="1BF44C14"/>
    <w:rsid w:val="1C942349"/>
    <w:rsid w:val="1CA67766"/>
    <w:rsid w:val="1CC61A56"/>
    <w:rsid w:val="1DC55AB0"/>
    <w:rsid w:val="1E3F5CE0"/>
    <w:rsid w:val="1E58492F"/>
    <w:rsid w:val="1E6C55D3"/>
    <w:rsid w:val="1EAC053B"/>
    <w:rsid w:val="1F792252"/>
    <w:rsid w:val="1FD46237"/>
    <w:rsid w:val="20400535"/>
    <w:rsid w:val="204C04C4"/>
    <w:rsid w:val="20BC64FA"/>
    <w:rsid w:val="215E7B38"/>
    <w:rsid w:val="21A06152"/>
    <w:rsid w:val="21AD4903"/>
    <w:rsid w:val="227A6942"/>
    <w:rsid w:val="230E1A60"/>
    <w:rsid w:val="231D4767"/>
    <w:rsid w:val="2378512C"/>
    <w:rsid w:val="23B1490B"/>
    <w:rsid w:val="23C860B3"/>
    <w:rsid w:val="23DB4E55"/>
    <w:rsid w:val="23EB2BBA"/>
    <w:rsid w:val="23F54B4F"/>
    <w:rsid w:val="244362A8"/>
    <w:rsid w:val="24531C08"/>
    <w:rsid w:val="24AD24EC"/>
    <w:rsid w:val="251934E4"/>
    <w:rsid w:val="25781413"/>
    <w:rsid w:val="2580651A"/>
    <w:rsid w:val="268B5154"/>
    <w:rsid w:val="26BF3453"/>
    <w:rsid w:val="26D60AE7"/>
    <w:rsid w:val="28771E56"/>
    <w:rsid w:val="28EF40E2"/>
    <w:rsid w:val="290646EF"/>
    <w:rsid w:val="29693E94"/>
    <w:rsid w:val="298B4856"/>
    <w:rsid w:val="29CC61D1"/>
    <w:rsid w:val="2A475858"/>
    <w:rsid w:val="2A5F5A2D"/>
    <w:rsid w:val="2B08009A"/>
    <w:rsid w:val="2B230073"/>
    <w:rsid w:val="2B3B6A26"/>
    <w:rsid w:val="2B873F04"/>
    <w:rsid w:val="2C293493"/>
    <w:rsid w:val="2C6A6E1B"/>
    <w:rsid w:val="2D2C32D2"/>
    <w:rsid w:val="2DA25879"/>
    <w:rsid w:val="2F802F40"/>
    <w:rsid w:val="2FD7142C"/>
    <w:rsid w:val="304A1FE6"/>
    <w:rsid w:val="304F00C5"/>
    <w:rsid w:val="308E4E30"/>
    <w:rsid w:val="30CE0A81"/>
    <w:rsid w:val="31F43B9D"/>
    <w:rsid w:val="32016F71"/>
    <w:rsid w:val="327A16BC"/>
    <w:rsid w:val="32957643"/>
    <w:rsid w:val="32A934AD"/>
    <w:rsid w:val="33C109A6"/>
    <w:rsid w:val="33F24D31"/>
    <w:rsid w:val="342C7717"/>
    <w:rsid w:val="345B087E"/>
    <w:rsid w:val="34DA3E98"/>
    <w:rsid w:val="352E1AEE"/>
    <w:rsid w:val="35BA72A4"/>
    <w:rsid w:val="35F76384"/>
    <w:rsid w:val="365E28A7"/>
    <w:rsid w:val="37537F32"/>
    <w:rsid w:val="375A593A"/>
    <w:rsid w:val="3798104C"/>
    <w:rsid w:val="39653E33"/>
    <w:rsid w:val="3A5C0EAC"/>
    <w:rsid w:val="3AAB768C"/>
    <w:rsid w:val="3B6739F8"/>
    <w:rsid w:val="3C241D81"/>
    <w:rsid w:val="3C3A2888"/>
    <w:rsid w:val="3C577151"/>
    <w:rsid w:val="3C6F035F"/>
    <w:rsid w:val="3CFC0570"/>
    <w:rsid w:val="3D3659E4"/>
    <w:rsid w:val="3D7C6163"/>
    <w:rsid w:val="3DC56D68"/>
    <w:rsid w:val="3E453D00"/>
    <w:rsid w:val="3E4B48A9"/>
    <w:rsid w:val="3E5D4515"/>
    <w:rsid w:val="3E6F423A"/>
    <w:rsid w:val="3EB70DCD"/>
    <w:rsid w:val="3F5575B0"/>
    <w:rsid w:val="403F3DF1"/>
    <w:rsid w:val="40860A30"/>
    <w:rsid w:val="40FB5656"/>
    <w:rsid w:val="41476285"/>
    <w:rsid w:val="41944FC1"/>
    <w:rsid w:val="41E845B4"/>
    <w:rsid w:val="42AB29D0"/>
    <w:rsid w:val="447E5ABC"/>
    <w:rsid w:val="44907284"/>
    <w:rsid w:val="45091180"/>
    <w:rsid w:val="458E0810"/>
    <w:rsid w:val="45F823D0"/>
    <w:rsid w:val="46085304"/>
    <w:rsid w:val="46480997"/>
    <w:rsid w:val="469B0FAE"/>
    <w:rsid w:val="46BA1434"/>
    <w:rsid w:val="472E597E"/>
    <w:rsid w:val="47784E4E"/>
    <w:rsid w:val="47B916EB"/>
    <w:rsid w:val="47D44777"/>
    <w:rsid w:val="482B3223"/>
    <w:rsid w:val="48542493"/>
    <w:rsid w:val="489E2ED5"/>
    <w:rsid w:val="494D658F"/>
    <w:rsid w:val="49755AE6"/>
    <w:rsid w:val="49FB270E"/>
    <w:rsid w:val="4A41500F"/>
    <w:rsid w:val="4C7E6688"/>
    <w:rsid w:val="4D4201A6"/>
    <w:rsid w:val="4DFF58A5"/>
    <w:rsid w:val="4E904B1F"/>
    <w:rsid w:val="4FF254C9"/>
    <w:rsid w:val="508A7AD1"/>
    <w:rsid w:val="51054E87"/>
    <w:rsid w:val="512C73D2"/>
    <w:rsid w:val="517A2ADB"/>
    <w:rsid w:val="519311FF"/>
    <w:rsid w:val="52554706"/>
    <w:rsid w:val="53CC6C4A"/>
    <w:rsid w:val="54180B8B"/>
    <w:rsid w:val="546A5834"/>
    <w:rsid w:val="54773C15"/>
    <w:rsid w:val="54B17AAC"/>
    <w:rsid w:val="54BC281B"/>
    <w:rsid w:val="54C8231F"/>
    <w:rsid w:val="54D00696"/>
    <w:rsid w:val="552C52CA"/>
    <w:rsid w:val="559F31E2"/>
    <w:rsid w:val="55F60F83"/>
    <w:rsid w:val="56283E5D"/>
    <w:rsid w:val="567248AA"/>
    <w:rsid w:val="572A6162"/>
    <w:rsid w:val="578E4942"/>
    <w:rsid w:val="58242BB1"/>
    <w:rsid w:val="58795E8A"/>
    <w:rsid w:val="59A321FB"/>
    <w:rsid w:val="59F15AA1"/>
    <w:rsid w:val="5BE34B31"/>
    <w:rsid w:val="5BE621FE"/>
    <w:rsid w:val="5D270A95"/>
    <w:rsid w:val="5DD230AF"/>
    <w:rsid w:val="5E5169D5"/>
    <w:rsid w:val="5F1009CA"/>
    <w:rsid w:val="5FE00426"/>
    <w:rsid w:val="604B63D2"/>
    <w:rsid w:val="606B6F8C"/>
    <w:rsid w:val="610E43FE"/>
    <w:rsid w:val="613D4CE3"/>
    <w:rsid w:val="614C4F26"/>
    <w:rsid w:val="61D670BC"/>
    <w:rsid w:val="61D72152"/>
    <w:rsid w:val="62214605"/>
    <w:rsid w:val="628C5F22"/>
    <w:rsid w:val="6294085A"/>
    <w:rsid w:val="62B9483E"/>
    <w:rsid w:val="631942AE"/>
    <w:rsid w:val="64763E74"/>
    <w:rsid w:val="65201E76"/>
    <w:rsid w:val="65393BBC"/>
    <w:rsid w:val="6566683F"/>
    <w:rsid w:val="661701F9"/>
    <w:rsid w:val="665C20B0"/>
    <w:rsid w:val="66723681"/>
    <w:rsid w:val="66952ECC"/>
    <w:rsid w:val="67F11F2B"/>
    <w:rsid w:val="68491F2B"/>
    <w:rsid w:val="693A00BE"/>
    <w:rsid w:val="696D1EDE"/>
    <w:rsid w:val="69B32A8F"/>
    <w:rsid w:val="6A0B1E23"/>
    <w:rsid w:val="6AD95132"/>
    <w:rsid w:val="6B780591"/>
    <w:rsid w:val="6BCC3834"/>
    <w:rsid w:val="6EB77244"/>
    <w:rsid w:val="6EE039DB"/>
    <w:rsid w:val="6F527D12"/>
    <w:rsid w:val="6F70011C"/>
    <w:rsid w:val="70351797"/>
    <w:rsid w:val="70A26535"/>
    <w:rsid w:val="716A59B2"/>
    <w:rsid w:val="71B65635"/>
    <w:rsid w:val="71C823A7"/>
    <w:rsid w:val="71D31271"/>
    <w:rsid w:val="724101BC"/>
    <w:rsid w:val="725E4ABA"/>
    <w:rsid w:val="72813CB1"/>
    <w:rsid w:val="730466C8"/>
    <w:rsid w:val="73104006"/>
    <w:rsid w:val="7335228A"/>
    <w:rsid w:val="73531C8C"/>
    <w:rsid w:val="737D01A5"/>
    <w:rsid w:val="737E5413"/>
    <w:rsid w:val="74650381"/>
    <w:rsid w:val="74866CC7"/>
    <w:rsid w:val="74FF4332"/>
    <w:rsid w:val="7590369B"/>
    <w:rsid w:val="76086391"/>
    <w:rsid w:val="760B4F58"/>
    <w:rsid w:val="766B41BF"/>
    <w:rsid w:val="766C14B7"/>
    <w:rsid w:val="76AA770D"/>
    <w:rsid w:val="77A61B6C"/>
    <w:rsid w:val="78755654"/>
    <w:rsid w:val="793B0121"/>
    <w:rsid w:val="79A13C0A"/>
    <w:rsid w:val="79BC0D4C"/>
    <w:rsid w:val="7A686510"/>
    <w:rsid w:val="7AD26045"/>
    <w:rsid w:val="7B3608F1"/>
    <w:rsid w:val="7CB808FE"/>
    <w:rsid w:val="7D7F7F26"/>
    <w:rsid w:val="7E0806FB"/>
    <w:rsid w:val="7E6D4A02"/>
    <w:rsid w:val="7E711F2A"/>
    <w:rsid w:val="7E751B09"/>
    <w:rsid w:val="7F1734CD"/>
    <w:rsid w:val="7FC06DB4"/>
    <w:rsid w:val="7FC9196B"/>
    <w:rsid w:val="7FDA366E"/>
    <w:rsid w:val="7FE72592"/>
  </w:rsids>
  <w:docVars>
    <w:docVar w:name="commondata" w:val="eyJoZGlkIjoiMzg5MzIzOGViZDdkODk4MmE0YTVmMDFiMmQzMDNhZDUifQ=="/>
  </w:docVar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0"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nhideWhenUsed="0" w:qFormat="1"/>
    <w:lsdException w:name="footnote text"/>
    <w:lsdException w:name="annotation text" w:uiPriority="0" w:unhideWhenUsed="0" w:qFormat="1"/>
    <w:lsdException w:name="header" w:semiHidden="0" w:uiPriority="0" w:qFormat="1"/>
    <w:lsdException w:name="footer" w:semiHidden="0" w:qFormat="1"/>
    <w:lsdException w:name="index heading"/>
    <w:lsdException w:name="caption" w:semiHidden="0" w:unhideWhenUsed="0" w:qFormat="1"/>
    <w:lsdException w:name="table of figures" w:semiHidden="0" w:unhideWhenUsed="0" w:qFormat="1"/>
    <w:lsdException w:name="envelope address"/>
    <w:lsdException w:name="envelope return"/>
    <w:lsdException w:name="footnote reference"/>
    <w:lsdException w:name="annotation reference" w:uiPriority="0" w:unhideWhenUsed="0" w:qFormat="1"/>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semiHidden="0" w:uiPriority="0" w:unhideWhenUsed="0" w:qFormat="1"/>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semiHidden="0" w:uiPriority="0" w:unhideWhenUsed="0" w:qFormat="1"/>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uiPriority="0" w:unhideWhenUsed="0" w:qFormat="1"/>
    <w:lsdException w:name="Body Text Indent" w:semiHidden="0" w:uiPriority="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Note Heading"/>
    <w:lsdException w:name="Body Text 2"/>
    <w:lsdException w:name="Body Text 3"/>
    <w:lsdException w:name="Body Text Indent 2" w:semiHidden="0" w:uiPriority="0" w:unhideWhenUsed="0" w:qFormat="1"/>
    <w:lsdException w:name="Body Text Indent 3" w:semiHidden="0" w:uiPriority="0" w:unhideWhenUsed="0" w:qFormat="1"/>
    <w:lsdException w:name="Block Text"/>
    <w:lsdException w:name="Hyperlink" w:semiHidden="0" w:qFormat="1"/>
    <w:lsdException w:name="FollowedHyperlink"/>
    <w:lsdException w:name="Strong" w:semiHidden="0" w:uiPriority="0" w:unhideWhenUsed="0" w:qFormat="1"/>
    <w:lsdException w:name="Emphasis" w:semiHidden="0" w:uiPriority="0" w:unhideWhenUsed="0" w:qFormat="1"/>
    <w:lsdException w:name="Document Map"/>
    <w:lsdException w:name="Plain Text" w:semiHidden="0" w:uiPriority="0" w:unhideWhenUsed="0" w:qFormat="1"/>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qFormat="1"/>
    <w:lsdException w:name="HTML Sample"/>
    <w:lsdException w:name="HTML Typewriter"/>
    <w:lsdException w:name="HTML Variable"/>
    <w:lsdException w:name="Normal Table" w:uiPriority="0" w:unhideWhenUsed="0" w:qFormat="1"/>
    <w:lsdException w:name="annotation subject" w:uiPriority="0" w:unhideWhenUsed="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qFormat="1"/>
    <w:lsdException w:name="Table Grid"/>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TOC2"/>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autoRedefine/>
    <w:uiPriority w:val="99"/>
    <w:qFormat/>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Heading2">
    <w:name w:val="heading 2"/>
    <w:basedOn w:val="Normal"/>
    <w:next w:val="Normal"/>
    <w:link w:val="2Char"/>
    <w:qFormat/>
    <w:pPr>
      <w:spacing w:before="100" w:beforeAutospacing="1" w:after="100" w:afterAutospacing="1"/>
      <w:jc w:val="left"/>
      <w:outlineLvl w:val="1"/>
    </w:pPr>
    <w:rPr>
      <w:rFonts w:ascii="宋体" w:hAnsi="宋体" w:hint="eastAsia"/>
      <w:b/>
      <w:bCs/>
      <w:kern w:val="0"/>
      <w:sz w:val="36"/>
      <w:szCs w:val="36"/>
    </w:rPr>
  </w:style>
  <w:style w:type="paragraph" w:styleId="Heading3">
    <w:name w:val="heading 3"/>
    <w:basedOn w:val="Normal"/>
    <w:next w:val="Normal"/>
    <w:link w:val="3Char"/>
    <w:qFormat/>
    <w:pPr>
      <w:keepNext/>
      <w:keepLines/>
      <w:spacing w:before="260" w:after="260" w:line="416" w:lineRule="auto"/>
      <w:ind w:firstLine="480" w:firstLineChars="200"/>
      <w:outlineLvl w:val="2"/>
    </w:pPr>
    <w:rPr>
      <w:b/>
      <w:bCs/>
      <w:sz w:val="32"/>
      <w:szCs w:val="32"/>
    </w:rPr>
  </w:style>
  <w:style w:type="paragraph" w:styleId="Heading4">
    <w:name w:val="heading 4"/>
    <w:basedOn w:val="Normal"/>
    <w:next w:val="Normal"/>
    <w:link w:val="4Char"/>
    <w:autoRedefine/>
    <w:qFormat/>
    <w:pPr>
      <w:keepNext/>
      <w:outlineLvl w:val="3"/>
    </w:pPr>
    <w:rPr>
      <w:rFonts w:eastAsia="黑体"/>
      <w:kern w:val="0"/>
      <w:sz w:val="36"/>
    </w:rPr>
  </w:style>
  <w:style w:type="character" w:default="1" w:styleId="DefaultParagraphFont">
    <w:name w:val="Default Paragraph Font"/>
    <w:autoRedefine/>
    <w:uiPriority w:val="1"/>
    <w:semiHidden/>
    <w:unhideWhenUsed/>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TOC2">
    <w:name w:val="toc 2"/>
    <w:basedOn w:val="Normal"/>
    <w:next w:val="Normal"/>
    <w:qFormat/>
    <w:pPr>
      <w:ind w:left="210"/>
      <w:jc w:val="left"/>
    </w:pPr>
    <w:rPr>
      <w:smallCaps/>
      <w:sz w:val="20"/>
      <w:szCs w:val="20"/>
    </w:rPr>
  </w:style>
  <w:style w:type="paragraph" w:styleId="NormalIndent">
    <w:name w:val="Normal Indent"/>
    <w:basedOn w:val="Normal"/>
    <w:next w:val="2"/>
    <w:link w:val="Char2"/>
    <w:autoRedefine/>
    <w:uiPriority w:val="99"/>
    <w:qFormat/>
    <w:pPr>
      <w:spacing w:line="360" w:lineRule="auto"/>
      <w:ind w:firstLine="420" w:firstLineChars="200"/>
    </w:pPr>
    <w:rPr>
      <w:szCs w:val="20"/>
    </w:rPr>
  </w:style>
  <w:style w:type="paragraph" w:customStyle="1" w:styleId="2">
    <w:name w:val="样式 正文文本 + 首行缩进:  2 字符"/>
    <w:basedOn w:val="BodyText"/>
    <w:autoRedefine/>
    <w:qFormat/>
    <w:pPr>
      <w:spacing w:line="480" w:lineRule="exact"/>
      <w:ind w:firstLine="480" w:firstLineChars="200"/>
    </w:pPr>
    <w:rPr>
      <w:rFonts w:ascii="宋体" w:hAnsi="宋体" w:cs="宋体"/>
      <w:sz w:val="24"/>
    </w:rPr>
  </w:style>
  <w:style w:type="paragraph" w:styleId="BodyText">
    <w:name w:val="Body Text"/>
    <w:basedOn w:val="Normal"/>
    <w:next w:val="ListBullet5"/>
    <w:link w:val="Char3"/>
    <w:autoRedefine/>
    <w:qFormat/>
    <w:pPr>
      <w:widowControl/>
      <w:snapToGrid w:val="0"/>
      <w:spacing w:before="60" w:after="160" w:line="259" w:lineRule="auto"/>
      <w:ind w:right="113"/>
    </w:pPr>
    <w:rPr>
      <w:kern w:val="0"/>
      <w:sz w:val="18"/>
      <w:szCs w:val="20"/>
    </w:rPr>
  </w:style>
  <w:style w:type="paragraph" w:styleId="ListBullet5">
    <w:name w:val="List Bullet 5"/>
    <w:basedOn w:val="Normal"/>
    <w:qFormat/>
    <w:pPr>
      <w:numPr>
        <w:ilvl w:val="0"/>
        <w:numId w:val="1"/>
      </w:numPr>
    </w:pPr>
  </w:style>
  <w:style w:type="paragraph" w:styleId="Caption">
    <w:name w:val="caption"/>
    <w:basedOn w:val="Normal"/>
    <w:next w:val="Normal"/>
    <w:link w:val="Char4"/>
    <w:autoRedefine/>
    <w:uiPriority w:val="99"/>
    <w:qFormat/>
    <w:pPr>
      <w:keepNext/>
      <w:spacing w:before="152" w:after="160"/>
      <w:ind w:firstLine="240" w:firstLineChars="100"/>
      <w:jc w:val="center"/>
    </w:pPr>
    <w:rPr>
      <w:rFonts w:ascii="Arial" w:eastAsia="黑体" w:hAnsi="Arial"/>
      <w:szCs w:val="20"/>
      <w:u w:val="double"/>
    </w:rPr>
  </w:style>
  <w:style w:type="paragraph" w:styleId="CommentText">
    <w:name w:val="annotation text"/>
    <w:basedOn w:val="Normal"/>
    <w:link w:val="Char5"/>
    <w:autoRedefine/>
    <w:semiHidden/>
    <w:qFormat/>
    <w:pPr>
      <w:jc w:val="left"/>
    </w:pPr>
    <w:rPr>
      <w:kern w:val="0"/>
      <w:sz w:val="24"/>
      <w:szCs w:val="20"/>
    </w:rPr>
  </w:style>
  <w:style w:type="paragraph" w:styleId="BodyTextIndent">
    <w:name w:val="Body Text Indent"/>
    <w:basedOn w:val="Normal"/>
    <w:next w:val="Header"/>
    <w:link w:val="Char6"/>
    <w:autoRedefine/>
    <w:qFormat/>
    <w:pPr>
      <w:spacing w:after="120"/>
      <w:ind w:left="420" w:leftChars="200"/>
    </w:pPr>
    <w:rPr>
      <w:kern w:val="0"/>
      <w:sz w:val="24"/>
      <w:szCs w:val="20"/>
    </w:rPr>
  </w:style>
  <w:style w:type="paragraph" w:styleId="Header">
    <w:name w:val="header"/>
    <w:basedOn w:val="Normal"/>
    <w:next w:val="5"/>
    <w:link w:val="Char0"/>
    <w:autoRedefine/>
    <w:unhideWhenUsed/>
    <w:qFormat/>
    <w:pPr>
      <w:pBdr>
        <w:bottom w:val="single" w:sz="6" w:space="1" w:color="auto"/>
      </w:pBdr>
      <w:tabs>
        <w:tab w:val="center" w:pos="4153"/>
        <w:tab w:val="right" w:pos="8306"/>
      </w:tabs>
      <w:snapToGrid w:val="0"/>
      <w:jc w:val="center"/>
    </w:pPr>
    <w:rPr>
      <w:sz w:val="18"/>
      <w:szCs w:val="18"/>
    </w:rPr>
  </w:style>
  <w:style w:type="paragraph" w:customStyle="1" w:styleId="5">
    <w:name w:val="样式5"/>
    <w:basedOn w:val="1"/>
    <w:next w:val="Normal"/>
    <w:autoRedefine/>
    <w:qFormat/>
  </w:style>
  <w:style w:type="paragraph" w:customStyle="1" w:styleId="1">
    <w:name w:val="正文1"/>
    <w:basedOn w:val="BodyText"/>
    <w:next w:val="Normal"/>
    <w:autoRedefine/>
    <w:qFormat/>
    <w:pPr>
      <w:spacing w:line="360" w:lineRule="auto"/>
      <w:ind w:firstLine="200" w:firstLineChars="200"/>
    </w:pPr>
    <w:rPr>
      <w:rFonts w:cs="宋体"/>
      <w:sz w:val="24"/>
    </w:rPr>
  </w:style>
  <w:style w:type="paragraph" w:styleId="TOC3">
    <w:name w:val="toc 3"/>
    <w:basedOn w:val="Normal"/>
    <w:next w:val="Normal"/>
    <w:autoRedefine/>
    <w:uiPriority w:val="39"/>
    <w:qFormat/>
    <w:pPr>
      <w:ind w:left="840" w:leftChars="400"/>
    </w:pPr>
  </w:style>
  <w:style w:type="paragraph" w:styleId="PlainText">
    <w:name w:val="Plain Text"/>
    <w:basedOn w:val="Normal"/>
    <w:next w:val="BodyTextIndent"/>
    <w:link w:val="Char7"/>
    <w:autoRedefine/>
    <w:qFormat/>
    <w:rPr>
      <w:rFonts w:ascii="宋体" w:hAnsi="Courier New"/>
    </w:rPr>
  </w:style>
  <w:style w:type="paragraph" w:styleId="Date">
    <w:name w:val="Date"/>
    <w:basedOn w:val="Normal"/>
    <w:next w:val="Normal"/>
    <w:link w:val="Char8"/>
    <w:autoRedefine/>
    <w:qFormat/>
    <w:pPr>
      <w:ind w:left="100" w:leftChars="2500"/>
    </w:pPr>
    <w:rPr>
      <w:kern w:val="0"/>
      <w:sz w:val="24"/>
      <w:szCs w:val="20"/>
    </w:rPr>
  </w:style>
  <w:style w:type="paragraph" w:styleId="BodyTextIndent2">
    <w:name w:val="Body Text Indent 2"/>
    <w:basedOn w:val="Normal"/>
    <w:link w:val="2Char0"/>
    <w:autoRedefine/>
    <w:qFormat/>
    <w:pPr>
      <w:spacing w:after="120" w:line="480" w:lineRule="auto"/>
      <w:ind w:left="420" w:leftChars="200"/>
    </w:pPr>
  </w:style>
  <w:style w:type="paragraph" w:styleId="BalloonText">
    <w:name w:val="Balloon Text"/>
    <w:basedOn w:val="Normal"/>
    <w:link w:val="Char9"/>
    <w:autoRedefine/>
    <w:semiHidden/>
    <w:qFormat/>
    <w:rPr>
      <w:kern w:val="0"/>
      <w:sz w:val="18"/>
      <w:szCs w:val="20"/>
    </w:rPr>
  </w:style>
  <w:style w:type="paragraph" w:styleId="Footer">
    <w:name w:val="footer"/>
    <w:basedOn w:val="Normal"/>
    <w:link w:val="Char1"/>
    <w:autoRedefine/>
    <w:uiPriority w:val="99"/>
    <w:unhideWhenUsed/>
    <w:qFormat/>
    <w:pPr>
      <w:tabs>
        <w:tab w:val="center" w:pos="4153"/>
        <w:tab w:val="right" w:pos="8306"/>
      </w:tabs>
      <w:snapToGrid w:val="0"/>
      <w:jc w:val="left"/>
    </w:pPr>
    <w:rPr>
      <w:sz w:val="18"/>
      <w:szCs w:val="18"/>
    </w:rPr>
  </w:style>
  <w:style w:type="paragraph" w:styleId="TOC1">
    <w:name w:val="toc 1"/>
    <w:basedOn w:val="Normal"/>
    <w:next w:val="Normal"/>
    <w:autoRedefine/>
    <w:uiPriority w:val="39"/>
    <w:qFormat/>
    <w:pPr>
      <w:spacing w:line="360" w:lineRule="auto"/>
      <w:ind w:firstLine="480" w:firstLineChars="200"/>
      <w:jc w:val="center"/>
    </w:pPr>
    <w:rPr>
      <w:rFonts w:ascii="宋体" w:hAnsi="宋体"/>
      <w:sz w:val="24"/>
    </w:rPr>
  </w:style>
  <w:style w:type="paragraph" w:styleId="List">
    <w:name w:val="List"/>
    <w:basedOn w:val="Normal"/>
    <w:next w:val="Normal"/>
    <w:autoRedefine/>
    <w:qFormat/>
    <w:pPr>
      <w:spacing w:line="320" w:lineRule="exact"/>
      <w:jc w:val="center"/>
    </w:pPr>
    <w:rPr>
      <w:sz w:val="20"/>
    </w:rPr>
  </w:style>
  <w:style w:type="paragraph" w:styleId="BodyTextIndent3">
    <w:name w:val="Body Text Indent 3"/>
    <w:basedOn w:val="Normal"/>
    <w:link w:val="3Char0"/>
    <w:autoRedefine/>
    <w:qFormat/>
    <w:pPr>
      <w:spacing w:after="120"/>
      <w:ind w:left="420" w:leftChars="200"/>
    </w:pPr>
    <w:rPr>
      <w:sz w:val="16"/>
      <w:szCs w:val="16"/>
    </w:rPr>
  </w:style>
  <w:style w:type="paragraph" w:styleId="TableofFigures">
    <w:name w:val="table of figures"/>
    <w:basedOn w:val="Normal"/>
    <w:next w:val="Normal"/>
    <w:autoRedefine/>
    <w:uiPriority w:val="99"/>
    <w:qFormat/>
    <w:pPr>
      <w:ind w:left="200" w:hanging="200" w:leftChars="200" w:hangingChars="200"/>
    </w:pPr>
    <w:rPr>
      <w:kern w:val="0"/>
      <w:sz w:val="20"/>
    </w:rPr>
  </w:style>
  <w:style w:type="paragraph" w:styleId="HTMLPreformatted">
    <w:name w:val="HTML Preformatted"/>
    <w:basedOn w:val="Normal"/>
    <w:autoRedefine/>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paragraph" w:styleId="NormalWeb">
    <w:name w:val="Normal (Web)"/>
    <w:basedOn w:val="Normal"/>
    <w:link w:val="Char10"/>
    <w:autoRedefine/>
    <w:qFormat/>
    <w:pPr>
      <w:widowControl/>
      <w:spacing w:before="100" w:beforeAutospacing="1" w:after="100" w:afterAutospacing="1"/>
      <w:jc w:val="left"/>
    </w:pPr>
    <w:rPr>
      <w:rFonts w:ascii="宋体" w:hAnsi="宋体"/>
      <w:kern w:val="0"/>
      <w:sz w:val="24"/>
      <w:szCs w:val="20"/>
    </w:rPr>
  </w:style>
  <w:style w:type="paragraph" w:styleId="CommentSubject">
    <w:name w:val="annotation subject"/>
    <w:basedOn w:val="CommentText"/>
    <w:next w:val="CommentText"/>
    <w:link w:val="Char11"/>
    <w:autoRedefine/>
    <w:semiHidden/>
    <w:qFormat/>
    <w:rPr>
      <w:b/>
    </w:rPr>
  </w:style>
  <w:style w:type="paragraph" w:styleId="BodyTextFirstIndent">
    <w:name w:val="Body Text First Indent"/>
    <w:basedOn w:val="BodyText"/>
    <w:next w:val="TableofFigures"/>
    <w:link w:val="Char12"/>
    <w:autoRedefine/>
    <w:qFormat/>
    <w:pPr>
      <w:spacing w:after="120" w:line="240" w:lineRule="auto"/>
      <w:ind w:firstLine="420" w:firstLineChars="100"/>
    </w:pPr>
    <w:rPr>
      <w:sz w:val="21"/>
    </w:rPr>
  </w:style>
  <w:style w:type="paragraph" w:styleId="BodyTextFirstIndent2">
    <w:name w:val="Body Text First Indent 2"/>
    <w:basedOn w:val="BodyTextIndent"/>
    <w:next w:val="Normal"/>
    <w:link w:val="2Char1"/>
    <w:autoRedefine/>
    <w:qFormat/>
    <w:pPr>
      <w:ind w:firstLine="420" w:firstLineChars="200"/>
    </w:pPr>
    <w:rPr>
      <w:kern w:val="2"/>
      <w:sz w:val="21"/>
      <w:szCs w:val="24"/>
    </w:rPr>
  </w:style>
  <w:style w:type="character" w:styleId="Strong">
    <w:name w:val="Strong"/>
    <w:autoRedefine/>
    <w:qFormat/>
    <w:rPr>
      <w:b/>
    </w:rPr>
  </w:style>
  <w:style w:type="character" w:styleId="PageNumber">
    <w:name w:val="page number"/>
    <w:autoRedefine/>
    <w:qFormat/>
  </w:style>
  <w:style w:type="character" w:styleId="Emphasis">
    <w:name w:val="Emphasis"/>
    <w:autoRedefine/>
    <w:qFormat/>
    <w:rPr>
      <w:i/>
    </w:rPr>
  </w:style>
  <w:style w:type="character" w:styleId="Hyperlink">
    <w:name w:val="Hyperlink"/>
    <w:autoRedefine/>
    <w:uiPriority w:val="99"/>
    <w:unhideWhenUsed/>
    <w:qFormat/>
    <w:rPr>
      <w:color w:val="0563C1"/>
      <w:u w:val="single"/>
    </w:rPr>
  </w:style>
  <w:style w:type="character" w:styleId="CommentReference">
    <w:name w:val="annotation reference"/>
    <w:autoRedefine/>
    <w:semiHidden/>
    <w:qFormat/>
    <w:rPr>
      <w:sz w:val="21"/>
    </w:rPr>
  </w:style>
  <w:style w:type="paragraph" w:customStyle="1" w:styleId="15">
    <w:name w:val="样式 正文文本缩进 + 行距: 1.5 倍行距"/>
    <w:basedOn w:val="10"/>
    <w:autoRedefine/>
    <w:qFormat/>
    <w:pPr>
      <w:spacing w:after="120"/>
      <w:ind w:left="90" w:firstLine="560" w:leftChars="32"/>
    </w:pPr>
    <w:rPr>
      <w:rFonts w:cs="宋体"/>
    </w:rPr>
  </w:style>
  <w:style w:type="paragraph" w:customStyle="1" w:styleId="10">
    <w:name w:val="正文文本缩进1"/>
    <w:basedOn w:val="Normal"/>
    <w:next w:val="15"/>
    <w:autoRedefine/>
    <w:qFormat/>
    <w:pPr>
      <w:spacing w:line="440" w:lineRule="exact"/>
      <w:ind w:firstLine="450"/>
    </w:pPr>
    <w:rPr>
      <w:rFonts w:eastAsia="华文中宋"/>
      <w:sz w:val="24"/>
    </w:rPr>
  </w:style>
  <w:style w:type="paragraph" w:customStyle="1" w:styleId="Default">
    <w:name w:val="Default"/>
    <w:basedOn w:val="11"/>
    <w:autoRedefine/>
    <w:qFormat/>
    <w:pPr>
      <w:autoSpaceDE w:val="0"/>
      <w:autoSpaceDN w:val="0"/>
      <w:adjustRightInd w:val="0"/>
    </w:pPr>
    <w:rPr>
      <w:rFonts w:hAnsi="Calibri" w:cs="宋体"/>
      <w:color w:val="000000"/>
      <w:sz w:val="24"/>
    </w:rPr>
  </w:style>
  <w:style w:type="paragraph" w:customStyle="1" w:styleId="11">
    <w:name w:val="纯文本1"/>
    <w:basedOn w:val="Normal"/>
    <w:autoRedefine/>
    <w:qFormat/>
    <w:rPr>
      <w:rFonts w:ascii="宋体" w:hAnsi="Courier New"/>
    </w:rPr>
  </w:style>
  <w:style w:type="paragraph" w:customStyle="1" w:styleId="7">
    <w:name w:val="表格标题7"/>
    <w:basedOn w:val="Normal"/>
    <w:next w:val="NormalIndent"/>
    <w:link w:val="7Char"/>
    <w:autoRedefine/>
    <w:qFormat/>
    <w:pPr>
      <w:numPr>
        <w:ilvl w:val="0"/>
        <w:numId w:val="2"/>
      </w:numPr>
      <w:tabs>
        <w:tab w:val="left" w:pos="420"/>
        <w:tab w:val="left" w:pos="885"/>
        <w:tab w:val="left" w:pos="3397"/>
      </w:tabs>
      <w:spacing w:line="360" w:lineRule="auto"/>
      <w:ind w:left="-20" w:right="-42" w:firstLine="200" w:leftChars="-20" w:rightChars="-20" w:firstLineChars="200"/>
      <w:jc w:val="center"/>
    </w:pPr>
    <w:rPr>
      <w:rFonts w:ascii="Calibri" w:eastAsia="宋体" w:hAnsi="Calibri" w:cs="黑体"/>
      <w:b/>
      <w:szCs w:val="22"/>
    </w:rPr>
  </w:style>
  <w:style w:type="paragraph" w:customStyle="1" w:styleId="a">
    <w:name w:val="表头"/>
    <w:basedOn w:val="Normal"/>
    <w:link w:val="Char13"/>
    <w:autoRedefine/>
    <w:qFormat/>
    <w:pPr>
      <w:adjustRightInd w:val="0"/>
      <w:spacing w:before="80" w:after="80" w:line="360" w:lineRule="auto"/>
      <w:ind w:firstLine="480" w:firstLineChars="200"/>
      <w:jc w:val="center"/>
      <w:textAlignment w:val="baseline"/>
    </w:pPr>
    <w:rPr>
      <w:rFonts w:ascii="仿宋_GB2312" w:eastAsia="仿宋_GB2312" w:hAnsi="宋体" w:cs="黑体"/>
      <w:bCs/>
      <w:sz w:val="24"/>
    </w:rPr>
  </w:style>
  <w:style w:type="paragraph" w:customStyle="1" w:styleId="a0">
    <w:name w:val="表格文字"/>
    <w:basedOn w:val="Normal"/>
    <w:link w:val="Char14"/>
    <w:autoRedefine/>
    <w:qFormat/>
    <w:pPr>
      <w:spacing w:line="360" w:lineRule="auto"/>
      <w:ind w:firstLine="480" w:firstLineChars="200"/>
      <w:jc w:val="center"/>
    </w:pPr>
    <w:rPr>
      <w:rFonts w:ascii="Calibri" w:eastAsia="宋体" w:hAnsi="Calibri" w:cs="黑体"/>
      <w:sz w:val="24"/>
    </w:rPr>
  </w:style>
  <w:style w:type="paragraph" w:customStyle="1" w:styleId="a1">
    <w:name w:val="表格"/>
    <w:basedOn w:val="NormalIndent"/>
    <w:next w:val="Normal"/>
    <w:link w:val="Char15"/>
    <w:autoRedefine/>
    <w:qFormat/>
    <w:pPr>
      <w:adjustRightInd w:val="0"/>
      <w:snapToGrid w:val="0"/>
      <w:spacing w:beforeLines="10" w:afterLines="10" w:line="259" w:lineRule="auto"/>
      <w:jc w:val="center"/>
    </w:pPr>
    <w:rPr>
      <w:rFonts w:ascii="宋体" w:eastAsia="宋体" w:hAnsi="Calibri" w:cs="黑体"/>
      <w:szCs w:val="22"/>
    </w:rPr>
  </w:style>
  <w:style w:type="paragraph" w:customStyle="1" w:styleId="153">
    <w:name w:val="样式 四号 左侧:  1.53 厘米"/>
    <w:basedOn w:val="Normal"/>
    <w:autoRedefine/>
    <w:qFormat/>
    <w:pPr>
      <w:adjustRightInd w:val="0"/>
    </w:pPr>
    <w:rPr>
      <w:w w:val="90"/>
      <w:sz w:val="28"/>
      <w:szCs w:val="28"/>
    </w:rPr>
  </w:style>
  <w:style w:type="paragraph" w:customStyle="1" w:styleId="a2">
    <w:name w:val="应填表格"/>
    <w:basedOn w:val="Normal"/>
    <w:autoRedefine/>
    <w:qFormat/>
    <w:pPr>
      <w:adjustRightInd w:val="0"/>
      <w:spacing w:before="40" w:after="40"/>
      <w:jc w:val="left"/>
      <w:textAlignment w:val="baseline"/>
    </w:pPr>
    <w:rPr>
      <w:kern w:val="0"/>
      <w:sz w:val="24"/>
    </w:rPr>
  </w:style>
  <w:style w:type="paragraph" w:customStyle="1" w:styleId="a3">
    <w:name w:val="报告"/>
    <w:basedOn w:val="Normal"/>
    <w:autoRedefine/>
    <w:qFormat/>
    <w:pPr>
      <w:adjustRightInd w:val="0"/>
      <w:spacing w:line="360" w:lineRule="auto"/>
      <w:ind w:firstLine="505"/>
      <w:textAlignment w:val="center"/>
    </w:pPr>
    <w:rPr>
      <w:rFonts w:ascii="TimesNewRoman" w:hAnsi="TimesNewRoman"/>
      <w:kern w:val="0"/>
      <w:sz w:val="24"/>
    </w:rPr>
  </w:style>
  <w:style w:type="paragraph" w:customStyle="1" w:styleId="Char">
    <w:name w:val="Char"/>
    <w:basedOn w:val="Normal"/>
    <w:autoRedefine/>
    <w:qFormat/>
    <w:pPr>
      <w:spacing w:line="360" w:lineRule="auto"/>
      <w:ind w:firstLine="200" w:firstLineChars="200"/>
    </w:pPr>
    <w:rPr>
      <w:rFonts w:ascii="宋体" w:hAnsi="宋体" w:cs="宋体"/>
      <w:sz w:val="24"/>
    </w:rPr>
  </w:style>
  <w:style w:type="paragraph" w:customStyle="1" w:styleId="110">
    <w:name w:val="正文文本缩进11"/>
    <w:basedOn w:val="Normal"/>
    <w:next w:val="15"/>
    <w:autoRedefine/>
    <w:qFormat/>
    <w:pPr>
      <w:ind w:left="420" w:leftChars="200"/>
    </w:pPr>
    <w:rPr>
      <w:sz w:val="24"/>
    </w:rPr>
  </w:style>
  <w:style w:type="paragraph" w:customStyle="1" w:styleId="Style256">
    <w:name w:val="_Style 256"/>
    <w:basedOn w:val="BodyText"/>
    <w:next w:val="BodyTextFirstIndent"/>
    <w:autoRedefine/>
    <w:qFormat/>
    <w:pPr>
      <w:widowControl w:val="0"/>
      <w:snapToGrid/>
      <w:spacing w:before="0" w:after="120" w:line="240" w:lineRule="auto"/>
      <w:ind w:right="0" w:firstLine="420" w:firstLineChars="100"/>
    </w:pPr>
    <w:rPr>
      <w:kern w:val="2"/>
      <w:sz w:val="21"/>
      <w:szCs w:val="24"/>
    </w:rPr>
  </w:style>
  <w:style w:type="paragraph" w:customStyle="1" w:styleId="001">
    <w:name w:val="正文001"/>
    <w:basedOn w:val="Normal"/>
    <w:autoRedefine/>
    <w:qFormat/>
    <w:pPr>
      <w:spacing w:before="60" w:line="460" w:lineRule="exact"/>
      <w:ind w:firstLine="200" w:firstLineChars="200"/>
    </w:pPr>
    <w:rPr>
      <w:sz w:val="24"/>
      <w:szCs w:val="20"/>
    </w:rPr>
  </w:style>
  <w:style w:type="paragraph" w:customStyle="1" w:styleId="a4">
    <w:name w:val="段"/>
    <w:autoRedefine/>
    <w:qFormat/>
    <w:pPr>
      <w:autoSpaceDE w:val="0"/>
      <w:autoSpaceDN w:val="0"/>
      <w:ind w:firstLine="200" w:firstLineChars="200"/>
      <w:jc w:val="both"/>
    </w:pPr>
    <w:rPr>
      <w:rFonts w:ascii="宋体" w:eastAsia="宋体" w:hAnsi="Times New Roman" w:cs="Times New Roman"/>
      <w:sz w:val="21"/>
      <w:lang w:val="en-US" w:eastAsia="zh-CN" w:bidi="ar-SA"/>
    </w:rPr>
  </w:style>
  <w:style w:type="paragraph" w:customStyle="1" w:styleId="a5">
    <w:name w:val="流程文字"/>
    <w:basedOn w:val="Normal"/>
    <w:autoRedefine/>
    <w:qFormat/>
    <w:pPr>
      <w:tabs>
        <w:tab w:val="left" w:pos="6480"/>
      </w:tabs>
      <w:topLinePunct/>
      <w:adjustRightInd w:val="0"/>
      <w:snapToGrid w:val="0"/>
      <w:jc w:val="center"/>
    </w:pPr>
    <w:rPr>
      <w:rFonts w:eastAsia="仿宋_GB2312"/>
      <w:szCs w:val="20"/>
    </w:rPr>
  </w:style>
  <w:style w:type="paragraph" w:customStyle="1" w:styleId="TOC10">
    <w:name w:val="TOC 标题1"/>
    <w:basedOn w:val="Heading1"/>
    <w:next w:val="Normal"/>
    <w:autoRedefine/>
    <w:uiPriority w:val="39"/>
    <w:qFormat/>
    <w:pPr>
      <w:keepLines/>
      <w:widowControl/>
      <w:snapToGrid/>
      <w:spacing w:before="240" w:after="0"/>
      <w:ind w:left="0" w:firstLine="0"/>
      <w:jc w:val="left"/>
      <w:outlineLvl w:val="9"/>
    </w:pPr>
    <w:rPr>
      <w:rFonts w:ascii="等线 Light" w:eastAsia="等线 Light" w:hAnsi="等线 Light"/>
      <w:b w:val="0"/>
      <w:bCs w:val="0"/>
      <w:color w:val="2F5496"/>
      <w:kern w:val="0"/>
      <w:sz w:val="32"/>
      <w:szCs w:val="32"/>
    </w:rPr>
  </w:style>
  <w:style w:type="paragraph" w:customStyle="1" w:styleId="20">
    <w:name w:val="表样式2"/>
    <w:basedOn w:val="Normal"/>
    <w:autoRedefine/>
    <w:qFormat/>
    <w:pPr>
      <w:spacing w:line="360" w:lineRule="exact"/>
      <w:jc w:val="center"/>
    </w:pPr>
    <w:rPr>
      <w:rFonts w:ascii="宋体" w:hAnsi="宋体"/>
      <w:kern w:val="0"/>
    </w:rPr>
  </w:style>
  <w:style w:type="paragraph" w:customStyle="1" w:styleId="a6">
    <w:name w:val="表内式样"/>
    <w:autoRedefine/>
    <w:qFormat/>
    <w:pPr>
      <w:widowControl w:val="0"/>
      <w:jc w:val="center"/>
    </w:pPr>
    <w:rPr>
      <w:rFonts w:ascii="等线" w:eastAsia="等线" w:hAnsi="等线" w:cs="Times New Roman"/>
      <w:kern w:val="2"/>
      <w:sz w:val="18"/>
      <w:lang w:val="en-US" w:eastAsia="zh-CN" w:bidi="ar-SA"/>
    </w:rPr>
  </w:style>
  <w:style w:type="paragraph" w:customStyle="1" w:styleId="a7">
    <w:name w:val="样式"/>
    <w:autoRedefine/>
    <w:qFormat/>
    <w:pPr>
      <w:widowControl w:val="0"/>
      <w:autoSpaceDE w:val="0"/>
      <w:autoSpaceDN w:val="0"/>
      <w:adjustRightInd w:val="0"/>
    </w:pPr>
    <w:rPr>
      <w:rFonts w:ascii="宋体" w:eastAsia="宋体" w:hAnsi="宋体" w:cs="Times New Roman"/>
      <w:sz w:val="21"/>
      <w:szCs w:val="22"/>
      <w:lang w:val="en-US" w:eastAsia="zh-CN" w:bidi="ar-SA"/>
    </w:rPr>
  </w:style>
  <w:style w:type="paragraph" w:customStyle="1" w:styleId="a8">
    <w:name w:val="表格正文"/>
    <w:autoRedefine/>
    <w:qFormat/>
    <w:pPr>
      <w:widowControl w:val="0"/>
      <w:tabs>
        <w:tab w:val="left" w:pos="522"/>
      </w:tabs>
      <w:adjustRightInd w:val="0"/>
      <w:jc w:val="center"/>
    </w:pPr>
    <w:rPr>
      <w:rFonts w:ascii="等线" w:eastAsia="等线" w:hAnsi="等线" w:cs="Times New Roman"/>
      <w:color w:val="000000"/>
      <w:kern w:val="2"/>
      <w:sz w:val="21"/>
      <w:szCs w:val="21"/>
      <w:lang w:val="en-US" w:eastAsia="zh-CN" w:bidi="ar-SA"/>
    </w:rPr>
  </w:style>
  <w:style w:type="paragraph" w:customStyle="1" w:styleId="BodyTextIndent1">
    <w:name w:val="Body Text Indent1"/>
    <w:basedOn w:val="Normal"/>
    <w:next w:val="15"/>
    <w:autoRedefine/>
    <w:qFormat/>
    <w:pPr>
      <w:spacing w:line="440" w:lineRule="exact"/>
      <w:ind w:firstLine="450"/>
    </w:pPr>
    <w:rPr>
      <w:rFonts w:eastAsia="华文中宋"/>
      <w:sz w:val="24"/>
    </w:rPr>
  </w:style>
  <w:style w:type="paragraph" w:customStyle="1" w:styleId="3">
    <w:name w:val="表格标题3"/>
    <w:basedOn w:val="Normal"/>
    <w:next w:val="Normal"/>
    <w:autoRedefine/>
    <w:qFormat/>
    <w:pPr>
      <w:numPr>
        <w:ilvl w:val="0"/>
        <w:numId w:val="3"/>
      </w:numPr>
      <w:adjustRightInd w:val="0"/>
      <w:snapToGrid w:val="0"/>
      <w:spacing w:line="360" w:lineRule="auto"/>
      <w:ind w:firstLine="200" w:firstLineChars="200"/>
      <w:jc w:val="center"/>
    </w:pPr>
    <w:rPr>
      <w:b/>
    </w:rPr>
  </w:style>
  <w:style w:type="paragraph" w:customStyle="1" w:styleId="1532">
    <w:name w:val="样式 样式 四号 左侧:  1.53 厘米 + 首行缩进:  2 字符"/>
    <w:basedOn w:val="153"/>
    <w:autoRedefine/>
    <w:qFormat/>
    <w:pPr>
      <w:ind w:left="200" w:leftChars="200"/>
    </w:pPr>
    <w:rPr>
      <w:szCs w:val="20"/>
    </w:rPr>
  </w:style>
  <w:style w:type="paragraph" w:customStyle="1" w:styleId="ListParagraph">
    <w:name w:val="List Paragraph"/>
    <w:basedOn w:val="Normal"/>
    <w:autoRedefine/>
    <w:uiPriority w:val="1"/>
    <w:qFormat/>
    <w:pPr>
      <w:ind w:left="1612" w:hanging="602"/>
    </w:pPr>
    <w:rPr>
      <w:rFonts w:ascii="宋体" w:hAnsi="宋体" w:cs="宋体"/>
      <w:lang w:val="zh-CN" w:bidi="zh-CN"/>
    </w:rPr>
  </w:style>
  <w:style w:type="paragraph" w:customStyle="1" w:styleId="a9">
    <w:name w:val="表格标题"/>
    <w:basedOn w:val="Normal"/>
    <w:autoRedefine/>
    <w:qFormat/>
    <w:pPr>
      <w:adjustRightInd w:val="0"/>
      <w:spacing w:line="360" w:lineRule="auto"/>
      <w:ind w:firstLine="505"/>
      <w:jc w:val="center"/>
      <w:textAlignment w:val="baseline"/>
    </w:pPr>
    <w:rPr>
      <w:b/>
      <w:kern w:val="0"/>
      <w:sz w:val="24"/>
    </w:rPr>
  </w:style>
  <w:style w:type="paragraph" w:customStyle="1" w:styleId="a10">
    <w:name w:val="报告表正文"/>
    <w:basedOn w:val="Normal"/>
    <w:autoRedefine/>
    <w:qFormat/>
    <w:pPr>
      <w:adjustRightInd w:val="0"/>
      <w:spacing w:line="300" w:lineRule="auto"/>
      <w:ind w:left="113" w:right="113" w:firstLine="200" w:firstLineChars="200"/>
    </w:pPr>
    <w:rPr>
      <w:kern w:val="0"/>
      <w:sz w:val="24"/>
    </w:rPr>
  </w:style>
  <w:style w:type="paragraph" w:customStyle="1" w:styleId="100">
    <w:name w:val="正文_10"/>
    <w:autoRedefine/>
    <w:qFormat/>
    <w:pPr>
      <w:widowControl w:val="0"/>
      <w:jc w:val="both"/>
    </w:pPr>
    <w:rPr>
      <w:rFonts w:ascii="Times New Roman" w:eastAsia="宋体" w:hAnsi="Times New Roman" w:cs="Times New Roman"/>
      <w:kern w:val="2"/>
      <w:sz w:val="21"/>
      <w:szCs w:val="22"/>
      <w:lang w:val="en-US" w:eastAsia="zh-CN" w:bidi="ar-SA"/>
    </w:rPr>
  </w:style>
  <w:style w:type="paragraph" w:customStyle="1" w:styleId="a11">
    <w:name w:val="表内格式"/>
    <w:basedOn w:val="Normal"/>
    <w:autoRedefine/>
    <w:qFormat/>
    <w:pPr>
      <w:spacing w:line="240" w:lineRule="exact"/>
      <w:jc w:val="center"/>
    </w:pPr>
    <w:rPr>
      <w:rFonts w:ascii="宋体"/>
    </w:rPr>
  </w:style>
  <w:style w:type="paragraph" w:customStyle="1" w:styleId="153222">
    <w:name w:val="样式 样式 样式 四号 左侧:  1.53 厘米 + 首行缩进:  2 字符 + 居中 左侧:  2 字符 首行缩进:  2..."/>
    <w:basedOn w:val="1532"/>
    <w:autoRedefine/>
    <w:qFormat/>
    <w:pPr>
      <w:jc w:val="center"/>
    </w:pPr>
  </w:style>
  <w:style w:type="paragraph" w:customStyle="1" w:styleId="a12">
    <w:name w:val="一般内容"/>
    <w:basedOn w:val="Normal"/>
    <w:autoRedefine/>
    <w:qFormat/>
    <w:pPr>
      <w:spacing w:line="360" w:lineRule="auto"/>
      <w:ind w:firstLine="200" w:firstLineChars="200"/>
    </w:pPr>
    <w:rPr>
      <w:rFonts w:ascii="Arial" w:hAnsi="Arial" w:cs="Arial"/>
      <w:bCs/>
      <w:sz w:val="24"/>
    </w:rPr>
  </w:style>
  <w:style w:type="paragraph" w:customStyle="1" w:styleId="21">
    <w:name w:val="普通(网站)2"/>
    <w:basedOn w:val="Normal"/>
    <w:autoRedefine/>
    <w:qFormat/>
    <w:pPr>
      <w:widowControl/>
      <w:spacing w:before="100" w:beforeAutospacing="1" w:after="100" w:afterAutospacing="1"/>
      <w:jc w:val="left"/>
    </w:pPr>
    <w:rPr>
      <w:rFonts w:ascii="宋体" w:hAnsi="宋体"/>
      <w:sz w:val="24"/>
      <w:szCs w:val="20"/>
    </w:rPr>
  </w:style>
  <w:style w:type="paragraph" w:customStyle="1" w:styleId="li">
    <w:name w:val="li_正文"/>
    <w:basedOn w:val="Normal"/>
    <w:autoRedefine/>
    <w:qFormat/>
    <w:pPr>
      <w:tabs>
        <w:tab w:val="left" w:pos="2574"/>
      </w:tabs>
      <w:overflowPunct w:val="0"/>
      <w:topLinePunct/>
      <w:ind w:firstLine="480"/>
      <w:jc w:val="left"/>
    </w:pPr>
    <w:rPr>
      <w:rFonts w:ascii="Calibri" w:hAnsi="Calibri"/>
      <w:sz w:val="28"/>
      <w:szCs w:val="28"/>
    </w:rPr>
  </w:style>
  <w:style w:type="paragraph" w:customStyle="1" w:styleId="00121">
    <w:name w:val="样式 正文001 + 首行缩进:  2 字符1"/>
    <w:basedOn w:val="001"/>
    <w:autoRedefine/>
    <w:qFormat/>
    <w:pPr>
      <w:ind w:firstLine="480"/>
    </w:pPr>
  </w:style>
  <w:style w:type="paragraph" w:customStyle="1" w:styleId="TableParagraph">
    <w:name w:val="Table Paragraph"/>
    <w:basedOn w:val="Normal"/>
    <w:autoRedefine/>
    <w:uiPriority w:val="1"/>
    <w:unhideWhenUsed/>
    <w:qFormat/>
    <w:pPr>
      <w:spacing w:line="360" w:lineRule="auto"/>
      <w:ind w:firstLine="480" w:firstLineChars="200"/>
    </w:pPr>
    <w:rPr>
      <w:sz w:val="24"/>
      <w:szCs w:val="20"/>
    </w:rPr>
  </w:style>
  <w:style w:type="paragraph" w:customStyle="1" w:styleId="1CharCharCharCharCharCharChar">
    <w:name w:val="1 Char Char Char Char Char Char Char"/>
    <w:basedOn w:val="Normal"/>
    <w:autoRedefine/>
    <w:qFormat/>
    <w:pPr>
      <w:spacing w:line="360" w:lineRule="auto"/>
      <w:ind w:firstLine="200" w:firstLineChars="200"/>
    </w:pPr>
    <w:rPr>
      <w:rFonts w:ascii="宋体" w:hAnsi="宋体" w:cs="宋体"/>
      <w:sz w:val="24"/>
    </w:rPr>
  </w:style>
  <w:style w:type="paragraph" w:customStyle="1" w:styleId="111">
    <w:name w:val="正文11"/>
    <w:basedOn w:val="Normal"/>
    <w:autoRedefine/>
    <w:qFormat/>
    <w:pPr>
      <w:adjustRightInd w:val="0"/>
      <w:snapToGrid w:val="0"/>
      <w:spacing w:line="500" w:lineRule="exact"/>
      <w:ind w:firstLine="200" w:firstLineChars="200"/>
    </w:pPr>
    <w:rPr>
      <w:color w:val="000000"/>
      <w:sz w:val="24"/>
    </w:rPr>
  </w:style>
  <w:style w:type="paragraph" w:customStyle="1" w:styleId="4">
    <w:name w:val="表格标题4"/>
    <w:basedOn w:val="Normal"/>
    <w:autoRedefine/>
    <w:qFormat/>
    <w:pPr>
      <w:numPr>
        <w:ilvl w:val="0"/>
        <w:numId w:val="4"/>
      </w:numPr>
      <w:adjustRightInd w:val="0"/>
      <w:jc w:val="center"/>
      <w:textAlignment w:val="baseline"/>
    </w:pPr>
    <w:rPr>
      <w:b/>
      <w:kern w:val="24"/>
      <w:szCs w:val="20"/>
    </w:rPr>
  </w:style>
  <w:style w:type="paragraph" w:customStyle="1" w:styleId="Normal0">
    <w:name w:val="Normal_0"/>
    <w:autoRedefine/>
    <w:qFormat/>
    <w:rPr>
      <w:rFonts w:ascii="Times New Roman" w:eastAsia="宋体" w:hAnsi="Times New Roman" w:cs="Times New Roman"/>
      <w:sz w:val="24"/>
      <w:szCs w:val="24"/>
      <w:lang w:val="en-US" w:eastAsia="zh-CN" w:bidi="ar-SA"/>
    </w:rPr>
  </w:style>
  <w:style w:type="paragraph" w:customStyle="1" w:styleId="0">
    <w:name w:val="0正文"/>
    <w:autoRedefine/>
    <w:qFormat/>
    <w:pPr>
      <w:widowControl w:val="0"/>
      <w:spacing w:line="360" w:lineRule="auto"/>
      <w:ind w:firstLine="720" w:firstLineChars="200"/>
    </w:pPr>
    <w:rPr>
      <w:rFonts w:ascii="Times New Roman" w:eastAsia="宋体" w:hAnsi="Times New Roman" w:cs="Times New Roman"/>
      <w:sz w:val="24"/>
      <w:szCs w:val="22"/>
      <w:lang w:val="en-US" w:eastAsia="zh-CN" w:bidi="ar-SA"/>
    </w:rPr>
  </w:style>
  <w:style w:type="paragraph" w:customStyle="1" w:styleId="2-">
    <w:name w:val="表2-"/>
    <w:basedOn w:val="1-"/>
    <w:next w:val="a1"/>
    <w:autoRedefine/>
    <w:qFormat/>
    <w:pPr>
      <w:numPr>
        <w:ilvl w:val="0"/>
        <w:numId w:val="5"/>
      </w:numPr>
      <w:tabs>
        <w:tab w:val="left" w:pos="0"/>
        <w:tab w:val="left" w:pos="413"/>
      </w:tabs>
    </w:pPr>
  </w:style>
  <w:style w:type="paragraph" w:customStyle="1" w:styleId="1-">
    <w:name w:val="表1-"/>
    <w:basedOn w:val="Normal"/>
    <w:next w:val="Heading1"/>
    <w:autoRedefine/>
    <w:qFormat/>
    <w:pPr>
      <w:numPr>
        <w:ilvl w:val="0"/>
        <w:numId w:val="6"/>
      </w:numPr>
      <w:tabs>
        <w:tab w:val="left" w:pos="413"/>
      </w:tabs>
      <w:adjustRightInd w:val="0"/>
      <w:snapToGrid w:val="0"/>
      <w:jc w:val="center"/>
    </w:pPr>
    <w:rPr>
      <w:rFonts w:hint="eastAsia"/>
      <w:b/>
      <w:bCs/>
      <w:szCs w:val="21"/>
    </w:rPr>
  </w:style>
  <w:style w:type="paragraph" w:customStyle="1" w:styleId="12">
    <w:name w:val="列出段落1"/>
    <w:basedOn w:val="Normal"/>
    <w:autoRedefine/>
    <w:uiPriority w:val="99"/>
    <w:qFormat/>
    <w:pPr>
      <w:ind w:firstLine="420" w:firstLineChars="200"/>
    </w:pPr>
  </w:style>
  <w:style w:type="paragraph" w:customStyle="1" w:styleId="a13">
    <w:name w:val="表"/>
    <w:basedOn w:val="Normal"/>
    <w:autoRedefine/>
    <w:qFormat/>
    <w:pPr>
      <w:snapToGrid w:val="0"/>
      <w:jc w:val="center"/>
    </w:pPr>
    <w:rPr>
      <w:spacing w:val="2"/>
      <w:szCs w:val="20"/>
    </w:rPr>
  </w:style>
  <w:style w:type="paragraph" w:customStyle="1" w:styleId="Default1">
    <w:name w:val="Default1"/>
    <w:basedOn w:val="Normal"/>
    <w:next w:val="Normal"/>
    <w:autoRedefine/>
    <w:qFormat/>
    <w:pPr>
      <w:autoSpaceDE w:val="0"/>
      <w:autoSpaceDN w:val="0"/>
      <w:adjustRightInd w:val="0"/>
      <w:jc w:val="left"/>
    </w:pPr>
    <w:rPr>
      <w:rFonts w:ascii="宋体" w:hAnsi="宋体" w:cs="宋体"/>
      <w:color w:val="000000"/>
      <w:kern w:val="0"/>
      <w:sz w:val="24"/>
    </w:rPr>
  </w:style>
  <w:style w:type="paragraph" w:customStyle="1" w:styleId="xl27">
    <w:name w:val="xl27"/>
    <w:basedOn w:val="Normal"/>
    <w:autoRedefine/>
    <w:qFormat/>
    <w:pPr>
      <w:widowControl/>
      <w:pBdr>
        <w:bottom w:val="single" w:sz="4" w:space="0" w:color="auto"/>
        <w:right w:val="single" w:sz="4" w:space="0" w:color="auto"/>
      </w:pBdr>
      <w:spacing w:before="100" w:beforeAutospacing="1" w:after="100" w:afterAutospacing="1"/>
      <w:jc w:val="center"/>
    </w:pPr>
    <w:rPr>
      <w:rFonts w:eastAsia="Arial Unicode MS"/>
      <w:kern w:val="0"/>
      <w:szCs w:val="21"/>
    </w:rPr>
  </w:style>
  <w:style w:type="paragraph" w:customStyle="1" w:styleId="a14">
    <w:name w:val="表内正文"/>
    <w:basedOn w:val="a15"/>
    <w:autoRedefine/>
    <w:qFormat/>
    <w:pPr>
      <w:outlineLvl w:val="9"/>
    </w:pPr>
    <w:rPr>
      <w:rFonts w:ascii="Times New Roman" w:hAnsi="Times New Roman"/>
      <w:b w:val="0"/>
    </w:rPr>
  </w:style>
  <w:style w:type="paragraph" w:customStyle="1" w:styleId="a15">
    <w:name w:val="表内一级"/>
    <w:basedOn w:val="Normal"/>
    <w:autoRedefine/>
    <w:qFormat/>
    <w:pPr>
      <w:spacing w:line="360" w:lineRule="auto"/>
      <w:ind w:firstLine="200" w:firstLineChars="200"/>
      <w:outlineLvl w:val="0"/>
    </w:pPr>
    <w:rPr>
      <w:rFonts w:ascii="宋体" w:hAnsi="宋体"/>
      <w:b/>
      <w:sz w:val="24"/>
    </w:rPr>
  </w:style>
  <w:style w:type="paragraph" w:customStyle="1" w:styleId="a16">
    <w:name w:val="报告表格"/>
    <w:basedOn w:val="Normal"/>
    <w:autoRedefine/>
    <w:qFormat/>
    <w:pPr>
      <w:autoSpaceDE w:val="0"/>
      <w:autoSpaceDN w:val="0"/>
      <w:adjustRightInd w:val="0"/>
      <w:spacing w:before="40" w:after="40"/>
      <w:jc w:val="center"/>
      <w:textAlignment w:val="bottom"/>
    </w:pPr>
    <w:rPr>
      <w:kern w:val="0"/>
      <w:szCs w:val="20"/>
    </w:rPr>
  </w:style>
  <w:style w:type="paragraph" w:customStyle="1" w:styleId="CharChar4">
    <w:name w:val="Char Char4"/>
    <w:basedOn w:val="Normal"/>
    <w:autoRedefine/>
    <w:qFormat/>
    <w:rPr>
      <w:rFonts w:ascii="Tahoma" w:hAnsi="Tahoma"/>
      <w:sz w:val="24"/>
    </w:rPr>
  </w:style>
  <w:style w:type="paragraph" w:customStyle="1" w:styleId="a17">
    <w:name w:val="文本正文"/>
    <w:basedOn w:val="Normal"/>
    <w:autoRedefine/>
    <w:semiHidden/>
    <w:qFormat/>
    <w:pPr>
      <w:spacing w:line="360" w:lineRule="auto"/>
      <w:ind w:firstLine="200" w:firstLineChars="200"/>
      <w:jc w:val="left"/>
    </w:pPr>
    <w:rPr>
      <w:kern w:val="0"/>
      <w:sz w:val="24"/>
    </w:rPr>
  </w:style>
  <w:style w:type="paragraph" w:customStyle="1" w:styleId="181">
    <w:name w:val="正文文本 (18)1"/>
    <w:basedOn w:val="Normal"/>
    <w:autoRedefine/>
    <w:uiPriority w:val="99"/>
    <w:qFormat/>
    <w:pPr>
      <w:shd w:val="clear" w:color="auto" w:fill="FFFFFF"/>
      <w:spacing w:line="499" w:lineRule="exact"/>
      <w:ind w:firstLine="600"/>
      <w:jc w:val="distribute"/>
    </w:pPr>
    <w:rPr>
      <w:rFonts w:ascii="MingLiU" w:eastAsia="MingLiU"/>
      <w:b/>
      <w:bCs/>
      <w:kern w:val="0"/>
      <w:sz w:val="22"/>
      <w:szCs w:val="22"/>
    </w:rPr>
  </w:style>
  <w:style w:type="character" w:customStyle="1" w:styleId="Char0">
    <w:name w:val="页眉 Char"/>
    <w:basedOn w:val="DefaultParagraphFont"/>
    <w:link w:val="Header"/>
    <w:autoRedefine/>
    <w:qFormat/>
    <w:rPr>
      <w:sz w:val="18"/>
      <w:szCs w:val="18"/>
    </w:rPr>
  </w:style>
  <w:style w:type="character" w:customStyle="1" w:styleId="Char1">
    <w:name w:val="页脚 Char"/>
    <w:basedOn w:val="DefaultParagraphFont"/>
    <w:link w:val="Footer"/>
    <w:autoRedefine/>
    <w:uiPriority w:val="99"/>
    <w:qFormat/>
    <w:rPr>
      <w:sz w:val="18"/>
      <w:szCs w:val="18"/>
    </w:rPr>
  </w:style>
  <w:style w:type="character" w:customStyle="1" w:styleId="1Char">
    <w:name w:val="标题 1 Char"/>
    <w:basedOn w:val="DefaultParagraphFont"/>
    <w:link w:val="Heading1"/>
    <w:autoRedefine/>
    <w:uiPriority w:val="99"/>
    <w:qFormat/>
    <w:rPr>
      <w:rFonts w:ascii="Times New Roman" w:eastAsia="黑体" w:hAnsi="Times New Roman" w:cs="Times New Roman"/>
      <w:b/>
      <w:bCs/>
      <w:color w:val="000000"/>
      <w:kern w:val="44"/>
      <w:sz w:val="30"/>
      <w:szCs w:val="30"/>
    </w:rPr>
  </w:style>
  <w:style w:type="character" w:customStyle="1" w:styleId="2Char">
    <w:name w:val="标题 2 Char"/>
    <w:basedOn w:val="DefaultParagraphFont"/>
    <w:link w:val="Heading2"/>
    <w:autoRedefine/>
    <w:qFormat/>
    <w:rPr>
      <w:rFonts w:ascii="宋体" w:eastAsia="宋体" w:hAnsi="宋体" w:cs="Times New Roman"/>
      <w:b/>
      <w:bCs/>
      <w:kern w:val="0"/>
      <w:sz w:val="36"/>
      <w:szCs w:val="36"/>
    </w:rPr>
  </w:style>
  <w:style w:type="character" w:customStyle="1" w:styleId="3Char">
    <w:name w:val="标题 3 Char"/>
    <w:basedOn w:val="DefaultParagraphFont"/>
    <w:link w:val="Heading3"/>
    <w:autoRedefine/>
    <w:qFormat/>
    <w:rPr>
      <w:rFonts w:ascii="Times New Roman" w:eastAsia="宋体" w:hAnsi="Times New Roman" w:cs="Times New Roman"/>
      <w:b/>
      <w:bCs/>
      <w:sz w:val="32"/>
      <w:szCs w:val="32"/>
    </w:rPr>
  </w:style>
  <w:style w:type="character" w:customStyle="1" w:styleId="4Char">
    <w:name w:val="标题 4 Char"/>
    <w:basedOn w:val="DefaultParagraphFont"/>
    <w:link w:val="Heading4"/>
    <w:autoRedefine/>
    <w:qFormat/>
    <w:rPr>
      <w:rFonts w:ascii="Times New Roman" w:eastAsia="黑体" w:hAnsi="Times New Roman" w:cs="Times New Roman"/>
      <w:kern w:val="0"/>
      <w:sz w:val="36"/>
      <w:szCs w:val="24"/>
    </w:rPr>
  </w:style>
  <w:style w:type="character" w:customStyle="1" w:styleId="Char2">
    <w:name w:val="正文缩进 Char"/>
    <w:link w:val="NormalIndent"/>
    <w:autoRedefine/>
    <w:uiPriority w:val="99"/>
    <w:qFormat/>
    <w:rPr>
      <w:rFonts w:ascii="Times New Roman" w:eastAsia="宋体" w:hAnsi="Times New Roman" w:cs="Times New Roman"/>
      <w:szCs w:val="20"/>
    </w:rPr>
  </w:style>
  <w:style w:type="character" w:customStyle="1" w:styleId="Char3">
    <w:name w:val="正文文本 Char"/>
    <w:basedOn w:val="DefaultParagraphFont"/>
    <w:link w:val="BodyText"/>
    <w:autoRedefine/>
    <w:qFormat/>
    <w:rPr>
      <w:rFonts w:ascii="Times New Roman" w:eastAsia="宋体" w:hAnsi="Times New Roman" w:cs="Times New Roman"/>
      <w:kern w:val="0"/>
      <w:sz w:val="18"/>
      <w:szCs w:val="20"/>
    </w:rPr>
  </w:style>
  <w:style w:type="character" w:customStyle="1" w:styleId="Char4">
    <w:name w:val="题注 Char"/>
    <w:link w:val="Caption"/>
    <w:autoRedefine/>
    <w:uiPriority w:val="99"/>
    <w:qFormat/>
    <w:locked/>
    <w:rPr>
      <w:rFonts w:ascii="Arial" w:eastAsia="黑体" w:hAnsi="Arial" w:cs="Times New Roman"/>
      <w:szCs w:val="20"/>
      <w:u w:val="double"/>
    </w:rPr>
  </w:style>
  <w:style w:type="character" w:customStyle="1" w:styleId="Char5">
    <w:name w:val="批注文字 Char"/>
    <w:basedOn w:val="DefaultParagraphFont"/>
    <w:link w:val="CommentText"/>
    <w:autoRedefine/>
    <w:semiHidden/>
    <w:qFormat/>
    <w:rPr>
      <w:rFonts w:ascii="Times New Roman" w:eastAsia="宋体" w:hAnsi="Times New Roman" w:cs="Times New Roman"/>
      <w:kern w:val="0"/>
      <w:sz w:val="24"/>
      <w:szCs w:val="20"/>
    </w:rPr>
  </w:style>
  <w:style w:type="character" w:customStyle="1" w:styleId="Char6">
    <w:name w:val="正文文本缩进 Char"/>
    <w:basedOn w:val="DefaultParagraphFont"/>
    <w:link w:val="BodyTextIndent"/>
    <w:autoRedefine/>
    <w:qFormat/>
    <w:rPr>
      <w:rFonts w:ascii="Times New Roman" w:eastAsia="宋体" w:hAnsi="Times New Roman" w:cs="Times New Roman"/>
      <w:kern w:val="0"/>
      <w:sz w:val="24"/>
      <w:szCs w:val="20"/>
    </w:rPr>
  </w:style>
  <w:style w:type="character" w:customStyle="1" w:styleId="Char7">
    <w:name w:val="纯文本 Char"/>
    <w:basedOn w:val="DefaultParagraphFont"/>
    <w:link w:val="PlainText"/>
    <w:autoRedefine/>
    <w:qFormat/>
    <w:rPr>
      <w:rFonts w:ascii="宋体" w:eastAsia="宋体" w:hAnsi="Courier New" w:cs="Times New Roman"/>
      <w:szCs w:val="24"/>
    </w:rPr>
  </w:style>
  <w:style w:type="character" w:customStyle="1" w:styleId="Char8">
    <w:name w:val="日期 Char"/>
    <w:basedOn w:val="DefaultParagraphFont"/>
    <w:link w:val="Date"/>
    <w:autoRedefine/>
    <w:qFormat/>
    <w:rPr>
      <w:rFonts w:ascii="Times New Roman" w:eastAsia="宋体" w:hAnsi="Times New Roman" w:cs="Times New Roman"/>
      <w:kern w:val="0"/>
      <w:sz w:val="24"/>
      <w:szCs w:val="20"/>
    </w:rPr>
  </w:style>
  <w:style w:type="character" w:customStyle="1" w:styleId="2Char0">
    <w:name w:val="正文文本缩进 2 Char"/>
    <w:basedOn w:val="DefaultParagraphFont"/>
    <w:link w:val="BodyTextIndent2"/>
    <w:autoRedefine/>
    <w:qFormat/>
    <w:rPr>
      <w:rFonts w:ascii="Times New Roman" w:eastAsia="宋体" w:hAnsi="Times New Roman" w:cs="Times New Roman"/>
      <w:szCs w:val="24"/>
    </w:rPr>
  </w:style>
  <w:style w:type="character" w:customStyle="1" w:styleId="Char9">
    <w:name w:val="批注框文本 Char"/>
    <w:basedOn w:val="DefaultParagraphFont"/>
    <w:link w:val="BalloonText"/>
    <w:autoRedefine/>
    <w:semiHidden/>
    <w:qFormat/>
    <w:rPr>
      <w:rFonts w:ascii="Times New Roman" w:eastAsia="宋体" w:hAnsi="Times New Roman" w:cs="Times New Roman"/>
      <w:kern w:val="0"/>
      <w:sz w:val="18"/>
      <w:szCs w:val="20"/>
    </w:rPr>
  </w:style>
  <w:style w:type="character" w:customStyle="1" w:styleId="3Char0">
    <w:name w:val="正文文本缩进 3 Char"/>
    <w:basedOn w:val="DefaultParagraphFont"/>
    <w:link w:val="BodyTextIndent3"/>
    <w:autoRedefine/>
    <w:qFormat/>
    <w:rPr>
      <w:rFonts w:ascii="Times New Roman" w:eastAsia="宋体" w:hAnsi="Times New Roman" w:cs="Times New Roman"/>
      <w:sz w:val="16"/>
      <w:szCs w:val="16"/>
    </w:rPr>
  </w:style>
  <w:style w:type="character" w:customStyle="1" w:styleId="Char10">
    <w:name w:val="普通(网站) Char"/>
    <w:link w:val="NormalWeb"/>
    <w:autoRedefine/>
    <w:qFormat/>
    <w:locked/>
    <w:rPr>
      <w:rFonts w:ascii="宋体" w:eastAsia="宋体" w:hAnsi="宋体" w:cs="Times New Roman"/>
      <w:kern w:val="0"/>
      <w:sz w:val="24"/>
      <w:szCs w:val="20"/>
    </w:rPr>
  </w:style>
  <w:style w:type="character" w:customStyle="1" w:styleId="Char11">
    <w:name w:val="批注主题 Char"/>
    <w:basedOn w:val="Char5"/>
    <w:link w:val="CommentSubject"/>
    <w:autoRedefine/>
    <w:semiHidden/>
    <w:qFormat/>
    <w:rPr>
      <w:rFonts w:ascii="Times New Roman" w:eastAsia="宋体" w:hAnsi="Times New Roman" w:cs="Times New Roman"/>
      <w:b/>
      <w:kern w:val="0"/>
      <w:sz w:val="24"/>
      <w:szCs w:val="20"/>
    </w:rPr>
  </w:style>
  <w:style w:type="character" w:customStyle="1" w:styleId="Char12">
    <w:name w:val="正文首行缩进 Char"/>
    <w:basedOn w:val="Char3"/>
    <w:link w:val="BodyTextFirstIndent"/>
    <w:autoRedefine/>
    <w:qFormat/>
    <w:rPr>
      <w:rFonts w:ascii="Times New Roman" w:eastAsia="宋体" w:hAnsi="Times New Roman" w:cs="Times New Roman"/>
      <w:kern w:val="0"/>
      <w:sz w:val="18"/>
      <w:szCs w:val="20"/>
    </w:rPr>
  </w:style>
  <w:style w:type="character" w:customStyle="1" w:styleId="2Char1">
    <w:name w:val="正文首行缩进 2 Char"/>
    <w:basedOn w:val="Char6"/>
    <w:link w:val="BodyTextFirstIndent2"/>
    <w:autoRedefine/>
    <w:qFormat/>
    <w:rPr>
      <w:rFonts w:ascii="Times New Roman" w:eastAsia="宋体" w:hAnsi="Times New Roman" w:cs="Times New Roman"/>
      <w:kern w:val="0"/>
      <w:sz w:val="24"/>
      <w:szCs w:val="24"/>
    </w:rPr>
  </w:style>
  <w:style w:type="character" w:customStyle="1" w:styleId="font11">
    <w:name w:val="font11"/>
    <w:autoRedefine/>
    <w:qFormat/>
    <w:rPr>
      <w:rFonts w:ascii="等线" w:eastAsia="等线" w:hAnsi="等线" w:cs="等线" w:hint="default"/>
      <w:color w:val="000000"/>
      <w:sz w:val="24"/>
      <w:szCs w:val="24"/>
      <w:u w:val="none"/>
    </w:rPr>
  </w:style>
  <w:style w:type="character" w:customStyle="1" w:styleId="13">
    <w:name w:val="正文文本 字符1"/>
    <w:autoRedefine/>
    <w:semiHidden/>
    <w:qFormat/>
    <w:rPr>
      <w:rFonts w:ascii="Times New Roman" w:eastAsia="宋体" w:hAnsi="Times New Roman"/>
      <w:sz w:val="24"/>
    </w:rPr>
  </w:style>
  <w:style w:type="character" w:customStyle="1" w:styleId="7Char">
    <w:name w:val="表格标题7 Char"/>
    <w:link w:val="7"/>
    <w:autoRedefine/>
    <w:qFormat/>
    <w:rPr>
      <w:b/>
    </w:rPr>
  </w:style>
  <w:style w:type="character" w:customStyle="1" w:styleId="Char13">
    <w:name w:val="表头 Char"/>
    <w:link w:val="a"/>
    <w:autoRedefine/>
    <w:qFormat/>
    <w:rPr>
      <w:rFonts w:ascii="仿宋_GB2312" w:eastAsia="仿宋_GB2312" w:hAnsi="宋体"/>
      <w:bCs/>
      <w:sz w:val="24"/>
      <w:szCs w:val="24"/>
    </w:rPr>
  </w:style>
  <w:style w:type="character" w:customStyle="1" w:styleId="Char14">
    <w:name w:val="表格文字 Char"/>
    <w:link w:val="a0"/>
    <w:autoRedefine/>
    <w:qFormat/>
    <w:rPr>
      <w:sz w:val="24"/>
      <w:szCs w:val="24"/>
    </w:rPr>
  </w:style>
  <w:style w:type="character" w:customStyle="1" w:styleId="14">
    <w:name w:val="批注文字 字符1"/>
    <w:autoRedefine/>
    <w:semiHidden/>
    <w:qFormat/>
    <w:rPr>
      <w:rFonts w:ascii="Times New Roman" w:eastAsia="宋体" w:hAnsi="Times New Roman"/>
      <w:sz w:val="24"/>
    </w:rPr>
  </w:style>
  <w:style w:type="character" w:customStyle="1" w:styleId="Char15">
    <w:name w:val="表格 Char"/>
    <w:link w:val="a1"/>
    <w:autoRedefine/>
    <w:qFormat/>
    <w:locked/>
    <w:rPr>
      <w:rFonts w:ascii="宋体"/>
    </w:rPr>
  </w:style>
  <w:style w:type="character" w:customStyle="1" w:styleId="a18">
    <w:name w:val="日期 字符"/>
    <w:autoRedefine/>
    <w:semiHidden/>
    <w:qFormat/>
    <w:rPr>
      <w:rFonts w:ascii="Times New Roman" w:eastAsia="宋体" w:hAnsi="Times New Roman"/>
      <w:sz w:val="24"/>
    </w:rPr>
  </w:style>
  <w:style w:type="character" w:customStyle="1" w:styleId="a19">
    <w:name w:val="页脚 字符"/>
    <w:autoRedefine/>
    <w:uiPriority w:val="99"/>
    <w:qFormat/>
  </w:style>
  <w:style w:type="character" w:customStyle="1" w:styleId="fontstyle01">
    <w:name w:val="fontstyle01"/>
    <w:autoRedefine/>
    <w:qFormat/>
    <w:rPr>
      <w:rFonts w:ascii="方正仿宋_GBK" w:eastAsia="方正仿宋_GBK" w:hAnsi="方正仿宋_GBK" w:cs="方正仿宋_GBK"/>
      <w:color w:val="000000"/>
      <w:sz w:val="30"/>
      <w:szCs w:val="30"/>
    </w:rPr>
  </w:style>
  <w:style w:type="character" w:customStyle="1" w:styleId="22">
    <w:name w:val="正文文本 + 粗体2"/>
    <w:autoRedefine/>
    <w:qFormat/>
    <w:rPr>
      <w:rFonts w:ascii="Arial Unicode MS" w:eastAsia="Arial Unicode MS" w:hAnsi="Arial Unicode MS" w:cs="Arial Unicode MS"/>
      <w:b/>
      <w:bCs/>
      <w:color w:val="000000"/>
      <w:spacing w:val="-2"/>
      <w:w w:val="100"/>
      <w:kern w:val="0"/>
      <w:position w:val="0"/>
      <w:sz w:val="22"/>
      <w:szCs w:val="21"/>
      <w:shd w:val="clear" w:color="auto" w:fill="FFFFFF"/>
      <w:lang w:val="en-US"/>
    </w:rPr>
  </w:style>
  <w:style w:type="character" w:customStyle="1" w:styleId="fontstyle11">
    <w:name w:val="fontstyle11"/>
    <w:autoRedefine/>
    <w:qFormat/>
    <w:rPr>
      <w:rFonts w:ascii="TimesNewRomanPS-BoldMT" w:eastAsia="TimesNewRomanPS-BoldMT" w:hAnsi="TimesNewRomanPS-BoldMT" w:cs="TimesNewRomanPS-BoldMT"/>
      <w:b/>
      <w:bCs/>
      <w:color w:val="000000"/>
      <w:sz w:val="30"/>
      <w:szCs w:val="30"/>
    </w:rPr>
  </w:style>
  <w:style w:type="character" w:customStyle="1" w:styleId="font71">
    <w:name w:val="font71"/>
    <w:autoRedefine/>
    <w:qFormat/>
    <w:rPr>
      <w:rFonts w:ascii="Times New Roman" w:hAnsi="Times New Roman" w:cs="Times New Roman" w:hint="default"/>
      <w:color w:val="000000"/>
      <w:sz w:val="16"/>
      <w:szCs w:val="16"/>
      <w:u w:val="none"/>
    </w:rPr>
  </w:style>
  <w:style w:type="character" w:customStyle="1" w:styleId="font61">
    <w:name w:val="font61"/>
    <w:autoRedefine/>
    <w:qFormat/>
    <w:rPr>
      <w:rFonts w:ascii="宋体" w:eastAsia="宋体" w:hAnsi="宋体" w:cs="宋体" w:hint="eastAsia"/>
      <w:color w:val="000000"/>
      <w:sz w:val="16"/>
      <w:szCs w:val="16"/>
      <w:u w:val="none"/>
    </w:rPr>
  </w:style>
  <w:style w:type="character" w:customStyle="1" w:styleId="font41">
    <w:name w:val="font41"/>
    <w:autoRedefine/>
    <w:qFormat/>
    <w:rPr>
      <w:rFonts w:ascii="Times New Roman" w:hAnsi="Times New Roman" w:cs="Times New Roman" w:hint="default"/>
      <w:color w:val="000000"/>
      <w:sz w:val="16"/>
      <w:szCs w:val="16"/>
      <w:u w:val="none"/>
    </w:rPr>
  </w:style>
  <w:style w:type="character" w:customStyle="1" w:styleId="font51">
    <w:name w:val="font51"/>
    <w:autoRedefine/>
    <w:qFormat/>
    <w:rPr>
      <w:rFonts w:ascii="宋体" w:eastAsia="宋体" w:hAnsi="宋体" w:cs="宋体" w:hint="eastAsia"/>
      <w:color w:val="00000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hyperlink" Target="https://baike.so.com/doc/7864894-8138989.html" TargetMode="External" /><Relationship Id="rId31" Type="http://schemas.openxmlformats.org/officeDocument/2006/relationships/hyperlink" Target="https://baike.so.com/doc/6738514-6952960.html" TargetMode="External" /><Relationship Id="rId32" Type="http://schemas.openxmlformats.org/officeDocument/2006/relationships/hyperlink" Target="https://baike.so.com/doc/8856743-9181817.html" TargetMode="External" /><Relationship Id="rId33" Type="http://schemas.openxmlformats.org/officeDocument/2006/relationships/hyperlink" Target="https://d.book118.com/067153042005006044" TargetMode="External" /><Relationship Id="rId34" Type="http://schemas.openxmlformats.org/officeDocument/2006/relationships/footer" Target="footer26.xml"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3"/>
    <customShpInfo spid="_x0000_s3074" textRotate="1"/>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6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34</Pages>
  <Words>46270</Words>
  <Characters>52912</Characters>
  <Application>Microsoft Office Word</Application>
  <DocSecurity>0</DocSecurity>
  <Lines>373</Lines>
  <Paragraphs>105</Paragraphs>
  <ScaleCrop>false</ScaleCrop>
  <Company>微软中国</Company>
  <LinksUpToDate>false</LinksUpToDate>
  <CharactersWithSpaces>53095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微软用户</dc:creator>
  <cp:lastModifiedBy>龙风呈祥</cp:lastModifiedBy>
  <cp:revision>0</cp:revision>
  <cp:lastPrinted>2023-12-05T06:23:00Z</cp:lastPrinted>
  <dcterms:created xsi:type="dcterms:W3CDTF">2023-09-16T09:42:00Z</dcterms:created>
  <dcterms:modified xsi:type="dcterms:W3CDTF">2024-02-04T03:36:30Z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F5E6A0B169EB409D82AEB931343E0970_12</vt:lpwstr>
  </property>
  <property fmtid="{D5CDD505-2E9C-101B-9397-08002B2CF9AE}" pid="3" name="KSOProductBuildVer">
    <vt:lpwstr>2052-12.1.0.16250</vt:lpwstr>
  </property>
</Properties>
</file>