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16825" w:lineRule="exact"/>
      </w:pPr>
      <w:r>
        <w:rPr>
          <w:position w:val="-336"/>
        </w:rPr>
        <w:drawing>
          <wp:inline distT="0" distB="0" distL="0" distR="0">
            <wp:extent cx="7560005" cy="1068390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7560005" cy="10683901"/>
                    </a:xfrm>
                    <a:prstGeom prst="rect">
                      <a:avLst/>
                    </a:prstGeom>
                  </pic:spPr>
                </pic:pic>
              </a:graphicData>
            </a:graphic>
          </wp:inline>
        </w:drawing>
      </w:r>
    </w:p>
    <w:p>
      <w:pPr>
        <w:spacing w:line="16825" w:lineRule="exact"/>
        <w:sectPr>
          <w:headerReference w:type="default" r:id="rId5"/>
          <w:footerReference w:type="default" r:id="rId6"/>
          <w:pgSz w:w="11906" w:h="16838"/>
          <w:pgMar w:top="1" w:right="0" w:bottom="1" w:left="0" w:header="0" w:footer="0" w:gutter="0"/>
          <w:cols w:space="708"/>
        </w:sectPr>
      </w:pPr>
    </w:p>
    <w:p>
      <w:pPr>
        <w:spacing w:line="411" w:lineRule="auto"/>
        <w:rPr>
          <w:rFonts w:ascii="Arial"/>
          <w:sz w:val="21"/>
        </w:rPr>
      </w:pPr>
      <w:r>
        <w:drawing>
          <wp:anchor distT="0" distB="0" distL="0" distR="0" simplePos="0" relativeHeight="251661312" behindDoc="0" locked="0" layoutInCell="0" allowOverlap="1">
            <wp:simplePos x="0" y="0"/>
            <wp:positionH relativeFrom="page">
              <wp:posOffset>1639457</wp:posOffset>
            </wp:positionH>
            <wp:positionV relativeFrom="page">
              <wp:posOffset>1078450</wp:posOffset>
            </wp:positionV>
            <wp:extent cx="319228" cy="188773"/>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319228" cy="188773"/>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1564477</wp:posOffset>
            </wp:positionH>
            <wp:positionV relativeFrom="page">
              <wp:posOffset>1080289</wp:posOffset>
            </wp:positionV>
            <wp:extent cx="74777" cy="186728"/>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8"/>
                    <a:stretch>
                      <a:fillRect/>
                    </a:stretch>
                  </pic:blipFill>
                  <pic:spPr>
                    <a:xfrm>
                      <a:off x="0" y="0"/>
                      <a:ext cx="74777" cy="186728"/>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749655</wp:posOffset>
            </wp:positionH>
            <wp:positionV relativeFrom="page">
              <wp:posOffset>2788031</wp:posOffset>
            </wp:positionV>
            <wp:extent cx="1590687" cy="317893"/>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9"/>
                    <a:stretch>
                      <a:fillRect/>
                    </a:stretch>
                  </pic:blipFill>
                  <pic:spPr>
                    <a:xfrm>
                      <a:off x="0" y="0"/>
                      <a:ext cx="1590687" cy="317893"/>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2412161</wp:posOffset>
            </wp:positionH>
            <wp:positionV relativeFrom="page">
              <wp:posOffset>2793186</wp:posOffset>
            </wp:positionV>
            <wp:extent cx="789203" cy="307378"/>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0"/>
                    <a:stretch>
                      <a:fillRect/>
                    </a:stretch>
                  </pic:blipFill>
                  <pic:spPr>
                    <a:xfrm>
                      <a:off x="0" y="0"/>
                      <a:ext cx="789203" cy="307378"/>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749655</wp:posOffset>
            </wp:positionH>
            <wp:positionV relativeFrom="page">
              <wp:posOffset>3219437</wp:posOffset>
            </wp:positionV>
            <wp:extent cx="794016" cy="191287"/>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1"/>
                    <a:stretch>
                      <a:fillRect/>
                    </a:stretch>
                  </pic:blipFill>
                  <pic:spPr>
                    <a:xfrm>
                      <a:off x="0" y="0"/>
                      <a:ext cx="794016" cy="191287"/>
                    </a:xfrm>
                    <a:prstGeom prst="rect">
                      <a:avLst/>
                    </a:prstGeom>
                  </pic:spPr>
                </pic:pic>
              </a:graphicData>
            </a:graphic>
          </wp:anchor>
        </w:drawing>
      </w:r>
    </w:p>
    <w:p>
      <w:pPr>
        <w:spacing w:before="192" w:line="501" w:lineRule="exact"/>
        <w:ind w:left="3"/>
        <w:rPr>
          <w:rFonts w:ascii="Arial" w:eastAsia="Arial" w:hAnsi="Arial" w:cs="Arial"/>
          <w:sz w:val="67"/>
          <w:szCs w:val="67"/>
        </w:rPr>
      </w:pPr>
      <w:r>
        <w:rPr>
          <w:rFonts w:ascii="Arial" w:eastAsia="Arial" w:hAnsi="Arial" w:cs="Arial"/>
          <w:color w:val="231F20"/>
          <w:position w:val="-9"/>
          <w:sz w:val="67"/>
          <w:szCs w:val="67"/>
        </w:rPr>
        <w:t>AUTHORS</w:t>
      </w:r>
    </w:p>
    <w:p>
      <w:pPr>
        <w:spacing w:line="132" w:lineRule="exact"/>
      </w:pPr>
    </w:p>
    <w:p>
      <w:pPr>
        <w:spacing w:line="132" w:lineRule="exact"/>
        <w:sectPr>
          <w:headerReference w:type="default" r:id="rId12"/>
          <w:footerReference w:type="default" r:id="rId13"/>
          <w:pgSz w:w="11906" w:h="16838"/>
          <w:pgMar w:top="400" w:right="1110" w:bottom="300" w:left="1180" w:header="0" w:footer="0" w:gutter="0"/>
          <w:pgNumType w:start="2"/>
          <w:cols w:num="1" w:space="708" w:equalWidth="0">
            <w:col w:w="9615" w:space="0"/>
          </w:cols>
        </w:sectPr>
      </w:pPr>
    </w:p>
    <w:p>
      <w:pPr>
        <w:pStyle w:val="BodyText"/>
        <w:spacing w:before="61" w:line="297" w:lineRule="exact"/>
        <w:ind w:left="3"/>
        <w:rPr>
          <w:sz w:val="29"/>
          <w:szCs w:val="29"/>
        </w:rPr>
      </w:pPr>
      <w:r>
        <w:rPr>
          <w:color w:val="409336"/>
          <w:spacing w:val="24"/>
          <w:position w:val="-1"/>
          <w:sz w:val="29"/>
          <w:szCs w:val="29"/>
        </w:rPr>
        <w:t>研究和撰</w:t>
      </w:r>
    </w:p>
    <w:p>
      <w:pPr>
        <w:spacing w:line="259" w:lineRule="auto"/>
        <w:rPr>
          <w:rFonts w:ascii="Arial"/>
          <w:sz w:val="21"/>
        </w:rPr>
      </w:pPr>
    </w:p>
    <w:p>
      <w:pPr>
        <w:pStyle w:val="BodyText"/>
        <w:spacing w:before="103" w:line="183" w:lineRule="auto"/>
        <w:ind w:left="14"/>
      </w:pPr>
      <w:r>
        <w:rPr>
          <w:color w:val="73A345"/>
          <w:spacing w:val="-3"/>
        </w:rPr>
        <w:t>毕梅丽</w:t>
      </w:r>
    </w:p>
    <w:p>
      <w:pPr>
        <w:pStyle w:val="BodyText"/>
        <w:spacing w:before="46" w:line="183" w:lineRule="auto"/>
        <w:ind w:left="5"/>
      </w:pPr>
      <w:r>
        <w:rPr>
          <w:color w:val="939498"/>
          <w:spacing w:val="-1"/>
        </w:rPr>
        <w:t>分析师</w:t>
      </w:r>
    </w:p>
    <w:p>
      <w:pPr>
        <w:pStyle w:val="BodyText"/>
        <w:spacing w:before="70" w:line="236" w:lineRule="exact"/>
        <w:ind w:left="6"/>
      </w:pPr>
      <w:r>
        <w:rPr>
          <w:color w:val="939498"/>
          <w:spacing w:val="-1"/>
          <w:position w:val="-1"/>
        </w:rPr>
        <w:t>产品研发部</w:t>
      </w:r>
    </w:p>
    <w:p>
      <w:pPr>
        <w:spacing w:line="14" w:lineRule="auto"/>
        <w:rPr>
          <w:rFonts w:ascii="Arial"/>
          <w:sz w:val="2"/>
        </w:rPr>
      </w:pPr>
      <w:r>
        <w:rPr>
          <w:rFonts w:ascii="Arial" w:eastAsia="Arial" w:hAnsi="Arial" w:cs="Arial"/>
          <w:sz w:val="2"/>
          <w:szCs w:val="2"/>
        </w:rPr>
        <w:br w:type="column"/>
      </w:r>
    </w:p>
    <w:p>
      <w:pPr>
        <w:spacing w:line="319" w:lineRule="auto"/>
        <w:rPr>
          <w:rFonts w:ascii="Arial"/>
          <w:sz w:val="21"/>
        </w:rPr>
      </w:pPr>
    </w:p>
    <w:p>
      <w:pPr>
        <w:spacing w:line="320" w:lineRule="auto"/>
        <w:rPr>
          <w:rFonts w:ascii="Arial"/>
          <w:sz w:val="21"/>
        </w:rPr>
      </w:pPr>
    </w:p>
    <w:p>
      <w:pPr>
        <w:pStyle w:val="BodyText"/>
        <w:spacing w:before="103" w:line="183" w:lineRule="auto"/>
        <w:ind w:left="1"/>
      </w:pPr>
      <w:r>
        <w:rPr>
          <w:color w:val="73A345"/>
          <w:spacing w:val="-2"/>
        </w:rPr>
        <w:t>刘新</w:t>
      </w:r>
    </w:p>
    <w:p>
      <w:pPr>
        <w:pStyle w:val="BodyText"/>
        <w:spacing w:before="47" w:line="182" w:lineRule="auto"/>
        <w:ind w:left="1"/>
      </w:pPr>
      <w:r>
        <w:rPr>
          <w:color w:val="939498"/>
          <w:spacing w:val="-2"/>
        </w:rPr>
        <w:t>设计师</w:t>
      </w:r>
    </w:p>
    <w:p>
      <w:pPr>
        <w:pStyle w:val="BodyText"/>
        <w:spacing w:before="45" w:line="236" w:lineRule="exact"/>
      </w:pPr>
      <w:r>
        <w:rPr>
          <w:color w:val="939498"/>
          <w:spacing w:val="-1"/>
          <w:position w:val="-1"/>
        </w:rPr>
        <w:t>产品研发部</w:t>
      </w:r>
    </w:p>
    <w:p>
      <w:pPr>
        <w:spacing w:line="236" w:lineRule="exact"/>
        <w:sectPr>
          <w:headerReference w:type="default" r:id="rId14"/>
          <w:footerReference w:type="default" r:id="rId15"/>
          <w:type w:val="continuous"/>
          <w:pgSz w:w="11906" w:h="16838"/>
          <w:pgMar w:top="400" w:right="1110" w:bottom="300" w:left="1180" w:header="0" w:footer="0" w:gutter="0"/>
          <w:pgNumType w:start="3"/>
          <w:cols w:num="2" w:space="708" w:equalWidth="0">
            <w:col w:w="3575" w:space="100"/>
            <w:col w:w="5941" w:space="0"/>
          </w:cols>
        </w:sectPr>
      </w:pPr>
    </w:p>
    <w:p>
      <w:pPr>
        <w:rPr>
          <w:rFonts w:ascii="Arial"/>
          <w:sz w:val="21"/>
        </w:rPr>
      </w:pPr>
    </w:p>
    <w:p>
      <w:pPr>
        <w:spacing w:line="241" w:lineRule="auto"/>
        <w:rPr>
          <w:rFonts w:ascii="Arial"/>
          <w:sz w:val="21"/>
        </w:rPr>
      </w:pPr>
    </w:p>
    <w:p>
      <w:pPr>
        <w:spacing w:line="20" w:lineRule="exact"/>
      </w:pPr>
      <w:r>
        <w:pict>
          <v:shape id="_x0000_i1025" style="width:477.25pt;height:1pt;mso-position-horizontal-relative:char;mso-position-vertical-relative:line" coordorigin="0,0" coordsize="9545,20" path="m,10l9544,10e" filled="f" strokecolor="#d7d7d8" strokeweight="1pt">
            <v:stroke joinstyle="miter"/>
            <w10:wrap type="none"/>
          </v:shape>
        </w:pict>
      </w:r>
    </w:p>
    <w:p>
      <w:pPr>
        <w:spacing w:line="260" w:lineRule="auto"/>
        <w:rPr>
          <w:rFonts w:ascii="Arial"/>
          <w:sz w:val="21"/>
        </w:rPr>
      </w:pPr>
    </w:p>
    <w:p>
      <w:pPr>
        <w:spacing w:line="261" w:lineRule="auto"/>
        <w:rPr>
          <w:rFonts w:ascii="Arial"/>
          <w:sz w:val="21"/>
        </w:rPr>
      </w:pPr>
    </w:p>
    <w:p>
      <w:pPr>
        <w:spacing w:before="1" w:line="690" w:lineRule="exact"/>
        <w:ind w:left="7932"/>
      </w:pPr>
      <w:r>
        <w:pict>
          <v:shapetype id="_x0000_t202" coordsize="21600,21600" o:spt="202" path="m,l,21600r21600,l21600,xe">
            <v:stroke joinstyle="miter"/>
            <v:path gradientshapeok="t" o:connecttype="rect"/>
          </v:shapetype>
          <v:shape id="_x0000_s1026" type="#_x0000_t202" style="width:76.4pt;height:17.35pt;margin-top:17.32pt;margin-left:396.51pt;position:absolute;z-index:251665408" filled="f" stroked="f">
            <o:lock v:ext="edit" aspectratio="f"/>
            <v:textbox inset="0,0,0,0">
              <w:txbxContent>
                <w:p>
                  <w:pPr>
                    <w:spacing w:before="20"/>
                    <w:ind w:left="20"/>
                    <w:rPr>
                      <w:sz w:val="17"/>
                      <w:szCs w:val="17"/>
                    </w:rPr>
                  </w:pPr>
                  <w:r>
                    <w:rPr>
                      <w:rFonts w:ascii="Arial" w:eastAsia="Arial" w:hAnsi="Arial" w:cs="Arial"/>
                      <w:color w:val="002B00"/>
                      <w:position w:val="-7"/>
                      <w:sz w:val="17"/>
                      <w:szCs w:val="17"/>
                    </w:rPr>
                    <w:drawing>
                      <wp:inline distT="0" distB="0" distL="0" distR="0">
                        <wp:extent cx="234979" cy="194673"/>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6"/>
                                <a:stretch>
                                  <a:fillRect/>
                                </a:stretch>
                              </pic:blipFill>
                              <pic:spPr>
                                <a:xfrm>
                                  <a:off x="0" y="0"/>
                                  <a:ext cx="234979" cy="194673"/>
                                </a:xfrm>
                                <a:prstGeom prst="rect">
                                  <a:avLst/>
                                </a:prstGeom>
                              </pic:spPr>
                            </pic:pic>
                          </a:graphicData>
                        </a:graphic>
                      </wp:inline>
                    </w:drawing>
                  </w:r>
                  <w:r>
                    <w:rPr>
                      <w:rFonts w:ascii="Arial" w:eastAsia="Arial" w:hAnsi="Arial" w:cs="Arial"/>
                      <w:color w:val="002B00"/>
                      <w:sz w:val="17"/>
                      <w:szCs w:val="17"/>
                    </w:rPr>
                    <w:t xml:space="preserve">      </w:t>
                  </w:r>
                  <w:r>
                    <w:rPr>
                      <w:rFonts w:ascii="Arial" w:eastAsia="Arial" w:hAnsi="Arial" w:cs="Arial"/>
                      <w:color w:val="002B00"/>
                      <w:spacing w:val="-3"/>
                      <w:sz w:val="17"/>
                      <w:szCs w:val="17"/>
                    </w:rPr>
                    <w:t>BE</w:t>
                  </w:r>
                  <w:r>
                    <w:rPr>
                      <w:rFonts w:ascii="Arial" w:eastAsia="Arial" w:hAnsi="Arial" w:cs="Arial"/>
                      <w:color w:val="002B00"/>
                      <w:spacing w:val="-6"/>
                      <w:sz w:val="17"/>
                      <w:szCs w:val="17"/>
                    </w:rPr>
                    <w:t xml:space="preserve"> </w:t>
                  </w:r>
                  <w:r>
                    <w:rPr>
                      <w:rFonts w:ascii="Arial" w:eastAsia="Arial" w:hAnsi="Arial" w:cs="Arial"/>
                      <w:color w:val="002B00"/>
                      <w:spacing w:val="-3"/>
                      <w:sz w:val="17"/>
                      <w:szCs w:val="17"/>
                    </w:rPr>
                    <w:t>ED</w:t>
                  </w:r>
                  <w:r>
                    <w:rPr>
                      <w:position w:val="-1"/>
                      <w:sz w:val="17"/>
                      <w:szCs w:val="17"/>
                    </w:rPr>
                    <w:drawing>
                      <wp:inline distT="0" distB="0" distL="0" distR="0">
                        <wp:extent cx="76072" cy="75692"/>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7"/>
                                <a:stretch>
                                  <a:fillRect/>
                                </a:stretch>
                              </pic:blipFill>
                              <pic:spPr>
                                <a:xfrm>
                                  <a:off x="0" y="0"/>
                                  <a:ext cx="76072" cy="75692"/>
                                </a:xfrm>
                                <a:prstGeom prst="rect">
                                  <a:avLst/>
                                </a:prstGeom>
                              </pic:spPr>
                            </pic:pic>
                          </a:graphicData>
                        </a:graphic>
                      </wp:inline>
                    </w:drawing>
                  </w:r>
                  <w:r>
                    <w:rPr>
                      <w:rFonts w:ascii="Arial" w:eastAsia="Arial" w:hAnsi="Arial" w:cs="Arial"/>
                      <w:color w:val="002B00"/>
                      <w:spacing w:val="-3"/>
                      <w:sz w:val="17"/>
                      <w:szCs w:val="17"/>
                    </w:rPr>
                    <w:t>T</w:t>
                  </w:r>
                  <w:r>
                    <w:rPr>
                      <w:position w:val="-1"/>
                      <w:sz w:val="17"/>
                      <w:szCs w:val="17"/>
                    </w:rPr>
                    <w:drawing>
                      <wp:inline distT="0" distB="0" distL="0" distR="0">
                        <wp:extent cx="76060" cy="75692"/>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8"/>
                                <a:stretch>
                                  <a:fillRect/>
                                </a:stretch>
                              </pic:blipFill>
                              <pic:spPr>
                                <a:xfrm>
                                  <a:off x="0" y="0"/>
                                  <a:ext cx="76060" cy="75692"/>
                                </a:xfrm>
                                <a:prstGeom prst="rect">
                                  <a:avLst/>
                                </a:prstGeom>
                              </pic:spPr>
                            </pic:pic>
                          </a:graphicData>
                        </a:graphic>
                      </wp:inline>
                    </w:drawing>
                  </w:r>
                </w:p>
              </w:txbxContent>
            </v:textbox>
          </v:shape>
        </w:pict>
      </w:r>
      <w:r>
        <w:drawing>
          <wp:anchor distT="0" distB="0" distL="0" distR="0" simplePos="0" relativeHeight="251663360" behindDoc="1" locked="0" layoutInCell="1" allowOverlap="1">
            <wp:simplePos x="0" y="0"/>
            <wp:positionH relativeFrom="column">
              <wp:posOffset>5146595</wp:posOffset>
            </wp:positionH>
            <wp:positionV relativeFrom="paragraph">
              <wp:posOffset>-7458</wp:posOffset>
            </wp:positionV>
            <wp:extent cx="123939" cy="172643"/>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9"/>
                    <a:stretch>
                      <a:fillRect/>
                    </a:stretch>
                  </pic:blipFill>
                  <pic:spPr>
                    <a:xfrm>
                      <a:off x="0" y="0"/>
                      <a:ext cx="123939" cy="172643"/>
                    </a:xfrm>
                    <a:prstGeom prst="rect">
                      <a:avLst/>
                    </a:prstGeom>
                  </pic:spPr>
                </pic:pic>
              </a:graphicData>
            </a:graphic>
          </wp:anchor>
        </w:drawing>
      </w:r>
      <w:r>
        <w:rPr>
          <w:position w:val="-14"/>
        </w:rPr>
        <w:drawing>
          <wp:inline distT="0" distB="0" distL="0" distR="0">
            <wp:extent cx="971829" cy="43796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0"/>
                    <a:stretch>
                      <a:fillRect/>
                    </a:stretch>
                  </pic:blipFill>
                  <pic:spPr>
                    <a:xfrm>
                      <a:off x="0" y="0"/>
                      <a:ext cx="971829" cy="437961"/>
                    </a:xfrm>
                    <a:prstGeom prst="rect">
                      <a:avLst/>
                    </a:prstGeom>
                  </pic:spPr>
                </pic:pic>
              </a:graphicData>
            </a:graphic>
          </wp:inline>
        </w:drawing>
      </w:r>
    </w:p>
    <w:p>
      <w:pPr>
        <w:pStyle w:val="BodyText"/>
        <w:spacing w:before="27" w:line="244" w:lineRule="auto"/>
        <w:ind w:left="7960"/>
        <w:rPr>
          <w:sz w:val="22"/>
          <w:szCs w:val="22"/>
        </w:rPr>
      </w:pPr>
      <w:r>
        <w:drawing>
          <wp:anchor distT="0" distB="0" distL="0" distR="0" simplePos="0" relativeHeight="251664384" behindDoc="1" locked="0" layoutInCell="1" allowOverlap="1">
            <wp:simplePos x="0" y="0"/>
            <wp:positionH relativeFrom="column">
              <wp:posOffset>5054383</wp:posOffset>
            </wp:positionH>
            <wp:positionV relativeFrom="paragraph">
              <wp:posOffset>27038</wp:posOffset>
            </wp:positionV>
            <wp:extent cx="934707" cy="14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1"/>
                    <a:stretch>
                      <a:fillRect/>
                    </a:stretch>
                  </pic:blipFill>
                  <pic:spPr>
                    <a:xfrm>
                      <a:off x="0" y="0"/>
                      <a:ext cx="934707" cy="14795"/>
                    </a:xfrm>
                    <a:prstGeom prst="rect">
                      <a:avLst/>
                    </a:prstGeom>
                  </pic:spPr>
                </pic:pic>
              </a:graphicData>
            </a:graphic>
          </wp:anchor>
        </w:drawing>
      </w:r>
      <w:r>
        <w:rPr>
          <w:color w:val="86888B"/>
          <w:sz w:val="22"/>
          <w:szCs w:val="22"/>
          <w:u w:val="single" w:color="808285"/>
        </w:rPr>
        <w:t>abeedata.com</w:t>
      </w:r>
    </w:p>
    <w:p>
      <w:pPr>
        <w:spacing w:line="264" w:lineRule="auto"/>
        <w:rPr>
          <w:rFonts w:ascii="Arial"/>
          <w:sz w:val="21"/>
        </w:rPr>
      </w:pPr>
    </w:p>
    <w:p>
      <w:pPr>
        <w:spacing w:line="265" w:lineRule="auto"/>
        <w:rPr>
          <w:rFonts w:ascii="Arial"/>
          <w:sz w:val="21"/>
        </w:rPr>
      </w:pPr>
    </w:p>
    <w:p>
      <w:pPr>
        <w:pStyle w:val="BodyText"/>
        <w:spacing w:before="103" w:line="276" w:lineRule="auto"/>
        <w:ind w:left="7" w:right="67"/>
        <w:jc w:val="both"/>
      </w:pPr>
      <w:r>
        <w:rPr>
          <w:color w:val="808285"/>
          <w:spacing w:val="2"/>
        </w:rPr>
        <w:t>本报告作者具有专业胜任能力,保证报告所采用</w:t>
      </w:r>
      <w:r>
        <w:rPr>
          <w:color w:val="808285"/>
          <w:spacing w:val="1"/>
        </w:rPr>
        <w:t>的数据均来自合规渠道,分析逻辑基于作者的</w:t>
      </w:r>
      <w:r>
        <w:rPr>
          <w:color w:val="808285"/>
        </w:rPr>
        <w:t xml:space="preserve"> </w:t>
      </w:r>
      <w:r>
        <w:rPr>
          <w:color w:val="808285"/>
          <w:spacing w:val="6"/>
        </w:rPr>
        <w:t>职业理解,本报告清晰准确地反映了作者的研究观点,力求独立、客观和公正,结论不受</w:t>
      </w:r>
      <w:r>
        <w:rPr>
          <w:color w:val="808285"/>
          <w:spacing w:val="5"/>
        </w:rPr>
        <w:t>任何</w:t>
      </w:r>
    </w:p>
    <w:p>
      <w:pPr>
        <w:pStyle w:val="BodyText"/>
        <w:spacing w:before="1" w:line="206" w:lineRule="auto"/>
        <w:ind w:left="5"/>
      </w:pPr>
      <w:r>
        <w:rPr>
          <w:color w:val="808285"/>
          <w:spacing w:val="-1"/>
        </w:rPr>
        <w:t>第三方的授意或影响,特此声明。</w:t>
      </w:r>
    </w:p>
    <w:p>
      <w:pPr>
        <w:spacing w:line="465" w:lineRule="auto"/>
        <w:rPr>
          <w:rFonts w:ascii="Arial"/>
          <w:sz w:val="21"/>
        </w:rPr>
      </w:pPr>
    </w:p>
    <w:p>
      <w:pPr>
        <w:pStyle w:val="BodyText"/>
        <w:spacing w:before="104" w:line="495" w:lineRule="exact"/>
        <w:ind w:left="5"/>
      </w:pPr>
      <w:r>
        <w:rPr>
          <w:color w:val="808285"/>
          <w:spacing w:val="5"/>
          <w:position w:val="17"/>
        </w:rPr>
        <w:t>农小蜂不会因为接收人接受本报告而将其视</w:t>
      </w:r>
      <w:r>
        <w:rPr>
          <w:color w:val="808285"/>
          <w:spacing w:val="4"/>
          <w:position w:val="17"/>
        </w:rPr>
        <w:t>为客户。本报告仅在相关法律许可的情况下发</w:t>
      </w:r>
    </w:p>
    <w:p>
      <w:pPr>
        <w:pStyle w:val="BodyText"/>
        <w:spacing w:line="206" w:lineRule="auto"/>
        <w:ind w:left="4"/>
      </w:pPr>
      <w:r>
        <w:rPr>
          <w:color w:val="808285"/>
        </w:rPr>
        <w:t>放,并仅为提供信息而发放,概不构成任何广告。</w:t>
      </w:r>
    </w:p>
    <w:p>
      <w:pPr>
        <w:spacing w:line="467" w:lineRule="auto"/>
        <w:rPr>
          <w:rFonts w:ascii="Arial"/>
          <w:sz w:val="21"/>
        </w:rPr>
      </w:pPr>
    </w:p>
    <w:p>
      <w:pPr>
        <w:pStyle w:val="BodyText"/>
        <w:spacing w:before="104" w:line="279" w:lineRule="auto"/>
        <w:ind w:left="5" w:right="12" w:firstLine="1"/>
        <w:jc w:val="both"/>
      </w:pPr>
      <w:r>
        <w:rPr>
          <w:color w:val="808285"/>
          <w:spacing w:val="3"/>
        </w:rPr>
        <w:t>本报告的信息来源于已公开的资料,农小蜂对该等信息的准确性、完整性或可靠</w:t>
      </w:r>
      <w:r>
        <w:rPr>
          <w:color w:val="808285"/>
          <w:spacing w:val="2"/>
        </w:rPr>
        <w:t>性不作任何</w:t>
      </w:r>
      <w:r>
        <w:rPr>
          <w:color w:val="808285"/>
        </w:rPr>
        <w:t xml:space="preserve">  </w:t>
      </w:r>
      <w:r>
        <w:rPr>
          <w:color w:val="808285"/>
          <w:spacing w:val="4"/>
        </w:rPr>
        <w:t>保证。本报告所载的资料、意见及推测仅反映农小蜂于发布本报告当日的判断。在不同时</w:t>
      </w:r>
      <w:r>
        <w:rPr>
          <w:color w:val="808285"/>
          <w:spacing w:val="8"/>
        </w:rPr>
        <w:t xml:space="preserve">  </w:t>
      </w:r>
      <w:r>
        <w:rPr>
          <w:color w:val="808285"/>
          <w:spacing w:val="3"/>
        </w:rPr>
        <w:t>期,农小蜂可发出与本报告所载资料、意见及推测不一致的报告。农小蜂不保证本报</w:t>
      </w:r>
      <w:r>
        <w:rPr>
          <w:color w:val="808285"/>
          <w:spacing w:val="2"/>
        </w:rPr>
        <w:t>告所含</w:t>
      </w:r>
      <w:r>
        <w:rPr>
          <w:color w:val="808285"/>
        </w:rPr>
        <w:t xml:space="preserve">  </w:t>
      </w:r>
      <w:r>
        <w:rPr>
          <w:color w:val="808285"/>
          <w:spacing w:val="3"/>
        </w:rPr>
        <w:t>信息保持在最新状态。同时,唯恒农业对本报告所含信息可在不发出通知的情形下做出</w:t>
      </w:r>
      <w:r>
        <w:rPr>
          <w:color w:val="808285"/>
          <w:spacing w:val="2"/>
        </w:rPr>
        <w:t>修改,</w:t>
      </w:r>
    </w:p>
    <w:p>
      <w:pPr>
        <w:pStyle w:val="BodyText"/>
        <w:spacing w:before="2" w:line="206" w:lineRule="auto"/>
        <w:ind w:left="5"/>
      </w:pPr>
      <w:r>
        <w:rPr>
          <w:color w:val="808285"/>
          <w:spacing w:val="-2"/>
        </w:rPr>
        <w:t>投资者应当自行关注相应的更新或修改。</w:t>
      </w:r>
    </w:p>
    <w:p>
      <w:pPr>
        <w:spacing w:line="243" w:lineRule="auto"/>
        <w:rPr>
          <w:rFonts w:ascii="Arial"/>
          <w:sz w:val="21"/>
        </w:rPr>
      </w:pPr>
    </w:p>
    <w:p>
      <w:pPr>
        <w:spacing w:line="244" w:lineRule="auto"/>
        <w:rPr>
          <w:rFonts w:ascii="Arial"/>
          <w:sz w:val="21"/>
        </w:rPr>
        <w:sectPr>
          <w:headerReference w:type="default" r:id="rId22"/>
          <w:footerReference w:type="default" r:id="rId23"/>
          <w:type w:val="continuous"/>
          <w:pgSz w:w="11906" w:h="16838"/>
          <w:pgMar w:top="400" w:right="1110" w:bottom="300" w:left="1180" w:header="0" w:footer="0" w:gutter="0"/>
          <w:pgNumType w:start="4"/>
          <w:cols w:num="1" w:space="708" w:equalWidth="0">
            <w:col w:w="9615" w:space="0"/>
          </w:cols>
        </w:sectPr>
      </w:pPr>
    </w:p>
    <w:p>
      <w:pPr>
        <w:pStyle w:val="BodyText"/>
        <w:spacing w:before="103" w:line="276" w:lineRule="auto"/>
        <w:ind w:left="7" w:right="3" w:hanging="1"/>
        <w:jc w:val="both"/>
      </w:pPr>
      <w:r>
        <w:rPr>
          <w:color w:val="808285"/>
          <w:spacing w:val="3"/>
        </w:rPr>
        <w:t>在任何情况下,本报告中的信息或所表述的意见均不构成对任何人的投资建议。在</w:t>
      </w:r>
      <w:r>
        <w:rPr>
          <w:color w:val="808285"/>
          <w:spacing w:val="2"/>
        </w:rPr>
        <w:t>任何情况</w:t>
      </w:r>
      <w:r>
        <w:rPr>
          <w:color w:val="808285"/>
        </w:rPr>
        <w:t xml:space="preserve">  </w:t>
      </w:r>
      <w:r>
        <w:rPr>
          <w:color w:val="808285"/>
          <w:spacing w:val="6"/>
        </w:rPr>
        <w:t>下,农小蜂</w:t>
      </w:r>
      <w:r>
        <w:rPr>
          <w:color w:val="808285"/>
          <w:spacing w:val="-9"/>
        </w:rPr>
        <w:t xml:space="preserve"> </w:t>
      </w:r>
      <w:r>
        <w:rPr>
          <w:color w:val="808285"/>
          <w:spacing w:val="6"/>
        </w:rPr>
        <w:t>、农小蜂员工或者关联机构不承诺投资者一定获利,不与投资者分享投资收益,也</w:t>
      </w:r>
    </w:p>
    <w:p>
      <w:pPr>
        <w:pStyle w:val="BodyText"/>
        <w:spacing w:line="206" w:lineRule="auto"/>
        <w:ind w:left="6"/>
      </w:pPr>
      <w:r>
        <w:rPr>
          <w:color w:val="808285"/>
          <w:spacing w:val="-1"/>
        </w:rPr>
        <w:t>不对任何人因使用本报告中的任何内容所引致的任何损失负任何责任。</w:t>
      </w:r>
    </w:p>
    <w:p>
      <w:pPr>
        <w:spacing w:line="466" w:lineRule="auto"/>
        <w:rPr>
          <w:rFonts w:ascii="Arial"/>
          <w:sz w:val="21"/>
        </w:rPr>
      </w:pPr>
    </w:p>
    <w:p>
      <w:pPr>
        <w:pStyle w:val="BodyText"/>
        <w:spacing w:before="104" w:line="276" w:lineRule="auto"/>
        <w:ind w:left="6"/>
        <w:jc w:val="both"/>
      </w:pPr>
      <w:r>
        <w:rPr>
          <w:color w:val="808285"/>
          <w:spacing w:val="2"/>
        </w:rPr>
        <w:t>本报告版权仅为农小蜂所有,未经书面许可,任</w:t>
      </w:r>
      <w:r>
        <w:rPr>
          <w:color w:val="808285"/>
          <w:spacing w:val="1"/>
        </w:rPr>
        <w:t>何机构和个人不得以任何形式翻版、复制、发</w:t>
      </w:r>
      <w:r>
        <w:rPr>
          <w:color w:val="808285"/>
        </w:rPr>
        <w:t xml:space="preserve">  </w:t>
      </w:r>
      <w:r>
        <w:rPr>
          <w:color w:val="808285"/>
          <w:spacing w:val="1"/>
        </w:rPr>
        <w:t>表或引用。如征得农小蜂同意进行引用、刊发的,需在允许的范围内使用,并注明出处为 “农</w:t>
      </w:r>
    </w:p>
    <w:p>
      <w:pPr>
        <w:pStyle w:val="BodyText"/>
        <w:spacing w:before="1" w:line="205" w:lineRule="auto"/>
        <w:ind w:left="7"/>
      </w:pPr>
      <w:r>
        <w:rPr>
          <w:color w:val="808285"/>
          <w:spacing w:val="-1"/>
        </w:rPr>
        <w:t>小蜂数据",且不得对本报告进行任何有惊原意的引用、删节</w:t>
      </w:r>
      <w:r>
        <w:rPr>
          <w:color w:val="808285"/>
          <w:spacing w:val="-2"/>
        </w:rPr>
        <w:t>和修改。</w: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BodyText"/>
        <w:spacing w:before="95" w:line="216" w:lineRule="exact"/>
        <w:ind w:left="1488"/>
        <w:rPr>
          <w:sz w:val="22"/>
          <w:szCs w:val="22"/>
        </w:rPr>
      </w:pPr>
      <w:r>
        <w:rPr>
          <w:color w:val="002B00"/>
          <w:spacing w:val="16"/>
          <w:position w:val="-1"/>
          <w:sz w:val="22"/>
          <w:szCs w:val="22"/>
        </w:rPr>
        <w:t>农小蜂出品</w:t>
      </w:r>
      <w:r>
        <w:rPr>
          <w:color w:val="002B00"/>
          <w:spacing w:val="-17"/>
          <w:position w:val="-1"/>
          <w:sz w:val="22"/>
          <w:szCs w:val="22"/>
        </w:rPr>
        <w:t xml:space="preserve"> </w:t>
      </w:r>
      <w:r>
        <w:rPr>
          <w:rFonts w:ascii="Arial" w:eastAsia="Arial" w:hAnsi="Arial" w:cs="Arial"/>
          <w:color w:val="5D5F61"/>
          <w:spacing w:val="16"/>
          <w:position w:val="-1"/>
          <w:sz w:val="22"/>
          <w:szCs w:val="22"/>
        </w:rPr>
        <w:t>,</w:t>
      </w:r>
      <w:r>
        <w:rPr>
          <w:rFonts w:ascii="Arial" w:eastAsia="Arial" w:hAnsi="Arial" w:cs="Arial"/>
          <w:color w:val="5D5F61"/>
          <w:spacing w:val="16"/>
          <w:position w:val="-1"/>
          <w:sz w:val="22"/>
          <w:szCs w:val="22"/>
        </w:rPr>
        <w:t xml:space="preserve"> </w:t>
      </w:r>
      <w:r>
        <w:rPr>
          <w:color w:val="5D5F61"/>
          <w:spacing w:val="16"/>
          <w:position w:val="-1"/>
          <w:sz w:val="22"/>
          <w:szCs w:val="22"/>
        </w:rPr>
        <w:t>转载请标明出处;</w:t>
      </w:r>
      <w:r>
        <w:rPr>
          <w:color w:val="5D5F61"/>
          <w:spacing w:val="-7"/>
          <w:position w:val="-1"/>
          <w:sz w:val="22"/>
          <w:szCs w:val="22"/>
        </w:rPr>
        <w:t xml:space="preserve"> </w:t>
      </w:r>
      <w:r>
        <w:rPr>
          <w:color w:val="5D5F61"/>
          <w:spacing w:val="16"/>
          <w:position w:val="-1"/>
          <w:sz w:val="22"/>
          <w:szCs w:val="22"/>
        </w:rPr>
        <w:t>禁止商用转载,</w:t>
      </w:r>
      <w:r>
        <w:rPr>
          <w:color w:val="5D5F61"/>
          <w:spacing w:val="16"/>
          <w:position w:val="-1"/>
          <w:sz w:val="22"/>
          <w:szCs w:val="22"/>
        </w:rPr>
        <w:t xml:space="preserve"> </w:t>
      </w:r>
      <w:r>
        <w:rPr>
          <w:color w:val="5D5F61"/>
          <w:spacing w:val="16"/>
          <w:position w:val="-1"/>
          <w:sz w:val="22"/>
          <w:szCs w:val="22"/>
        </w:rPr>
        <w:t>违规转载法律必究</w:t>
      </w:r>
      <w:r>
        <w:rPr>
          <w:color w:val="5D5F61"/>
          <w:spacing w:val="-37"/>
          <w:position w:val="-1"/>
          <w:sz w:val="22"/>
          <w:szCs w:val="22"/>
        </w:rPr>
        <w:t xml:space="preserve"> </w:t>
      </w:r>
      <w:r>
        <w:rPr>
          <w:color w:val="5D5F61"/>
          <w:spacing w:val="16"/>
          <w:position w:val="-1"/>
          <w:sz w:val="22"/>
          <w:szCs w:val="22"/>
        </w:rPr>
        <w:t>。</w:t>
      </w:r>
    </w:p>
    <w:p>
      <w:pPr>
        <w:spacing w:line="216" w:lineRule="exact"/>
        <w:rPr>
          <w:sz w:val="22"/>
          <w:szCs w:val="22"/>
        </w:rPr>
        <w:sectPr>
          <w:headerReference w:type="default" r:id="rId24"/>
          <w:footerReference w:type="default" r:id="rId25"/>
          <w:type w:val="nextPage"/>
          <w:pgSz w:w="11906" w:h="16838"/>
          <w:pgMar w:top="400" w:right="1110" w:bottom="300" w:left="1180" w:header="0" w:footer="0" w:gutter="0"/>
          <w:pgNumType w:start="5"/>
          <w:cols w:num="1" w:space="708" w:equalWidth="0">
            <w:col w:w="9615" w:space="0"/>
          </w:cols>
          <w:titlePg w:val="0"/>
        </w:sectPr>
      </w:pPr>
    </w:p>
    <w:p>
      <w:pPr>
        <w:spacing w:line="457" w:lineRule="auto"/>
        <w:rPr>
          <w:rFonts w:ascii="Arial"/>
          <w:sz w:val="21"/>
        </w:rPr>
      </w:pPr>
      <w:r>
        <w:drawing>
          <wp:anchor distT="0" distB="0" distL="0" distR="0" simplePos="0" relativeHeight="251666432" behindDoc="0" locked="0" layoutInCell="0" allowOverlap="1">
            <wp:simplePos x="0" y="0"/>
            <wp:positionH relativeFrom="page">
              <wp:posOffset>2692913</wp:posOffset>
            </wp:positionH>
            <wp:positionV relativeFrom="page">
              <wp:posOffset>10090160</wp:posOffset>
            </wp:positionV>
            <wp:extent cx="2197452" cy="90307"/>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6"/>
                    <a:stretch>
                      <a:fillRect/>
                    </a:stretch>
                  </pic:blipFill>
                  <pic:spPr>
                    <a:xfrm>
                      <a:off x="0" y="0"/>
                      <a:ext cx="2197452" cy="90307"/>
                    </a:xfrm>
                    <a:prstGeom prst="rect">
                      <a:avLst/>
                    </a:prstGeom>
                  </pic:spPr>
                </pic:pic>
              </a:graphicData>
            </a:graphic>
          </wp:anchor>
        </w:drawing>
      </w:r>
    </w:p>
    <w:p>
      <w:pPr>
        <w:spacing w:line="386" w:lineRule="exact"/>
        <w:ind w:firstLine="1804"/>
      </w:pPr>
      <w:r>
        <w:rPr>
          <w:position w:val="-7"/>
        </w:rPr>
        <w:drawing>
          <wp:inline distT="0" distB="0" distL="0" distR="0">
            <wp:extent cx="5274305" cy="245061"/>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27"/>
                    <a:stretch>
                      <a:fillRect/>
                    </a:stretch>
                  </pic:blipFill>
                  <pic:spPr>
                    <a:xfrm>
                      <a:off x="0" y="0"/>
                      <a:ext cx="5274305" cy="245061"/>
                    </a:xfrm>
                    <a:prstGeom prst="rect">
                      <a:avLst/>
                    </a:prstGeom>
                  </pic:spPr>
                </pic:pic>
              </a:graphicData>
            </a:graphic>
          </wp:inline>
        </w:drawing>
      </w:r>
    </w:p>
    <w:p>
      <w:pPr>
        <w:pStyle w:val="BodyText"/>
        <w:spacing w:before="429" w:line="174" w:lineRule="auto"/>
        <w:ind w:left="1825"/>
        <w:rPr>
          <w:sz w:val="55"/>
          <w:szCs w:val="55"/>
        </w:rPr>
      </w:pPr>
      <w:r>
        <w:rPr>
          <w:color w:val="00B050"/>
          <w:spacing w:val="-7"/>
          <w:sz w:val="55"/>
          <w:szCs w:val="55"/>
          <w14:textOutline w14:w="8661">
            <w14:solidFill>
              <w14:srgbClr w14:val="00B050"/>
            </w14:solidFill>
            <w14:prstDash w14:val="solid"/>
            <w14:miter w14:lim="10"/>
          </w14:textOutline>
        </w:rPr>
        <w:t>核⼼观点</w:t>
      </w:r>
      <w:r>
        <w:rPr>
          <w:color w:val="00B050"/>
          <w:spacing w:val="-7"/>
          <w:sz w:val="55"/>
          <w:szCs w:val="55"/>
        </w:rPr>
        <w:t xml:space="preserve"> </w:t>
      </w:r>
      <w:r>
        <w:rPr>
          <w:color w:val="00B050"/>
          <w:spacing w:val="-7"/>
          <w:sz w:val="55"/>
          <w:szCs w:val="55"/>
          <w14:textOutline w14:w="8661">
            <w14:solidFill>
              <w14:srgbClr w14:val="00B050"/>
            </w14:solidFill>
            <w14:prstDash w14:val="solid"/>
            <w14:miter w14:lim="10"/>
          </w14:textOutline>
        </w:rPr>
        <w:t>COREOPINIONS</w:t>
      </w:r>
    </w:p>
    <w:p>
      <w:pPr>
        <w:spacing w:line="447" w:lineRule="auto"/>
        <w:rPr>
          <w:rFonts w:ascii="Arial"/>
          <w:sz w:val="21"/>
        </w:rPr>
      </w:pPr>
    </w:p>
    <w:p>
      <w:pPr>
        <w:pStyle w:val="BodyText"/>
        <w:spacing w:before="103" w:line="280" w:lineRule="auto"/>
        <w:ind w:left="1814" w:right="1715" w:firstLine="11"/>
        <w:jc w:val="both"/>
      </w:pPr>
      <w:r>
        <w:rPr>
          <w:spacing w:val="-14"/>
        </w:rPr>
        <w:t>1.</w:t>
      </w:r>
      <w:r>
        <w:rPr>
          <w:spacing w:val="60"/>
          <w:w w:val="101"/>
        </w:rPr>
        <w:t xml:space="preserve"> </w:t>
      </w:r>
      <w:r>
        <w:rPr>
          <w:spacing w:val="-14"/>
        </w:rPr>
        <w:t>从全球来看，</w:t>
      </w:r>
      <w:r>
        <w:rPr>
          <w:spacing w:val="43"/>
          <w:w w:val="101"/>
        </w:rPr>
        <w:t xml:space="preserve"> </w:t>
      </w:r>
      <w:r>
        <w:rPr>
          <w:spacing w:val="-14"/>
        </w:rPr>
        <w:t>中国是辣椒⽣产⼤国，</w:t>
      </w:r>
      <w:r>
        <w:rPr>
          <w:spacing w:val="29"/>
          <w:w w:val="101"/>
        </w:rPr>
        <w:t xml:space="preserve"> </w:t>
      </w:r>
      <w:r>
        <w:rPr>
          <w:spacing w:val="-14"/>
        </w:rPr>
        <w:t>在国际辣椒产业中占据主导地位。据</w:t>
      </w:r>
      <w:r>
        <w:rPr>
          <w:spacing w:val="13"/>
        </w:rPr>
        <w:t xml:space="preserve"> </w:t>
      </w:r>
      <w:r>
        <w:rPr>
          <w:spacing w:val="-14"/>
        </w:rPr>
        <w:t>FAO</w:t>
      </w:r>
      <w:r>
        <w:t xml:space="preserve">  </w:t>
      </w:r>
      <w:r>
        <w:rPr>
          <w:spacing w:val="-6"/>
        </w:rPr>
        <w:t>数据显⽰，  近  10  年来，中国与全球辣椒种植⾯积和产量均呈</w:t>
      </w:r>
      <w:r>
        <w:rPr>
          <w:spacing w:val="-7"/>
        </w:rPr>
        <w:t>现波动增⻓趋势，</w:t>
      </w:r>
      <w:r>
        <w:t xml:space="preserve"> </w:t>
      </w:r>
      <w:r>
        <w:rPr>
          <w:spacing w:val="-2"/>
        </w:rPr>
        <w:t>2020 年，中国辣椒收获⾯积产量在全球⽐重为 39.32%、54.24%，均位列全球</w:t>
      </w:r>
      <w:r>
        <w:t xml:space="preserve">  </w:t>
      </w:r>
      <w:r>
        <w:rPr>
          <w:spacing w:val="-6"/>
        </w:rPr>
        <w:t>第⼀，远超印度尼西亚、墨西哥、⼟⽿其、西班⽛、埃及等全球辣椒主产国家/地</w:t>
      </w:r>
      <w:r>
        <w:rPr>
          <w:spacing w:val="4"/>
        </w:rPr>
        <w:t xml:space="preserve">  </w:t>
      </w:r>
      <w:r>
        <w:rPr>
          <w:spacing w:val="-9"/>
        </w:rPr>
        <w:t>区，</w:t>
      </w:r>
      <w:r>
        <w:rPr>
          <w:spacing w:val="14"/>
        </w:rPr>
        <w:t xml:space="preserve"> </w:t>
      </w:r>
      <w:r>
        <w:rPr>
          <w:spacing w:val="-9"/>
        </w:rPr>
        <w:t>与排名第⼆的印度尼西亚相⽐，  种植⾯积⽐重⾼出</w:t>
      </w:r>
      <w:r>
        <w:rPr>
          <w:spacing w:val="22"/>
        </w:rPr>
        <w:t xml:space="preserve"> </w:t>
      </w:r>
      <w:r>
        <w:rPr>
          <w:spacing w:val="-9"/>
        </w:rPr>
        <w:t>31.65%</w:t>
      </w:r>
      <w:r>
        <w:rPr>
          <w:spacing w:val="-39"/>
        </w:rPr>
        <w:t xml:space="preserve"> </w:t>
      </w:r>
      <w:r>
        <w:rPr>
          <w:spacing w:val="-9"/>
        </w:rPr>
        <w:t>，产量⽐重⾼出</w:t>
      </w:r>
    </w:p>
    <w:p>
      <w:pPr>
        <w:pStyle w:val="BodyText"/>
        <w:spacing w:line="193" w:lineRule="auto"/>
        <w:ind w:left="1812"/>
      </w:pPr>
      <w:r>
        <w:rPr>
          <w:spacing w:val="-3"/>
        </w:rPr>
        <w:t>39.03%。</w:t>
      </w:r>
    </w:p>
    <w:p>
      <w:pPr>
        <w:spacing w:line="352" w:lineRule="auto"/>
        <w:rPr>
          <w:rFonts w:ascii="Arial"/>
          <w:sz w:val="21"/>
        </w:rPr>
      </w:pPr>
    </w:p>
    <w:p>
      <w:pPr>
        <w:pStyle w:val="BodyText"/>
        <w:spacing w:before="103" w:line="280" w:lineRule="auto"/>
        <w:ind w:left="1812" w:right="1715" w:firstLine="2"/>
      </w:pPr>
      <w:r>
        <w:rPr>
          <w:spacing w:val="-8"/>
        </w:rPr>
        <w:t>2.</w:t>
      </w:r>
      <w:r>
        <w:rPr>
          <w:spacing w:val="60"/>
        </w:rPr>
        <w:t xml:space="preserve"> </w:t>
      </w:r>
      <w:r>
        <w:rPr>
          <w:spacing w:val="-8"/>
        </w:rPr>
        <w:t>从国内重点运⾏区域来看，我国辣椒栽培⾯积超过 200 万亩的有贵</w:t>
      </w:r>
      <w:r>
        <w:rPr>
          <w:spacing w:val="-9"/>
        </w:rPr>
        <w:t>州、河南、</w:t>
      </w:r>
      <w:r>
        <w:t xml:space="preserve">  </w:t>
      </w:r>
      <w:r>
        <w:rPr>
          <w:spacing w:val="-14"/>
        </w:rPr>
        <w:t xml:space="preserve">云南 3 个省， 其中贵州已超过 500 万亩， ⾯积最⼤，  河南 </w:t>
      </w:r>
      <w:r>
        <w:rPr>
          <w:spacing w:val="-15"/>
        </w:rPr>
        <w:t>300 多万亩，</w:t>
      </w:r>
      <w:r>
        <w:rPr>
          <w:spacing w:val="18"/>
        </w:rPr>
        <w:t xml:space="preserve"> </w:t>
      </w:r>
      <w:r>
        <w:rPr>
          <w:spacing w:val="-15"/>
        </w:rPr>
        <w:t>云南 250</w:t>
      </w:r>
      <w:r>
        <w:t xml:space="preserve">  </w:t>
      </w:r>
      <w:r>
        <w:rPr>
          <w:spacing w:val="-3"/>
        </w:rPr>
        <w:t>多万亩。湖南、河北、四川、湖北、江西、陕西、海南、⼭东、安徽、辽宁、吉</w:t>
      </w:r>
      <w:r>
        <w:rPr>
          <w:spacing w:val="1"/>
        </w:rPr>
        <w:t xml:space="preserve">  </w:t>
      </w:r>
      <w:r>
        <w:rPr>
          <w:spacing w:val="-9"/>
        </w:rPr>
        <w:t>林、⼭西、新疆、</w:t>
      </w:r>
      <w:r>
        <w:rPr>
          <w:spacing w:val="18"/>
        </w:rPr>
        <w:t xml:space="preserve">  </w:t>
      </w:r>
      <w:r>
        <w:rPr>
          <w:spacing w:val="-9"/>
        </w:rPr>
        <w:t>宁夏、</w:t>
      </w:r>
      <w:r>
        <w:rPr>
          <w:spacing w:val="43"/>
        </w:rPr>
        <w:t xml:space="preserve"> </w:t>
      </w:r>
      <w:r>
        <w:rPr>
          <w:spacing w:val="-9"/>
        </w:rPr>
        <w:t>⽢肃、内蒙古等省区也是⽣产和⻝⽤辣椒的主要区域，</w:t>
      </w:r>
      <w:r>
        <w:t xml:space="preserve"> </w:t>
      </w:r>
      <w:r>
        <w:rPr>
          <w:spacing w:val="-2"/>
        </w:rPr>
        <w:t>⾯积均在 50 万亩以上。发展出了柘城辣椒⼤市场、虾⼦辣椒批发市场、⻘岛胶</w:t>
      </w:r>
      <w:r>
        <w:rPr>
          <w:spacing w:val="8"/>
        </w:rPr>
        <w:t xml:space="preserve">  </w:t>
      </w:r>
      <w:r>
        <w:rPr>
          <w:spacing w:val="-1"/>
        </w:rPr>
        <w:t>州于家村⼤椒城、中国武城辣椒城、云南砚⼭稼依辣椒城等辣椒主要交易市场，</w:t>
      </w:r>
      <w:r>
        <w:rPr>
          <w:spacing w:val="12"/>
        </w:rPr>
        <w:t xml:space="preserve"> </w:t>
      </w:r>
      <w:r>
        <w:rPr>
          <w:spacing w:val="-7"/>
        </w:rPr>
        <w:t>全国辣椒交易量、冷链仓储周转量、物流年吞吐量整体呈正增⻓态势，  辣椒产业</w:t>
      </w:r>
    </w:p>
    <w:p>
      <w:pPr>
        <w:pStyle w:val="BodyText"/>
        <w:spacing w:before="1" w:line="189" w:lineRule="auto"/>
        <w:ind w:left="1814"/>
      </w:pPr>
      <w:r>
        <w:rPr>
          <w:spacing w:val="-2"/>
        </w:rPr>
        <w:t>初步形成“买全球、卖全球”</w:t>
      </w:r>
      <w:r>
        <w:rPr>
          <w:spacing w:val="-48"/>
        </w:rPr>
        <w:t xml:space="preserve"> </w:t>
      </w:r>
      <w:r>
        <w:rPr>
          <w:spacing w:val="-2"/>
        </w:rPr>
        <w:t>的格局。</w:t>
      </w:r>
    </w:p>
    <w:p>
      <w:pPr>
        <w:spacing w:line="358" w:lineRule="auto"/>
        <w:rPr>
          <w:rFonts w:ascii="Arial"/>
          <w:sz w:val="21"/>
        </w:rPr>
      </w:pPr>
    </w:p>
    <w:p>
      <w:pPr>
        <w:pStyle w:val="BodyText"/>
        <w:spacing w:before="103" w:line="280" w:lineRule="auto"/>
        <w:ind w:left="1812" w:right="1712"/>
      </w:pPr>
      <w:r>
        <w:rPr>
          <w:spacing w:val="-14"/>
        </w:rPr>
        <w:t>3.</w:t>
      </w:r>
      <w:r>
        <w:rPr>
          <w:spacing w:val="59"/>
          <w:w w:val="101"/>
        </w:rPr>
        <w:t xml:space="preserve"> </w:t>
      </w:r>
      <w:r>
        <w:rPr>
          <w:spacing w:val="-14"/>
        </w:rPr>
        <w:t>从对外贸易来看，</w:t>
      </w:r>
      <w:r>
        <w:rPr>
          <w:spacing w:val="42"/>
          <w:w w:val="101"/>
        </w:rPr>
        <w:t xml:space="preserve"> </w:t>
      </w:r>
      <w:r>
        <w:rPr>
          <w:spacing w:val="-14"/>
        </w:rPr>
        <w:t>我国辣椒相关产品进⼝规模整体⼩于出⼝规模，</w:t>
      </w:r>
      <w:r>
        <w:rPr>
          <w:spacing w:val="42"/>
        </w:rPr>
        <w:t xml:space="preserve"> </w:t>
      </w:r>
      <w:r>
        <w:rPr>
          <w:spacing w:val="-14"/>
        </w:rPr>
        <w:t>近年来，</w:t>
      </w:r>
      <w:r>
        <w:rPr>
          <w:spacing w:val="15"/>
        </w:rPr>
        <w:t xml:space="preserve"> </w:t>
      </w:r>
      <w:r>
        <w:rPr>
          <w:spacing w:val="-14"/>
        </w:rPr>
        <w:t>出</w:t>
      </w:r>
      <w:r>
        <w:t xml:space="preserve">  </w:t>
      </w:r>
      <w:r>
        <w:rPr>
          <w:spacing w:val="-10"/>
        </w:rPr>
        <w:t xml:space="preserve">⼝量⼤幅增加，  随着商品标准化⽔平的提升， </w:t>
      </w:r>
      <w:r>
        <w:rPr>
          <w:spacing w:val="-11"/>
        </w:rPr>
        <w:t xml:space="preserve"> 出⼝单价也有所上涨。主要进出⼝  </w:t>
      </w:r>
      <w:r>
        <w:rPr>
          <w:spacing w:val="-10"/>
        </w:rPr>
        <w:t>商品为“鲜或冷藏的辣椒（包括甜椒）”、“未磨的辣椒⼲</w:t>
      </w:r>
      <w:r>
        <w:rPr>
          <w:spacing w:val="-48"/>
        </w:rPr>
        <w:t xml:space="preserve"> </w:t>
      </w:r>
      <w:r>
        <w:rPr>
          <w:spacing w:val="-10"/>
        </w:rPr>
        <w:t>”、“已</w:t>
      </w:r>
      <w:r>
        <w:rPr>
          <w:spacing w:val="-11"/>
        </w:rPr>
        <w:t>磨的辣椒”。</w:t>
      </w:r>
      <w:r>
        <w:t xml:space="preserve">  </w:t>
      </w:r>
      <w:r>
        <w:rPr>
          <w:spacing w:val="-6"/>
        </w:rPr>
        <w:t>2021 年，进⼝量及进⼝⾦额最⼤的商品为“未磨的辣椒⼲</w:t>
      </w:r>
      <w:r>
        <w:rPr>
          <w:spacing w:val="-49"/>
        </w:rPr>
        <w:t xml:space="preserve"> </w:t>
      </w:r>
      <w:r>
        <w:rPr>
          <w:spacing w:val="-6"/>
        </w:rPr>
        <w:t xml:space="preserve">”，规模分别为 </w:t>
      </w:r>
      <w:r>
        <w:rPr>
          <w:spacing w:val="-7"/>
        </w:rPr>
        <w:t>22.24</w:t>
      </w:r>
      <w:r>
        <w:t xml:space="preserve">  </w:t>
      </w:r>
      <w:r>
        <w:rPr>
          <w:spacing w:val="-7"/>
        </w:rPr>
        <w:t>万吨、51.14 千万美元，各占当年辣椒相关商品进⼝总量和进⼝总⾦额的 85.9%、</w:t>
      </w:r>
      <w:r>
        <w:rPr>
          <w:spacing w:val="16"/>
        </w:rPr>
        <w:t xml:space="preserve"> </w:t>
      </w:r>
      <w:r>
        <w:rPr>
          <w:spacing w:val="-9"/>
        </w:rPr>
        <w:t>89.94%，主要进⼝⾃印度、</w:t>
      </w:r>
      <w:r>
        <w:rPr>
          <w:spacing w:val="56"/>
          <w:w w:val="101"/>
        </w:rPr>
        <w:t xml:space="preserve"> </w:t>
      </w:r>
      <w:r>
        <w:rPr>
          <w:spacing w:val="-9"/>
        </w:rPr>
        <w:t>越南、</w:t>
      </w:r>
      <w:r>
        <w:rPr>
          <w:spacing w:val="20"/>
        </w:rPr>
        <w:t xml:space="preserve"> </w:t>
      </w:r>
      <w:r>
        <w:rPr>
          <w:spacing w:val="-9"/>
        </w:rPr>
        <w:t>缅</w:t>
      </w:r>
      <w:r>
        <w:rPr>
          <w:spacing w:val="-10"/>
        </w:rPr>
        <w:t>甸；</w:t>
      </w:r>
      <w:r>
        <w:rPr>
          <w:spacing w:val="59"/>
          <w:w w:val="101"/>
        </w:rPr>
        <w:t xml:space="preserve"> </w:t>
      </w:r>
      <w:r>
        <w:rPr>
          <w:spacing w:val="-10"/>
        </w:rPr>
        <w:t>出⼝量及出⼝⾦额最⼤的商品为“</w:t>
      </w:r>
      <w:r>
        <w:rPr>
          <w:spacing w:val="-47"/>
        </w:rPr>
        <w:t xml:space="preserve"> </w:t>
      </w:r>
      <w:r>
        <w:rPr>
          <w:spacing w:val="-10"/>
        </w:rPr>
        <w:t>已</w:t>
      </w:r>
      <w:r>
        <w:t xml:space="preserve">  </w:t>
      </w:r>
      <w:r>
        <w:rPr>
          <w:spacing w:val="-4"/>
        </w:rPr>
        <w:t>磨的辣椒”</w:t>
      </w:r>
      <w:r>
        <w:rPr>
          <w:spacing w:val="-38"/>
        </w:rPr>
        <w:t xml:space="preserve"> </w:t>
      </w:r>
      <w:r>
        <w:rPr>
          <w:spacing w:val="-4"/>
        </w:rPr>
        <w:t xml:space="preserve">，规模分别为 17.34 万吨，46.37 </w:t>
      </w:r>
      <w:r>
        <w:rPr>
          <w:spacing w:val="-5"/>
        </w:rPr>
        <w:t>千万美元</w:t>
      </w:r>
      <w:r>
        <w:rPr>
          <w:spacing w:val="-39"/>
        </w:rPr>
        <w:t xml:space="preserve"> </w:t>
      </w:r>
      <w:r>
        <w:rPr>
          <w:spacing w:val="-5"/>
        </w:rPr>
        <w:t>，分别占当年辣椒相关商</w:t>
      </w:r>
    </w:p>
    <w:p>
      <w:pPr>
        <w:pStyle w:val="BodyText"/>
        <w:spacing w:line="189" w:lineRule="auto"/>
        <w:ind w:left="1825"/>
      </w:pPr>
      <w:r>
        <w:rPr>
          <w:spacing w:val="-10"/>
        </w:rPr>
        <w:t>品总出⼝量和总出⼝⾦额的 53.45%，66.38%，主要出⼝⾄西班⽛、美</w:t>
      </w:r>
      <w:r>
        <w:rPr>
          <w:spacing w:val="-11"/>
        </w:rPr>
        <w:t>国、⽇本。</w:t>
      </w:r>
    </w:p>
    <w:p>
      <w:pPr>
        <w:spacing w:line="265" w:lineRule="auto"/>
        <w:rPr>
          <w:rFonts w:ascii="Arial"/>
          <w:sz w:val="21"/>
        </w:rPr>
      </w:pPr>
    </w:p>
    <w:p>
      <w:pPr>
        <w:spacing w:line="265" w:lineRule="auto"/>
        <w:rPr>
          <w:rFonts w:ascii="Arial"/>
          <w:sz w:val="21"/>
        </w:rPr>
        <w:sectPr>
          <w:headerReference w:type="default" r:id="rId28"/>
          <w:footerReference w:type="default" r:id="rId29"/>
          <w:pgSz w:w="11906" w:h="16838"/>
          <w:pgMar w:top="400" w:right="0" w:bottom="400" w:left="0" w:header="0" w:footer="0" w:gutter="0"/>
          <w:pgNumType w:start="6"/>
          <w:cols w:space="708"/>
        </w:sect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before="68" w:line="178" w:lineRule="auto"/>
        <w:ind w:left="10014"/>
        <w:rPr>
          <w:rFonts w:ascii="Calibri" w:eastAsia="Calibri" w:hAnsi="Calibri" w:cs="Calibri"/>
          <w:sz w:val="22"/>
          <w:szCs w:val="22"/>
        </w:rPr>
      </w:pPr>
      <w:r>
        <w:rPr>
          <w:rFonts w:ascii="Calibri" w:eastAsia="Calibri" w:hAnsi="Calibri" w:cs="Calibri"/>
          <w:b/>
          <w:bCs/>
          <w:sz w:val="22"/>
          <w:szCs w:val="22"/>
        </w:rPr>
        <w:t>1</w:t>
      </w:r>
    </w:p>
    <w:p>
      <w:pPr>
        <w:spacing w:line="178" w:lineRule="auto"/>
        <w:rPr>
          <w:rFonts w:ascii="Calibri" w:eastAsia="Calibri" w:hAnsi="Calibri" w:cs="Calibri"/>
          <w:sz w:val="22"/>
          <w:szCs w:val="22"/>
        </w:rPr>
      </w:pPr>
      <w:r>
        <w:rPr>
          <w:rFonts w:ascii="Calibri" w:eastAsia="Calibri" w:hAnsi="Calibri" w:cs="Calibri"/>
          <w:sz w:val="22"/>
          <w:szCs w:val="22"/>
        </w:rPr>
        <w:br/>
      </w:r>
      <w:r>
        <w:rPr>
          <w:rFonts w:ascii="Calibri" w:eastAsia="Calibri" w:hAnsi="Calibri" w:cs="Calibri"/>
          <w:sz w:val="22"/>
          <w:szCs w:val="22"/>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0" w:history="1">
        <w:r>
          <w:rPr>
            <w:rFonts w:ascii="SimSun" w:eastAsia="SimSun" w:hAnsi="SimSun" w:cs="SimSun"/>
            <w:b/>
            <w:bCs/>
            <w:noProof w:val="0"/>
            <w:snapToGrid/>
            <w:color w:val="0000EE"/>
            <w:kern w:val="0"/>
            <w:sz w:val="30"/>
            <w:szCs w:val="30"/>
            <w:u w:val="single" w:color="0000EE"/>
          </w:rPr>
          <w:t>https://d.book118.com/067155146146006034</w:t>
        </w:r>
      </w:hyperlink>
    </w:p>
    <w:p>
      <w:pPr>
        <w:spacing w:line="178" w:lineRule="auto"/>
        <w:rPr>
          <w:rFonts w:ascii="Calibri" w:eastAsia="Calibri" w:hAnsi="Calibri" w:cs="Calibri"/>
          <w:sz w:val="22"/>
          <w:szCs w:val="22"/>
        </w:rPr>
      </w:pPr>
    </w:p>
    <w:sectPr>
      <w:headerReference w:type="default" r:id="rId31"/>
      <w:footerReference w:type="default" r:id="rId32"/>
      <w:type w:val="nextPage"/>
      <w:pgSz w:w="11906" w:h="16838"/>
      <w:pgMar w:top="400" w:right="0" w:bottom="400" w:left="0" w:header="0" w:footer="0" w:gutter="0"/>
      <w:pgNumType w:start="7"/>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595.3pt;height:841.9pt;margin-top:0;margin-left:0;mso-position-horizontal-relative:page;mso-position-vertical-relative:page;position:absolute;z-index:-251658240" o:allowincell="f" filled="f" stroked="f">
          <v:imagedata r:id="rId1" o:tit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595.3pt;height:841.9pt;margin-top:0;margin-left:0;mso-position-horizontal-relative:page;mso-position-vertical-relative:page;position:absolute;z-index:-251657216" o:allowincell="f" filled="f" stroked="f">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4"/>
      <w:szCs w:val="24"/>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6.xml" /><Relationship Id="rId29" Type="http://schemas.openxmlformats.org/officeDocument/2006/relationships/footer" Target="footer6.xml" /><Relationship Id="rId3" Type="http://schemas.openxmlformats.org/officeDocument/2006/relationships/fontTable" Target="fontTable.xml" /><Relationship Id="rId30" Type="http://schemas.openxmlformats.org/officeDocument/2006/relationships/hyperlink" Target="https://d.book118.com/067155146146006034" TargetMode="External"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15.png" /></Relationships>
</file>

<file path=word/_rels/header7.xml.rels><?xml version="1.0" encoding="utf-8" standalone="yes"?><Relationships xmlns="http://schemas.openxmlformats.org/package/2006/relationships"><Relationship Id="rId1" Type="http://schemas.openxmlformats.org/officeDocument/2006/relationships/image" Target="media/image1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农小蜂-2022年中国辣椒产业数据分析简报.docx</dc:title>
  <cp:revision>0</cp:revision>
  <dcterms:created xsi:type="dcterms:W3CDTF">2024-01-27T19:36:54Z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2024-01-27T21:16:57Z</vt:filetime>
  </property>
  <property fmtid="{D5CDD505-2E9C-101B-9397-08002B2CF9AE}" pid="3" name="CRO">
    <vt:lpwstr>wqlLaW5nc29mdCBQREYgdG8gV1BTIDkw</vt:lpwstr>
  </property>
</Properties>
</file>