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2024年干电池行业分析报告及未来五到十年行业发展趋势报告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30469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_Toc30469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2726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_Toc22726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012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_Toc17012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669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_Toc9669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489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_Toc29489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427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_Toc23427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644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_Toc19644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295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_Toc26295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262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_Toc19262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491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_Toc21491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137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_Toc28137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20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_Toc16120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2104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_Toc32104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879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_Toc16879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40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_Toc30403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7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_Toc2877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013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_Toc18013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4081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_Toc14081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7164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_Toc7164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675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_Toc12675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0236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_Toc10236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018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_Toc21018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26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_Toc21267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746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_Toc6746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804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_Toc19804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091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_Toc9091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329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_Toc30329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36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_Toc21636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688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_Toc28688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50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_Toc3350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93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_Toc29939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822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_Toc5822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873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_Toc8873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358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_Toc29358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4159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_Toc4159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08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_Toc5086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341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_Toc9341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188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_Toc20188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410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_Toc28410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79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_Toc21790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871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_Toc8871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732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_Toc32732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73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_Toc1473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768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_Toc3768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39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_Toc2639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775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_Toc24775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063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_Toc7063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883" w:history="1">
        <w:r>
          <w:rPr>
            <w:rFonts w:eastAsia="微软雅黑" w:hint="eastAsia"/>
            <w:snapToGrid/>
            <w:lang w:val="en-US" w:eastAsia="en-US"/>
          </w:rPr>
          <w:t>九、“疫情”对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_Toc8883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524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_Toc20524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77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_Toc777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038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_Toc28038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916" w:history="1">
        <w:r>
          <w:rPr>
            <w:rFonts w:eastAsia="微软雅黑" w:hint="eastAsia"/>
            <w:snapToGrid/>
            <w:lang w:val="en-US" w:eastAsia="en-US"/>
          </w:rPr>
          <w:t>十、宏观经济对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_Toc17916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806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_Toc20806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19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_Toc7190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70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_Toc13705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672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_Toc31672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54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_Toc12545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577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_Toc31577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314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_Toc6314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257" w:history="1">
        <w:r>
          <w:rPr>
            <w:rFonts w:eastAsia="微软雅黑" w:hint="eastAsia"/>
            <w:snapToGrid/>
            <w:lang w:val="en-US" w:eastAsia="zh-CN"/>
          </w:rPr>
          <w:t>(二)</w:t>
        </w:r>
        <w:r>
          <w:rPr>
            <w:rFonts w:eastAsia="微软雅黑" w:hint="eastAsia"/>
            <w:snapToGrid/>
            <w:lang w:val="en-US" w:eastAsia="zh-CN"/>
          </w:rPr>
          <w:t>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_Toc23257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61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_Toc22615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277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_Toc7277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88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_Toc16488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75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_Toc20975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33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_Toc31333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640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_Toc10640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051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_Toc9051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873" w:history="1">
        <w:r>
          <w:rPr>
            <w:rFonts w:eastAsia="微软雅黑" w:hint="eastAsia"/>
            <w:snapToGrid/>
            <w:lang w:val="en-US" w:eastAsia="en-US"/>
          </w:rPr>
          <w:t>十三、2024-2029年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产业发展战略分析</w:t>
        </w:r>
        <w:r>
          <w:tab/>
        </w:r>
        <w:r>
          <w:fldChar w:fldCharType="begin"/>
        </w:r>
        <w:r>
          <w:instrText xml:space="preserve"> PAGEREF _Toc23873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937" w:history="1">
        <w:r>
          <w:rPr>
            <w:rFonts w:eastAsia="微软雅黑" w:hint="eastAsia"/>
            <w:snapToGrid/>
            <w:lang w:val="en-US" w:eastAsia="en-US"/>
          </w:rPr>
          <w:t>(一)、树立</w:t>
        </w:r>
        <w:r>
          <w:rPr>
            <w:rFonts w:eastAsia="微软雅黑" w:hint="eastAsia"/>
            <w:snapToGrid/>
            <w:lang w:val="en-US" w:eastAsia="en-US"/>
          </w:rPr>
          <w:t>干电池</w:t>
        </w:r>
        <w:r>
          <w:rPr>
            <w:rFonts w:eastAsia="微软雅黑" w:hint="eastAsia"/>
            <w:snapToGrid/>
            <w:lang w:val="en-US" w:eastAsia="en-US"/>
          </w:rPr>
          <w:t>行业“战略突围”理念</w:t>
        </w:r>
        <w:r>
          <w:tab/>
        </w:r>
        <w:r>
          <w:fldChar w:fldCharType="begin"/>
        </w:r>
        <w:r>
          <w:instrText xml:space="preserve"> PAGEREF _Toc16937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97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干电池</w:t>
        </w:r>
        <w:r>
          <w:rPr>
            <w:rFonts w:eastAsia="微软雅黑" w:hint="eastAsia"/>
            <w:snapToGrid/>
            <w:lang w:val="en-US" w:eastAsia="zh-CN"/>
          </w:rPr>
          <w:t>行业市场定位，产品定位和品牌定位</w:t>
        </w:r>
        <w:r>
          <w:tab/>
        </w:r>
        <w:r>
          <w:fldChar w:fldCharType="begin"/>
        </w:r>
        <w:r>
          <w:instrText xml:space="preserve"> PAGEREF _Toc597 \h </w:instrText>
        </w:r>
        <w:r>
          <w:fldChar w:fldCharType="separate"/>
        </w:r>
        <w:r>
          <w:t>28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https://d.book118.com/067156055105006026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067156055105006026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