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34CE8" w14:paraId="17AAB127" w14:textId="23F2E588">
      <w:pPr>
        <w:spacing w:line="360" w:lineRule="auto"/>
        <w:jc w:val="center"/>
        <w:rPr>
          <w:rFonts w:eastAsia="宋体"/>
          <w:sz w:val="96"/>
          <w:szCs w:val="96"/>
          <w:lang w:eastAsia="zh-CN"/>
        </w:rPr>
      </w:pPr>
      <w:r>
        <w:rPr>
          <w:rFonts w:asciiTheme="minorEastAsia" w:eastAsiaTheme="minorEastAsia" w:hAnsiTheme="minorEastAsia" w:hint="eastAsia"/>
          <w:sz w:val="96"/>
          <w:szCs w:val="96"/>
          <w:lang w:eastAsia="zh-CN"/>
        </w:rPr>
        <w:t>某研发中心</w:t>
      </w:r>
    </w:p>
    <w:p w:rsidR="00E34CE8" w14:paraId="0A5AF040" w14:textId="586ADC7E">
      <w:pPr>
        <w:spacing w:line="360" w:lineRule="auto"/>
        <w:jc w:val="center"/>
        <w:rPr>
          <w:rFonts w:eastAsia="宋体"/>
          <w:sz w:val="36"/>
          <w:szCs w:val="44"/>
          <w:lang w:eastAsia="zh-CN"/>
        </w:rPr>
      </w:pPr>
      <w:r>
        <w:rPr>
          <w:rFonts w:eastAsia="宋体" w:hint="eastAsia"/>
          <w:sz w:val="36"/>
          <w:szCs w:val="44"/>
          <w:lang w:eastAsia="zh-CN"/>
        </w:rPr>
        <w:t>充电桩</w:t>
      </w:r>
      <w:r>
        <w:rPr>
          <w:rFonts w:eastAsia="宋体" w:hint="eastAsia"/>
          <w:sz w:val="36"/>
          <w:szCs w:val="44"/>
          <w:lang w:val="en-US" w:eastAsia="zh-CN"/>
        </w:rPr>
        <w:t>工程</w:t>
      </w:r>
      <w:r>
        <w:rPr>
          <w:rFonts w:eastAsia="宋体" w:hint="eastAsia"/>
          <w:sz w:val="36"/>
          <w:szCs w:val="44"/>
          <w:lang w:eastAsia="zh-CN"/>
        </w:rPr>
        <w:t xml:space="preserve"> </w:t>
      </w:r>
    </w:p>
    <w:p w:rsidR="00E34CE8" w14:paraId="5DBF7AE0" w14:textId="77777777">
      <w:pPr>
        <w:spacing w:line="360" w:lineRule="auto"/>
        <w:jc w:val="center"/>
        <w:rPr>
          <w:rFonts w:eastAsia="宋体"/>
          <w:sz w:val="36"/>
          <w:szCs w:val="44"/>
          <w:lang w:eastAsia="zh-CN"/>
        </w:rPr>
      </w:pPr>
    </w:p>
    <w:p w:rsidR="00E34CE8" w14:paraId="15D9C2FD" w14:textId="77777777">
      <w:pPr>
        <w:spacing w:line="360" w:lineRule="auto"/>
        <w:jc w:val="center"/>
        <w:rPr>
          <w:rFonts w:eastAsia="宋体"/>
          <w:sz w:val="36"/>
          <w:szCs w:val="44"/>
          <w:lang w:eastAsia="zh-CN"/>
        </w:rPr>
      </w:pPr>
      <w:r>
        <w:rPr>
          <w:rFonts w:eastAsia="宋体" w:hint="eastAsia"/>
          <w:sz w:val="36"/>
          <w:szCs w:val="44"/>
          <w:lang w:eastAsia="zh-CN"/>
        </w:rPr>
        <w:t>技术规格说明书</w:t>
      </w:r>
    </w:p>
    <w:p w:rsidR="00E34CE8" w14:paraId="5E1A0EB1" w14:textId="77777777">
      <w:pPr>
        <w:spacing w:line="360" w:lineRule="auto"/>
        <w:jc w:val="center"/>
        <w:rPr>
          <w:rFonts w:eastAsia="宋体"/>
          <w:sz w:val="36"/>
          <w:szCs w:val="44"/>
          <w:lang w:eastAsia="zh-CN"/>
        </w:rPr>
      </w:pPr>
      <w:r>
        <w:rPr>
          <w:rFonts w:eastAsia="宋体" w:hint="eastAsia"/>
          <w:sz w:val="36"/>
          <w:szCs w:val="44"/>
          <w:lang w:eastAsia="zh-CN"/>
        </w:rPr>
        <w:t>第二部分</w:t>
      </w:r>
    </w:p>
    <w:p w:rsidR="00E34CE8" w14:paraId="28B291A4" w14:textId="77777777">
      <w:pPr>
        <w:rPr>
          <w:rFonts w:eastAsia="宋体"/>
          <w:szCs w:val="28"/>
          <w:lang w:eastAsia="zh-CN"/>
        </w:rPr>
      </w:pPr>
    </w:p>
    <w:p w:rsidR="00E34CE8" w14:paraId="658A0549" w14:textId="77777777">
      <w:pPr>
        <w:rPr>
          <w:rFonts w:eastAsia="宋体"/>
          <w:szCs w:val="28"/>
          <w:lang w:eastAsia="zh-CN"/>
        </w:rPr>
      </w:pPr>
    </w:p>
    <w:p w:rsidR="00E34CE8" w14:paraId="7AF9B102" w14:textId="77777777">
      <w:pPr>
        <w:rPr>
          <w:rFonts w:eastAsia="宋体"/>
          <w:szCs w:val="28"/>
          <w:lang w:eastAsia="zh-CN"/>
        </w:rPr>
      </w:pPr>
    </w:p>
    <w:p w:rsidR="00E34CE8" w14:paraId="5808A4B8" w14:textId="77777777">
      <w:pPr>
        <w:rPr>
          <w:rFonts w:eastAsia="宋体"/>
          <w:szCs w:val="28"/>
          <w:lang w:eastAsia="zh-CN"/>
        </w:rPr>
      </w:pPr>
    </w:p>
    <w:p w:rsidR="00E34CE8" w14:paraId="5EA3FE95" w14:textId="77777777">
      <w:pPr>
        <w:rPr>
          <w:rFonts w:eastAsia="宋体"/>
          <w:szCs w:val="28"/>
          <w:lang w:eastAsia="zh-CN"/>
        </w:rPr>
      </w:pPr>
    </w:p>
    <w:p w:rsidR="00E34CE8" w14:paraId="546A8EDE" w14:textId="77777777">
      <w:pPr>
        <w:rPr>
          <w:rFonts w:eastAsia="宋体"/>
          <w:szCs w:val="28"/>
          <w:lang w:eastAsia="zh-CN"/>
        </w:rPr>
      </w:pPr>
    </w:p>
    <w:p w:rsidR="00E34CE8" w14:paraId="16F7B457" w14:textId="77777777">
      <w:pPr>
        <w:rPr>
          <w:rFonts w:eastAsia="宋体"/>
          <w:szCs w:val="28"/>
          <w:lang w:eastAsia="zh-CN"/>
        </w:rPr>
      </w:pPr>
    </w:p>
    <w:p w:rsidR="00E34CE8" w14:paraId="37CE3157" w14:textId="77777777">
      <w:pPr>
        <w:rPr>
          <w:rFonts w:eastAsia="宋体"/>
          <w:szCs w:val="28"/>
          <w:lang w:eastAsia="zh-CN"/>
        </w:rPr>
      </w:pPr>
    </w:p>
    <w:p w:rsidR="00E34CE8" w14:paraId="7C47B83C" w14:textId="77777777">
      <w:pPr>
        <w:rPr>
          <w:rFonts w:eastAsia="宋体"/>
          <w:szCs w:val="28"/>
          <w:lang w:eastAsia="zh-CN"/>
        </w:rPr>
      </w:pPr>
    </w:p>
    <w:p w:rsidR="00E34CE8" w14:paraId="6673C9A2" w14:textId="77777777">
      <w:pPr>
        <w:rPr>
          <w:rFonts w:eastAsia="宋体"/>
          <w:szCs w:val="28"/>
          <w:lang w:eastAsia="zh-CN"/>
        </w:rPr>
      </w:pPr>
    </w:p>
    <w:p w:rsidR="00E34CE8" w14:paraId="030B452A" w14:textId="77777777">
      <w:pPr>
        <w:rPr>
          <w:rFonts w:eastAsia="宋体"/>
          <w:szCs w:val="28"/>
          <w:lang w:eastAsia="zh-CN"/>
        </w:rPr>
      </w:pPr>
    </w:p>
    <w:p w:rsidR="00E34CE8" w14:paraId="626912A7" w14:textId="77777777">
      <w:pPr>
        <w:rPr>
          <w:rFonts w:eastAsia="宋体"/>
          <w:szCs w:val="28"/>
          <w:lang w:eastAsia="zh-CN"/>
        </w:rPr>
      </w:pPr>
    </w:p>
    <w:p w:rsidR="00E34CE8" w14:paraId="73FD8BED" w14:textId="77777777">
      <w:pPr>
        <w:rPr>
          <w:rFonts w:eastAsia="宋体"/>
          <w:szCs w:val="28"/>
          <w:lang w:eastAsia="zh-CN"/>
        </w:rPr>
      </w:pPr>
    </w:p>
    <w:p w:rsidR="00E34CE8" w14:paraId="60EDEC38" w14:textId="77777777">
      <w:pPr>
        <w:rPr>
          <w:rFonts w:eastAsia="宋体"/>
          <w:szCs w:val="28"/>
          <w:lang w:eastAsia="zh-CN"/>
        </w:rPr>
      </w:pPr>
    </w:p>
    <w:p w:rsidR="00E34CE8" w14:paraId="228C1A8E" w14:textId="77777777">
      <w:pPr>
        <w:rPr>
          <w:rFonts w:eastAsia="宋体"/>
          <w:szCs w:val="28"/>
          <w:lang w:eastAsia="zh-CN"/>
        </w:rPr>
      </w:pPr>
    </w:p>
    <w:p w:rsidR="00E34CE8" w14:paraId="73E376E0" w14:textId="77777777">
      <w:pPr>
        <w:rPr>
          <w:rFonts w:eastAsia="宋体"/>
          <w:szCs w:val="28"/>
          <w:lang w:eastAsia="zh-CN"/>
        </w:rPr>
      </w:pPr>
    </w:p>
    <w:p w:rsidR="00E34CE8" w14:paraId="78545F8A" w14:textId="77777777">
      <w:pPr>
        <w:rPr>
          <w:rFonts w:eastAsia="宋体"/>
          <w:szCs w:val="28"/>
          <w:lang w:eastAsia="zh-CN"/>
        </w:rPr>
      </w:pPr>
    </w:p>
    <w:p w:rsidR="00E34CE8" w14:paraId="57E22E30" w14:textId="77777777">
      <w:pPr>
        <w:rPr>
          <w:rFonts w:eastAsia="宋体"/>
          <w:szCs w:val="28"/>
          <w:lang w:eastAsia="zh-CN"/>
        </w:rPr>
      </w:pPr>
    </w:p>
    <w:p w:rsidR="00E34CE8" w14:paraId="1B12C76C" w14:textId="77777777">
      <w:pPr>
        <w:rPr>
          <w:rFonts w:eastAsia="宋体"/>
          <w:szCs w:val="28"/>
          <w:lang w:eastAsia="zh-CN"/>
        </w:rPr>
      </w:pPr>
    </w:p>
    <w:p w:rsidR="00E34CE8" w14:paraId="3A7947DC" w14:textId="77777777">
      <w:pPr>
        <w:rPr>
          <w:rFonts w:eastAsia="宋体"/>
          <w:sz w:val="24"/>
          <w:szCs w:val="28"/>
          <w:lang w:eastAsia="zh-CN"/>
        </w:rPr>
      </w:pPr>
    </w:p>
    <w:p w:rsidR="00E34CE8" w14:paraId="59C6A3A7" w14:textId="77777777">
      <w:pPr>
        <w:rPr>
          <w:rFonts w:eastAsia="宋体"/>
          <w:sz w:val="24"/>
          <w:szCs w:val="28"/>
          <w:lang w:eastAsia="zh-CN"/>
        </w:rPr>
      </w:pPr>
    </w:p>
    <w:p w:rsidR="00DC610F" w:rsidP="00DC610F" w14:paraId="253695A3" w14:textId="77777777">
      <w:pPr>
        <w:rPr>
          <w:rFonts w:eastAsia="宋体"/>
          <w:sz w:val="24"/>
          <w:szCs w:val="28"/>
          <w:lang w:eastAsia="zh-CN"/>
        </w:rPr>
      </w:pPr>
    </w:p>
    <w:p w:rsidR="00DC610F" w:rsidRPr="002200CF" w:rsidP="00DC610F" w14:paraId="3A1767AE" w14:textId="164CD638">
      <w:pPr>
        <w:autoSpaceDE w:val="0"/>
        <w:autoSpaceDN w:val="0"/>
        <w:adjustRightInd w:val="0"/>
        <w:spacing w:line="360" w:lineRule="auto"/>
        <w:jc w:val="center"/>
        <w:rPr>
          <w:rFonts w:eastAsiaTheme="minorEastAsia"/>
          <w:color w:val="000000" w:themeColor="text1"/>
          <w:sz w:val="28"/>
          <w:szCs w:val="28"/>
          <w:lang w:eastAsia="zh-CN"/>
        </w:rPr>
      </w:pPr>
      <w:bookmarkStart w:id="0" w:name="_Hlk147934427"/>
      <w:r w:rsidRPr="008F061B">
        <w:rPr>
          <w:rFonts w:hint="eastAsia"/>
          <w:color w:val="000000" w:themeColor="text1"/>
          <w:sz w:val="28"/>
          <w:szCs w:val="28"/>
          <w:lang w:eastAsia="zh-CN"/>
        </w:rPr>
        <w:t>招标单位：</w:t>
      </w:r>
      <w:r w:rsidR="002200CF">
        <w:rPr>
          <w:rFonts w:eastAsiaTheme="minorEastAsia" w:hint="eastAsia"/>
          <w:color w:val="000000" w:themeColor="text1"/>
          <w:sz w:val="28"/>
          <w:szCs w:val="28"/>
          <w:lang w:eastAsia="zh-CN"/>
        </w:rPr>
        <w:t xml:space="preserve"> </w:t>
      </w:r>
    </w:p>
    <w:p w:rsidR="00DC610F" w:rsidRPr="008F061B" w:rsidP="00DC610F" w14:paraId="2EF15368" w14:textId="04685F5F">
      <w:pPr>
        <w:autoSpaceDE w:val="0"/>
        <w:autoSpaceDN w:val="0"/>
        <w:adjustRightInd w:val="0"/>
        <w:spacing w:line="360" w:lineRule="auto"/>
        <w:jc w:val="center"/>
        <w:rPr>
          <w:color w:val="000000" w:themeColor="text1"/>
          <w:sz w:val="24"/>
          <w:szCs w:val="28"/>
          <w:lang w:val="en-US" w:eastAsia="zh-CN"/>
        </w:rPr>
        <w:sectPr>
          <w:headerReference w:type="default" r:id="rId6"/>
          <w:pgSz w:w="11906" w:h="16838"/>
          <w:pgMar w:top="1814" w:right="1418" w:bottom="1418" w:left="1814" w:header="851" w:footer="992" w:gutter="0"/>
          <w:pgNumType w:start="0"/>
          <w:cols w:space="425"/>
          <w:titlePg/>
          <w:docGrid w:linePitch="312"/>
        </w:sectPr>
      </w:pPr>
      <w:r w:rsidRPr="008F061B">
        <w:rPr>
          <w:rFonts w:hint="eastAsia"/>
          <w:color w:val="000000" w:themeColor="text1"/>
          <w:sz w:val="24"/>
          <w:szCs w:val="28"/>
          <w:lang w:eastAsia="zh-CN"/>
        </w:rPr>
        <w:t>日期：</w:t>
      </w:r>
      <w:r w:rsidRPr="008F061B">
        <w:rPr>
          <w:color w:val="000000" w:themeColor="text1"/>
          <w:sz w:val="24"/>
          <w:szCs w:val="28"/>
          <w:lang w:eastAsia="zh-CN"/>
        </w:rPr>
        <w:t xml:space="preserve"> </w:t>
      </w:r>
      <w:r w:rsidR="002200CF">
        <w:rPr>
          <w:color w:val="000000" w:themeColor="text1"/>
          <w:sz w:val="24"/>
          <w:szCs w:val="28"/>
          <w:lang w:eastAsia="zh-CN"/>
        </w:rPr>
        <w:t xml:space="preserve"> </w:t>
      </w:r>
    </w:p>
    <w:bookmarkEnd w:id="0"/>
    <w:p w:rsidR="00E34CE8" w14:paraId="605AD5A6" w14:textId="45A3C49B">
      <w:pPr>
        <w:spacing w:before="60" w:after="60"/>
        <w:jc w:val="center"/>
        <w:rPr>
          <w:rStyle w:val="HR-12"/>
          <w:rFonts w:ascii="Times New Roman" w:eastAsia="宋体" w:hAnsi="Times New Roman"/>
          <w:bCs/>
          <w:caps/>
          <w:lang w:eastAsia="zh-CN"/>
        </w:rPr>
      </w:pPr>
      <w:r>
        <w:rPr>
          <w:rStyle w:val="HR-12"/>
          <w:rFonts w:ascii="Times New Roman" w:eastAsia="宋体" w:hAnsi="Times New Roman" w:hint="eastAsia"/>
          <w:bCs/>
          <w:caps/>
          <w:lang w:eastAsia="zh-CN"/>
        </w:rPr>
        <w:t>某研发中心</w:t>
      </w:r>
    </w:p>
    <w:p w:rsidR="00E34CE8" w14:paraId="17C31B12" w14:textId="16999FE6">
      <w:pPr>
        <w:spacing w:before="60" w:after="60"/>
        <w:jc w:val="center"/>
        <w:rPr>
          <w:rStyle w:val="HR-12"/>
          <w:rFonts w:ascii="Times New Roman" w:eastAsia="宋体" w:hAnsi="Times New Roman"/>
          <w:bCs/>
          <w:caps/>
          <w:lang w:eastAsia="zh-CN"/>
        </w:rPr>
      </w:pPr>
      <w:r>
        <w:rPr>
          <w:rStyle w:val="HR-12"/>
          <w:rFonts w:ascii="Times New Roman" w:eastAsia="宋体" w:hAnsi="Times New Roman" w:hint="eastAsia"/>
          <w:bCs/>
          <w:caps/>
          <w:lang w:eastAsia="zh-CN"/>
        </w:rPr>
        <w:t>充电桩</w:t>
      </w:r>
      <w:r>
        <w:rPr>
          <w:rStyle w:val="HR-12"/>
          <w:rFonts w:eastAsia="宋体" w:hint="eastAsia"/>
          <w:bCs/>
          <w:caps/>
          <w:lang w:val="en-US" w:eastAsia="zh-CN"/>
        </w:rPr>
        <w:t>工程</w:t>
      </w:r>
      <w:r>
        <w:rPr>
          <w:rStyle w:val="HR-12"/>
          <w:rFonts w:ascii="Times New Roman" w:eastAsia="宋体" w:hAnsi="Times New Roman" w:hint="eastAsia"/>
          <w:bCs/>
          <w:caps/>
          <w:lang w:eastAsia="zh-CN"/>
        </w:rPr>
        <w:t xml:space="preserve"> </w:t>
      </w:r>
    </w:p>
    <w:p w:rsidR="00E34CE8" w14:paraId="32F24C3E" w14:textId="77777777">
      <w:pPr>
        <w:spacing w:before="60" w:after="60"/>
        <w:jc w:val="center"/>
        <w:rPr>
          <w:rStyle w:val="HR-12"/>
          <w:rFonts w:ascii="Times New Roman" w:eastAsia="宋体" w:hAnsi="Times New Roman"/>
          <w:bCs/>
          <w:caps/>
          <w:lang w:eastAsia="zh-CN"/>
        </w:rPr>
      </w:pPr>
      <w:r>
        <w:rPr>
          <w:rStyle w:val="HR-12"/>
          <w:rFonts w:ascii="Times New Roman" w:eastAsia="宋体" w:hAnsi="Times New Roman" w:hint="eastAsia"/>
          <w:bCs/>
          <w:caps/>
          <w:lang w:eastAsia="zh-CN"/>
        </w:rPr>
        <w:t>技术规格说明书</w:t>
      </w:r>
    </w:p>
    <w:p w:rsidR="00E34CE8" w14:paraId="1463C409" w14:textId="77777777">
      <w:pPr>
        <w:spacing w:before="60" w:after="60"/>
        <w:jc w:val="center"/>
        <w:rPr>
          <w:rStyle w:val="HR-12"/>
          <w:rFonts w:ascii="Times New Roman" w:eastAsia="宋体" w:hAnsi="Times New Roman"/>
          <w:bCs/>
          <w:caps/>
          <w:lang w:eastAsia="zh-CN"/>
        </w:rPr>
      </w:pPr>
      <w:bookmarkStart w:id="1" w:name="_GoBack"/>
      <w:bookmarkEnd w:id="1"/>
      <w:r>
        <w:rPr>
          <w:rStyle w:val="HR-12"/>
          <w:rFonts w:ascii="Times New Roman" w:eastAsia="宋体" w:hAnsi="Times New Roman" w:hint="eastAsia"/>
          <w:bCs/>
          <w:caps/>
          <w:lang w:eastAsia="zh-CN"/>
        </w:rPr>
        <w:t>目录</w:t>
      </w:r>
    </w:p>
    <w:p w:rsidR="00E34CE8" w14:paraId="52645B1F" w14:textId="77777777">
      <w:pPr>
        <w:tabs>
          <w:tab w:val="right" w:pos="8647"/>
        </w:tabs>
        <w:rPr>
          <w:rStyle w:val="HR-12"/>
          <w:rFonts w:asciiTheme="minorEastAsia" w:eastAsiaTheme="minorEastAsia" w:hAnsiTheme="minorEastAsia"/>
          <w:bCs/>
          <w:caps/>
          <w:lang w:eastAsia="zh-CN"/>
        </w:rPr>
      </w:pPr>
      <w:r>
        <w:rPr>
          <w:rStyle w:val="HR-12"/>
          <w:rFonts w:asciiTheme="minorEastAsia" w:eastAsiaTheme="minorEastAsia" w:hAnsiTheme="minorEastAsia" w:hint="eastAsia"/>
          <w:bCs/>
          <w:caps/>
          <w:lang w:eastAsia="zh-CN"/>
        </w:rPr>
        <w:t>第二部分</w:t>
      </w:r>
      <w:r>
        <w:rPr>
          <w:rStyle w:val="HR-12"/>
          <w:rFonts w:asciiTheme="minorEastAsia" w:eastAsiaTheme="minorEastAsia" w:hAnsiTheme="minorEastAsia"/>
          <w:bCs/>
          <w:caps/>
          <w:lang w:eastAsia="zh-CN"/>
        </w:rPr>
        <w:tab/>
      </w:r>
      <w:r>
        <w:rPr>
          <w:rStyle w:val="HR-12"/>
          <w:rFonts w:asciiTheme="minorEastAsia" w:eastAsiaTheme="minorEastAsia" w:hAnsiTheme="minorEastAsia" w:hint="eastAsia"/>
          <w:bCs/>
          <w:caps/>
          <w:u w:val="single"/>
          <w:lang w:eastAsia="zh-CN"/>
        </w:rPr>
        <w:t>页数</w:t>
      </w:r>
    </w:p>
    <w:sdt>
      <w:sdtPr>
        <w:rPr>
          <w:rFonts w:asciiTheme="minorEastAsia" w:eastAsiaTheme="minorEastAsia" w:hAnsiTheme="minorEastAsia" w:cs="Times New Roman"/>
          <w:color w:val="auto"/>
          <w:sz w:val="22"/>
          <w:szCs w:val="20"/>
          <w:lang w:val="zh-CN" w:eastAsia="en-US"/>
        </w:rPr>
        <w:id w:val="1236365407"/>
        <w:docPartObj>
          <w:docPartGallery w:val="Table of Contents"/>
          <w:docPartUnique/>
        </w:docPartObj>
      </w:sdtPr>
      <w:sdtEndPr>
        <w:rPr>
          <w:b/>
          <w:bCs/>
        </w:rPr>
      </w:sdtEndPr>
      <w:sdtContent>
        <w:p w:rsidR="00E34CE8" w14:paraId="6F088389" w14:textId="77777777">
          <w:pPr>
            <w:pStyle w:val="TOC10"/>
            <w:rPr>
              <w:rFonts w:asciiTheme="minorEastAsia" w:eastAsiaTheme="minorEastAsia" w:hAnsiTheme="minorEastAsia"/>
              <w:color w:val="auto"/>
              <w:sz w:val="15"/>
              <w:szCs w:val="15"/>
            </w:rPr>
          </w:pPr>
        </w:p>
        <w:p w:rsidR="000B0FAA" w14:paraId="40EDED36" w14:textId="0D25AE1A">
          <w:pPr>
            <w:pStyle w:val="TOC1"/>
            <w:tabs>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r>
            <w:rPr>
              <w:rFonts w:asciiTheme="minorEastAsia" w:eastAsiaTheme="minorEastAsia" w:hAnsiTheme="minorEastAsia"/>
              <w:b w:val="0"/>
              <w:caps w:val="0"/>
            </w:rPr>
            <w:fldChar w:fldCharType="begin"/>
          </w:r>
          <w:r>
            <w:rPr>
              <w:rFonts w:asciiTheme="minorEastAsia" w:eastAsiaTheme="minorEastAsia" w:hAnsiTheme="minorEastAsia"/>
              <w:b w:val="0"/>
              <w:caps w:val="0"/>
            </w:rPr>
            <w:instrText xml:space="preserve"> TOC \o "1-1" \h \z \u </w:instrText>
          </w:r>
          <w:r>
            <w:rPr>
              <w:rFonts w:asciiTheme="minorEastAsia" w:eastAsiaTheme="minorEastAsia" w:hAnsiTheme="minorEastAsia"/>
              <w:b w:val="0"/>
              <w:caps w:val="0"/>
            </w:rPr>
            <w:fldChar w:fldCharType="separate"/>
          </w:r>
          <w:hyperlink w:anchor="_Toc148691209" w:history="1">
            <w:r w:rsidRPr="00960C79">
              <w:rPr>
                <w:rStyle w:val="Hyperlink"/>
                <w:rFonts w:ascii="宋体" w:hAnsi="宋体"/>
                <w:bCs/>
                <w:noProof/>
                <w:lang w:eastAsia="zh-CN"/>
              </w:rPr>
              <w:t>第二部分</w:t>
            </w:r>
            <w:r>
              <w:rPr>
                <w:noProof/>
                <w:webHidden/>
              </w:rPr>
              <w:tab/>
            </w:r>
            <w:r>
              <w:rPr>
                <w:noProof/>
                <w:webHidden/>
              </w:rPr>
              <w:fldChar w:fldCharType="begin"/>
            </w:r>
            <w:r>
              <w:rPr>
                <w:noProof/>
                <w:webHidden/>
              </w:rPr>
              <w:instrText xml:space="preserve"> PAGEREF _Toc148691209 \h </w:instrText>
            </w:r>
            <w:r>
              <w:rPr>
                <w:noProof/>
                <w:webHidden/>
              </w:rPr>
              <w:fldChar w:fldCharType="separate"/>
            </w:r>
            <w:r w:rsidR="003D4380">
              <w:rPr>
                <w:noProof/>
                <w:webHidden/>
              </w:rPr>
              <w:t>1</w:t>
            </w:r>
            <w:r>
              <w:rPr>
                <w:noProof/>
                <w:webHidden/>
              </w:rPr>
              <w:fldChar w:fldCharType="end"/>
            </w:r>
          </w:hyperlink>
        </w:p>
        <w:p w:rsidR="000B0FAA" w14:paraId="02B2042B" w14:textId="0647D4B4">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91210" w:history="1">
            <w:r w:rsidRPr="00960C79">
              <w:rPr>
                <w:rStyle w:val="Hyperlink"/>
                <w:rFonts w:ascii="Times New Roman Bold" w:hAnsi="Times New Roman Bold"/>
                <w:noProof/>
                <w:lang w:val="en-US" w:eastAsia="zh-CN"/>
              </w:rPr>
              <w:t>1.</w:t>
            </w:r>
            <w:r>
              <w:rPr>
                <w:rFonts w:asciiTheme="minorHAnsi" w:eastAsiaTheme="minorEastAsia" w:hAnsiTheme="minorHAnsi" w:cstheme="minorBidi"/>
                <w:b w:val="0"/>
                <w:caps w:val="0"/>
                <w:noProof/>
                <w:kern w:val="2"/>
                <w:sz w:val="21"/>
                <w:szCs w:val="22"/>
                <w:lang w:val="en-US" w:eastAsia="zh-CN"/>
                <w14:ligatures w14:val="standardContextual"/>
              </w:rPr>
              <w:tab/>
            </w:r>
            <w:r w:rsidRPr="00960C79">
              <w:rPr>
                <w:rStyle w:val="Hyperlink"/>
                <w:rFonts w:asciiTheme="minorEastAsia" w:hAnsiTheme="minorEastAsia"/>
                <w:noProof/>
                <w:lang w:val="en-US" w:eastAsia="zh-CN"/>
              </w:rPr>
              <w:t>充电桩系统</w:t>
            </w:r>
            <w:r>
              <w:rPr>
                <w:noProof/>
                <w:webHidden/>
              </w:rPr>
              <w:tab/>
            </w:r>
            <w:r>
              <w:rPr>
                <w:noProof/>
                <w:webHidden/>
              </w:rPr>
              <w:fldChar w:fldCharType="begin"/>
            </w:r>
            <w:r>
              <w:rPr>
                <w:noProof/>
                <w:webHidden/>
              </w:rPr>
              <w:instrText xml:space="preserve"> PAGEREF _Toc148691210 \h </w:instrText>
            </w:r>
            <w:r>
              <w:rPr>
                <w:noProof/>
                <w:webHidden/>
              </w:rPr>
              <w:fldChar w:fldCharType="separate"/>
            </w:r>
            <w:r w:rsidR="003D4380">
              <w:rPr>
                <w:noProof/>
                <w:webHidden/>
              </w:rPr>
              <w:t>1</w:t>
            </w:r>
            <w:r>
              <w:rPr>
                <w:noProof/>
                <w:webHidden/>
              </w:rPr>
              <w:fldChar w:fldCharType="end"/>
            </w:r>
          </w:hyperlink>
        </w:p>
        <w:p w:rsidR="000B0FAA" w14:paraId="0256870B" w14:textId="7C1A9C90">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91211" w:history="1">
            <w:r w:rsidRPr="00960C79">
              <w:rPr>
                <w:rStyle w:val="Hyperlink"/>
                <w:rFonts w:ascii="Times New Roman Bold" w:hAnsi="Times New Roman Bold"/>
                <w:noProof/>
                <w:lang w:val="en-US" w:eastAsia="zh-CN"/>
              </w:rPr>
              <w:t>2.</w:t>
            </w:r>
            <w:r>
              <w:rPr>
                <w:rFonts w:asciiTheme="minorHAnsi" w:eastAsiaTheme="minorEastAsia" w:hAnsiTheme="minorHAnsi" w:cstheme="minorBidi"/>
                <w:b w:val="0"/>
                <w:caps w:val="0"/>
                <w:noProof/>
                <w:kern w:val="2"/>
                <w:sz w:val="21"/>
                <w:szCs w:val="22"/>
                <w:lang w:val="en-US" w:eastAsia="zh-CN"/>
                <w14:ligatures w14:val="standardContextual"/>
              </w:rPr>
              <w:tab/>
            </w:r>
            <w:r w:rsidRPr="00960C79">
              <w:rPr>
                <w:rStyle w:val="Hyperlink"/>
                <w:rFonts w:asciiTheme="minorEastAsia" w:hAnsiTheme="minorEastAsia"/>
                <w:noProof/>
                <w:lang w:val="en-US" w:eastAsia="zh-CN"/>
              </w:rPr>
              <w:t>低压配电线缆</w:t>
            </w:r>
            <w:r>
              <w:rPr>
                <w:noProof/>
                <w:webHidden/>
              </w:rPr>
              <w:tab/>
            </w:r>
            <w:r>
              <w:rPr>
                <w:noProof/>
                <w:webHidden/>
              </w:rPr>
              <w:fldChar w:fldCharType="begin"/>
            </w:r>
            <w:r>
              <w:rPr>
                <w:noProof/>
                <w:webHidden/>
              </w:rPr>
              <w:instrText xml:space="preserve"> PAGEREF _Toc148691211 \h </w:instrText>
            </w:r>
            <w:r>
              <w:rPr>
                <w:noProof/>
                <w:webHidden/>
              </w:rPr>
              <w:fldChar w:fldCharType="separate"/>
            </w:r>
            <w:r w:rsidR="003D4380">
              <w:rPr>
                <w:noProof/>
                <w:webHidden/>
              </w:rPr>
              <w:t>8</w:t>
            </w:r>
            <w:r>
              <w:rPr>
                <w:noProof/>
                <w:webHidden/>
              </w:rPr>
              <w:fldChar w:fldCharType="end"/>
            </w:r>
          </w:hyperlink>
        </w:p>
        <w:p w:rsidR="000B0FAA" w14:paraId="4C8764EC" w14:textId="0FA53D23">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91212" w:history="1">
            <w:r w:rsidRPr="00960C79">
              <w:rPr>
                <w:rStyle w:val="Hyperlink"/>
                <w:rFonts w:ascii="Times New Roman Bold" w:hAnsi="Times New Roman Bold"/>
                <w:noProof/>
                <w:lang w:val="en-US" w:eastAsia="zh-CN"/>
              </w:rPr>
              <w:t>3.</w:t>
            </w:r>
            <w:r>
              <w:rPr>
                <w:rFonts w:asciiTheme="minorHAnsi" w:eastAsiaTheme="minorEastAsia" w:hAnsiTheme="minorHAnsi" w:cstheme="minorBidi"/>
                <w:b w:val="0"/>
                <w:caps w:val="0"/>
                <w:noProof/>
                <w:kern w:val="2"/>
                <w:sz w:val="21"/>
                <w:szCs w:val="22"/>
                <w:lang w:val="en-US" w:eastAsia="zh-CN"/>
                <w14:ligatures w14:val="standardContextual"/>
              </w:rPr>
              <w:tab/>
            </w:r>
            <w:r w:rsidRPr="00960C79">
              <w:rPr>
                <w:rStyle w:val="Hyperlink"/>
                <w:rFonts w:asciiTheme="minorEastAsia" w:hAnsiTheme="minorEastAsia"/>
                <w:noProof/>
                <w:lang w:val="en-US" w:eastAsia="zh-CN"/>
              </w:rPr>
              <w:t>线路配件及其他电气设备</w:t>
            </w:r>
            <w:r>
              <w:rPr>
                <w:noProof/>
                <w:webHidden/>
              </w:rPr>
              <w:tab/>
            </w:r>
            <w:r>
              <w:rPr>
                <w:noProof/>
                <w:webHidden/>
              </w:rPr>
              <w:fldChar w:fldCharType="begin"/>
            </w:r>
            <w:r>
              <w:rPr>
                <w:noProof/>
                <w:webHidden/>
              </w:rPr>
              <w:instrText xml:space="preserve"> PAGEREF _Toc148691212 \h </w:instrText>
            </w:r>
            <w:r>
              <w:rPr>
                <w:noProof/>
                <w:webHidden/>
              </w:rPr>
              <w:fldChar w:fldCharType="separate"/>
            </w:r>
            <w:r w:rsidR="003D4380">
              <w:rPr>
                <w:noProof/>
                <w:webHidden/>
              </w:rPr>
              <w:t>10</w:t>
            </w:r>
            <w:r>
              <w:rPr>
                <w:noProof/>
                <w:webHidden/>
              </w:rPr>
              <w:fldChar w:fldCharType="end"/>
            </w:r>
          </w:hyperlink>
        </w:p>
        <w:p w:rsidR="000B0FAA" w14:paraId="01379DDB" w14:textId="67C33082">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91213" w:history="1">
            <w:r w:rsidRPr="00960C79">
              <w:rPr>
                <w:rStyle w:val="Hyperlink"/>
                <w:rFonts w:ascii="Times New Roman Bold" w:hAnsi="Times New Roman Bold"/>
                <w:noProof/>
                <w:lang w:val="en-US" w:eastAsia="zh-CN"/>
              </w:rPr>
              <w:t>4.</w:t>
            </w:r>
            <w:r>
              <w:rPr>
                <w:rFonts w:asciiTheme="minorHAnsi" w:eastAsiaTheme="minorEastAsia" w:hAnsiTheme="minorHAnsi" w:cstheme="minorBidi"/>
                <w:b w:val="0"/>
                <w:caps w:val="0"/>
                <w:noProof/>
                <w:kern w:val="2"/>
                <w:sz w:val="21"/>
                <w:szCs w:val="22"/>
                <w:lang w:val="en-US" w:eastAsia="zh-CN"/>
                <w14:ligatures w14:val="standardContextual"/>
              </w:rPr>
              <w:tab/>
            </w:r>
            <w:r w:rsidRPr="00960C79">
              <w:rPr>
                <w:rStyle w:val="Hyperlink"/>
                <w:rFonts w:asciiTheme="minorEastAsia" w:hAnsiTheme="minorEastAsia"/>
                <w:noProof/>
                <w:lang w:val="en-US" w:eastAsia="zh-CN"/>
              </w:rPr>
              <w:t>油漆及标签</w:t>
            </w:r>
            <w:r>
              <w:rPr>
                <w:noProof/>
                <w:webHidden/>
              </w:rPr>
              <w:tab/>
            </w:r>
            <w:r>
              <w:rPr>
                <w:noProof/>
                <w:webHidden/>
              </w:rPr>
              <w:fldChar w:fldCharType="begin"/>
            </w:r>
            <w:r>
              <w:rPr>
                <w:noProof/>
                <w:webHidden/>
              </w:rPr>
              <w:instrText xml:space="preserve"> PAGEREF _Toc148691213 \h </w:instrText>
            </w:r>
            <w:r>
              <w:rPr>
                <w:noProof/>
                <w:webHidden/>
              </w:rPr>
              <w:fldChar w:fldCharType="separate"/>
            </w:r>
            <w:r w:rsidR="003D4380">
              <w:rPr>
                <w:noProof/>
                <w:webHidden/>
              </w:rPr>
              <w:t>15</w:t>
            </w:r>
            <w:r>
              <w:rPr>
                <w:noProof/>
                <w:webHidden/>
              </w:rPr>
              <w:fldChar w:fldCharType="end"/>
            </w:r>
          </w:hyperlink>
        </w:p>
        <w:p w:rsidR="000B0FAA" w14:paraId="4DAF8A83" w14:textId="29AEDA37">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91214" w:history="1">
            <w:r w:rsidRPr="00960C79">
              <w:rPr>
                <w:rStyle w:val="Hyperlink"/>
                <w:rFonts w:ascii="Times New Roman Bold" w:hAnsi="Times New Roman Bold"/>
                <w:noProof/>
                <w:lang w:val="en-US" w:eastAsia="zh-CN"/>
              </w:rPr>
              <w:t>5.</w:t>
            </w:r>
            <w:r>
              <w:rPr>
                <w:rFonts w:asciiTheme="minorHAnsi" w:eastAsiaTheme="minorEastAsia" w:hAnsiTheme="minorHAnsi" w:cstheme="minorBidi"/>
                <w:b w:val="0"/>
                <w:caps w:val="0"/>
                <w:noProof/>
                <w:kern w:val="2"/>
                <w:sz w:val="21"/>
                <w:szCs w:val="22"/>
                <w:lang w:val="en-US" w:eastAsia="zh-CN"/>
                <w14:ligatures w14:val="standardContextual"/>
              </w:rPr>
              <w:tab/>
            </w:r>
            <w:r w:rsidRPr="00960C79">
              <w:rPr>
                <w:rStyle w:val="Hyperlink"/>
                <w:rFonts w:asciiTheme="minorEastAsia" w:hAnsiTheme="minorEastAsia"/>
                <w:noProof/>
                <w:lang w:val="en-US" w:eastAsia="zh-CN"/>
              </w:rPr>
              <w:t>抗震支吊架</w:t>
            </w:r>
            <w:r>
              <w:rPr>
                <w:noProof/>
                <w:webHidden/>
              </w:rPr>
              <w:tab/>
            </w:r>
            <w:r>
              <w:rPr>
                <w:noProof/>
                <w:webHidden/>
              </w:rPr>
              <w:fldChar w:fldCharType="begin"/>
            </w:r>
            <w:r>
              <w:rPr>
                <w:noProof/>
                <w:webHidden/>
              </w:rPr>
              <w:instrText xml:space="preserve"> PAGEREF _Toc148691214 \h </w:instrText>
            </w:r>
            <w:r>
              <w:rPr>
                <w:noProof/>
                <w:webHidden/>
              </w:rPr>
              <w:fldChar w:fldCharType="separate"/>
            </w:r>
            <w:r w:rsidR="003D4380">
              <w:rPr>
                <w:noProof/>
                <w:webHidden/>
              </w:rPr>
              <w:t>20</w:t>
            </w:r>
            <w:r>
              <w:rPr>
                <w:noProof/>
                <w:webHidden/>
              </w:rPr>
              <w:fldChar w:fldCharType="end"/>
            </w:r>
          </w:hyperlink>
        </w:p>
        <w:p w:rsidR="000B0FAA" w14:paraId="6261A705" w14:textId="0644DF76">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91215" w:history="1">
            <w:r w:rsidRPr="00960C79">
              <w:rPr>
                <w:rStyle w:val="Hyperlink"/>
                <w:rFonts w:ascii="Times New Roman Bold" w:hAnsi="Times New Roman Bold"/>
                <w:noProof/>
                <w:lang w:val="en-US" w:eastAsia="zh-CN"/>
              </w:rPr>
              <w:t>6.</w:t>
            </w:r>
            <w:r>
              <w:rPr>
                <w:rFonts w:asciiTheme="minorHAnsi" w:eastAsiaTheme="minorEastAsia" w:hAnsiTheme="minorHAnsi" w:cstheme="minorBidi"/>
                <w:b w:val="0"/>
                <w:caps w:val="0"/>
                <w:noProof/>
                <w:kern w:val="2"/>
                <w:sz w:val="21"/>
                <w:szCs w:val="22"/>
                <w:lang w:val="en-US" w:eastAsia="zh-CN"/>
                <w14:ligatures w14:val="standardContextual"/>
              </w:rPr>
              <w:tab/>
            </w:r>
            <w:r w:rsidRPr="00960C79">
              <w:rPr>
                <w:rStyle w:val="Hyperlink"/>
                <w:rFonts w:asciiTheme="minorEastAsia" w:hAnsiTheme="minorEastAsia"/>
                <w:noProof/>
                <w:lang w:val="en-US" w:eastAsia="zh-CN"/>
              </w:rPr>
              <w:t>防火封堵材料</w:t>
            </w:r>
            <w:r>
              <w:rPr>
                <w:noProof/>
                <w:webHidden/>
              </w:rPr>
              <w:tab/>
            </w:r>
            <w:r>
              <w:rPr>
                <w:noProof/>
                <w:webHidden/>
              </w:rPr>
              <w:fldChar w:fldCharType="begin"/>
            </w:r>
            <w:r>
              <w:rPr>
                <w:noProof/>
                <w:webHidden/>
              </w:rPr>
              <w:instrText xml:space="preserve"> PAGEREF _Toc148691215 \h </w:instrText>
            </w:r>
            <w:r>
              <w:rPr>
                <w:noProof/>
                <w:webHidden/>
              </w:rPr>
              <w:fldChar w:fldCharType="separate"/>
            </w:r>
            <w:r w:rsidR="003D4380">
              <w:rPr>
                <w:noProof/>
                <w:webHidden/>
              </w:rPr>
              <w:t>24</w:t>
            </w:r>
            <w:r>
              <w:rPr>
                <w:noProof/>
                <w:webHidden/>
              </w:rPr>
              <w:fldChar w:fldCharType="end"/>
            </w:r>
          </w:hyperlink>
        </w:p>
        <w:p w:rsidR="000B0FAA" w14:paraId="5751518B" w14:textId="1EF540AB">
          <w:pPr>
            <w:pStyle w:val="TOC1"/>
            <w:tabs>
              <w:tab w:val="left" w:pos="440"/>
              <w:tab w:val="right" w:leader="dot" w:pos="8664"/>
            </w:tabs>
            <w:rPr>
              <w:rFonts w:asciiTheme="minorHAnsi" w:eastAsiaTheme="minorEastAsia" w:hAnsiTheme="minorHAnsi" w:cstheme="minorBidi"/>
              <w:b w:val="0"/>
              <w:caps w:val="0"/>
              <w:noProof/>
              <w:kern w:val="2"/>
              <w:sz w:val="21"/>
              <w:szCs w:val="22"/>
              <w:lang w:val="en-US" w:eastAsia="zh-CN"/>
              <w14:ligatures w14:val="standardContextual"/>
            </w:rPr>
          </w:pPr>
          <w:hyperlink w:anchor="_Toc148691216" w:history="1">
            <w:r w:rsidRPr="00960C79">
              <w:rPr>
                <w:rStyle w:val="Hyperlink"/>
                <w:rFonts w:ascii="Times New Roman Bold" w:hAnsi="Times New Roman Bold"/>
                <w:noProof/>
                <w:lang w:eastAsia="zh-CN"/>
              </w:rPr>
              <w:t>7.</w:t>
            </w:r>
            <w:r>
              <w:rPr>
                <w:rFonts w:asciiTheme="minorHAnsi" w:eastAsiaTheme="minorEastAsia" w:hAnsiTheme="minorHAnsi" w:cstheme="minorBidi"/>
                <w:b w:val="0"/>
                <w:caps w:val="0"/>
                <w:noProof/>
                <w:kern w:val="2"/>
                <w:sz w:val="21"/>
                <w:szCs w:val="22"/>
                <w:lang w:val="en-US" w:eastAsia="zh-CN"/>
                <w14:ligatures w14:val="standardContextual"/>
              </w:rPr>
              <w:tab/>
            </w:r>
            <w:r w:rsidRPr="00960C79">
              <w:rPr>
                <w:rStyle w:val="Hyperlink"/>
                <w:rFonts w:asciiTheme="minorEastAsia" w:hAnsiTheme="minorEastAsia"/>
                <w:noProof/>
                <w:lang w:eastAsia="zh-CN"/>
              </w:rPr>
              <w:t>检验和测试一般要求</w:t>
            </w:r>
            <w:r>
              <w:rPr>
                <w:noProof/>
                <w:webHidden/>
              </w:rPr>
              <w:tab/>
            </w:r>
            <w:r>
              <w:rPr>
                <w:noProof/>
                <w:webHidden/>
              </w:rPr>
              <w:fldChar w:fldCharType="begin"/>
            </w:r>
            <w:r>
              <w:rPr>
                <w:noProof/>
                <w:webHidden/>
              </w:rPr>
              <w:instrText xml:space="preserve"> PAGEREF _Toc148691216 \h </w:instrText>
            </w:r>
            <w:r>
              <w:rPr>
                <w:noProof/>
                <w:webHidden/>
              </w:rPr>
              <w:fldChar w:fldCharType="separate"/>
            </w:r>
            <w:r w:rsidR="003D4380">
              <w:rPr>
                <w:noProof/>
                <w:webHidden/>
              </w:rPr>
              <w:t>27</w:t>
            </w:r>
            <w:r>
              <w:rPr>
                <w:noProof/>
                <w:webHidden/>
              </w:rPr>
              <w:fldChar w:fldCharType="end"/>
            </w:r>
          </w:hyperlink>
        </w:p>
        <w:p w:rsidR="00E34CE8" w14:paraId="4D486DEC" w14:textId="65B21C75">
          <w:pPr>
            <w:rPr>
              <w:rFonts w:asciiTheme="minorEastAsia" w:eastAsiaTheme="minorEastAsia" w:hAnsiTheme="minorEastAsia"/>
              <w:lang w:eastAsia="zh-CN"/>
            </w:rPr>
            <w:sectPr>
              <w:headerReference w:type="default" r:id="rId7"/>
              <w:type w:val="nextPage"/>
              <w:pgSz w:w="11906" w:h="16838"/>
              <w:pgMar w:top="1814" w:right="1418" w:bottom="1418" w:left="1814" w:header="851" w:footer="992" w:gutter="0"/>
              <w:pgNumType w:start="1"/>
              <w:cols w:space="425"/>
              <w:titlePg w:val="0"/>
              <w:docGrid w:linePitch="312"/>
            </w:sectPr>
          </w:pPr>
          <w:r>
            <w:rPr>
              <w:rFonts w:asciiTheme="minorEastAsia" w:eastAsiaTheme="minorEastAsia" w:hAnsiTheme="minorEastAsia"/>
              <w:caps/>
            </w:rPr>
            <w:fldChar w:fldCharType="end"/>
          </w:r>
        </w:p>
      </w:sdtContent>
    </w:sdt>
    <w:p w:rsidR="00E34CE8" w14:paraId="20468520" w14:textId="77777777">
      <w:pPr>
        <w:pStyle w:val="Heading1"/>
        <w:numPr>
          <w:ilvl w:val="0"/>
          <w:numId w:val="0"/>
        </w:numPr>
        <w:spacing w:before="240" w:beforeLines="100" w:after="240" w:afterLines="100"/>
        <w:jc w:val="center"/>
        <w:rPr>
          <w:rFonts w:ascii="宋体" w:hAnsi="宋体"/>
          <w:bCs/>
          <w:sz w:val="30"/>
          <w:szCs w:val="30"/>
          <w:lang w:eastAsia="zh-CN"/>
        </w:rPr>
      </w:pPr>
      <w:bookmarkStart w:id="2" w:name="_Toc40335794"/>
      <w:bookmarkStart w:id="3" w:name="_Toc502756896"/>
      <w:bookmarkStart w:id="4" w:name="_Toc502752662"/>
      <w:bookmarkStart w:id="5" w:name="_Toc148691209"/>
      <w:bookmarkStart w:id="6" w:name="_Toc502858045"/>
      <w:bookmarkStart w:id="7" w:name="_Toc505082070"/>
      <w:bookmarkStart w:id="8" w:name="_Toc502860032"/>
      <w:bookmarkStart w:id="9" w:name="_Toc502861016"/>
      <w:bookmarkStart w:id="10" w:name="_Toc502853993"/>
      <w:r>
        <w:rPr>
          <w:rFonts w:ascii="宋体" w:hAnsi="宋体" w:hint="eastAsia"/>
          <w:bCs/>
          <w:sz w:val="30"/>
          <w:szCs w:val="30"/>
          <w:lang w:eastAsia="zh-CN"/>
        </w:rPr>
        <w:t>第二部分</w:t>
      </w:r>
      <w:bookmarkEnd w:id="2"/>
      <w:bookmarkEnd w:id="3"/>
      <w:bookmarkEnd w:id="4"/>
      <w:bookmarkEnd w:id="5"/>
    </w:p>
    <w:p w:rsidR="00E34CE8" w14:paraId="2C8D3ED8" w14:textId="77777777">
      <w:pPr>
        <w:pStyle w:val="ReportLevel1"/>
        <w:numPr>
          <w:ilvl w:val="0"/>
          <w:numId w:val="24"/>
        </w:numPr>
        <w:spacing w:before="240" w:beforeLines="100" w:after="240" w:afterLines="100"/>
        <w:rPr>
          <w:rFonts w:asciiTheme="minorEastAsia" w:eastAsiaTheme="minorEastAsia" w:hAnsiTheme="minorEastAsia"/>
          <w:sz w:val="21"/>
          <w:szCs w:val="21"/>
          <w:lang w:val="en-US" w:eastAsia="zh-CN"/>
        </w:rPr>
      </w:pPr>
      <w:bookmarkStart w:id="11" w:name="_Toc148691210"/>
      <w:bookmarkStart w:id="12" w:name="_Toc502858046"/>
      <w:bookmarkStart w:id="13" w:name="_Toc502853994"/>
      <w:bookmarkStart w:id="14" w:name="_Toc502861017"/>
      <w:bookmarkStart w:id="15" w:name="_Toc502860033"/>
      <w:bookmarkEnd w:id="6"/>
      <w:bookmarkEnd w:id="7"/>
      <w:bookmarkEnd w:id="8"/>
      <w:bookmarkEnd w:id="9"/>
      <w:bookmarkEnd w:id="10"/>
      <w:r>
        <w:rPr>
          <w:rFonts w:asciiTheme="minorEastAsia" w:eastAsiaTheme="minorEastAsia" w:hAnsiTheme="minorEastAsia" w:hint="eastAsia"/>
          <w:sz w:val="21"/>
          <w:szCs w:val="21"/>
          <w:lang w:val="en-US" w:eastAsia="zh-CN"/>
        </w:rPr>
        <w:t>充电桩系统</w:t>
      </w:r>
      <w:bookmarkEnd w:id="11"/>
    </w:p>
    <w:p w:rsidR="00E34CE8" w14:paraId="41B09C4A" w14:textId="77777777">
      <w:pPr>
        <w:pStyle w:val="ReportLevel2"/>
        <w:spacing w:before="240" w:beforeLines="100" w:after="240" w:afterLines="100"/>
        <w:rPr>
          <w:rFonts w:asciiTheme="minorEastAsia" w:eastAsiaTheme="minorEastAsia" w:hAnsiTheme="minorEastAsia"/>
          <w:b/>
          <w:bCs/>
          <w:sz w:val="21"/>
          <w:szCs w:val="21"/>
          <w:lang w:eastAsia="zh-CN"/>
        </w:rPr>
      </w:pPr>
      <w:r>
        <w:rPr>
          <w:rFonts w:asciiTheme="minorEastAsia" w:eastAsiaTheme="minorEastAsia" w:hAnsiTheme="minorEastAsia"/>
          <w:b/>
          <w:bCs/>
          <w:sz w:val="21"/>
          <w:szCs w:val="21"/>
        </w:rPr>
        <w:t>一般要求</w:t>
      </w:r>
      <w:bookmarkEnd w:id="12"/>
      <w:bookmarkEnd w:id="13"/>
      <w:bookmarkEnd w:id="14"/>
      <w:bookmarkEnd w:id="15"/>
    </w:p>
    <w:p w:rsidR="00E34CE8" w14:paraId="2F68A916"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6" w:name="_Toc502860035"/>
      <w:bookmarkStart w:id="17" w:name="_Toc502858048"/>
      <w:bookmarkStart w:id="18" w:name="_Toc502861019"/>
      <w:bookmarkStart w:id="19" w:name="_Toc502853996"/>
      <w:r>
        <w:rPr>
          <w:rFonts w:asciiTheme="minorEastAsia" w:eastAsiaTheme="minorEastAsia" w:hAnsiTheme="minorEastAsia" w:hint="eastAsia"/>
          <w:sz w:val="21"/>
          <w:szCs w:val="21"/>
          <w:lang w:eastAsia="zh-CN"/>
        </w:rPr>
        <w:t>所有充电</w:t>
      </w:r>
      <w:r>
        <w:rPr>
          <w:rFonts w:asciiTheme="minorEastAsia" w:eastAsiaTheme="minorEastAsia" w:hAnsiTheme="minorEastAsia" w:hint="eastAsia"/>
          <w:sz w:val="21"/>
          <w:szCs w:val="21"/>
          <w:lang w:eastAsia="zh-CN"/>
        </w:rPr>
        <w:t>桩产品</w:t>
      </w:r>
      <w:r>
        <w:rPr>
          <w:rFonts w:asciiTheme="minorEastAsia" w:eastAsiaTheme="minorEastAsia" w:hAnsiTheme="minorEastAsia" w:hint="eastAsia"/>
          <w:sz w:val="21"/>
          <w:szCs w:val="21"/>
          <w:lang w:eastAsia="zh-CN"/>
        </w:rPr>
        <w:t>须满足国家相关的产品认证要求，符合国家、行业及深圳市的法律、法规和技术指标要求，并获得相关认证。</w:t>
      </w:r>
    </w:p>
    <w:p w:rsidR="00E34CE8" w14:paraId="5D2B818A" w14:textId="77777777">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充电桩装置设备安装前，必须经充电桩厂家进行专业深化，以厂家深化图纸（包括充电桩装置布置图及外形尺寸图、电气原理图、额定铭牌图，并加盖公章）为准，并经业主及设计确认后，方可进行设备安装。</w:t>
      </w:r>
    </w:p>
    <w:p w:rsidR="00E34CE8" w14:paraId="69156F16" w14:textId="77777777">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提供充电</w:t>
      </w:r>
      <w:r>
        <w:rPr>
          <w:rFonts w:asciiTheme="minorEastAsia" w:eastAsiaTheme="minorEastAsia" w:hAnsiTheme="minorEastAsia" w:hint="eastAsia"/>
          <w:sz w:val="21"/>
          <w:szCs w:val="21"/>
          <w:lang w:eastAsia="zh-CN"/>
        </w:rPr>
        <w:t>桩产品</w:t>
      </w:r>
      <w:r>
        <w:rPr>
          <w:rFonts w:asciiTheme="minorEastAsia" w:eastAsiaTheme="minorEastAsia" w:hAnsiTheme="minorEastAsia" w:hint="eastAsia"/>
          <w:sz w:val="21"/>
          <w:szCs w:val="21"/>
          <w:lang w:eastAsia="zh-CN"/>
        </w:rPr>
        <w:t>性能、特点，主要生产设备、制造技术和工艺，产品检测报告、设备出厂试验报告、产品合格证、软件/硬件版本号等。</w:t>
      </w:r>
    </w:p>
    <w:p w:rsidR="00E34CE8" w14:paraId="765384AB" w14:textId="77777777">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提供原厂编印的安装、操作及维修手册，并应注明有关操作程序和维修程序等资料。</w:t>
      </w:r>
    </w:p>
    <w:p w:rsidR="00E34CE8" w14:paraId="7D15809D" w14:textId="77777777">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有关充电桩设备，无论在运送、存储及安装期间，应采取正确的保护设施，以确保有关设备在任何情况下不受破损。</w:t>
      </w:r>
    </w:p>
    <w:p w:rsidR="00E34CE8" w14:paraId="3CF407D6" w14:textId="77777777">
      <w:pPr>
        <w:pStyle w:val="ReportLevel2"/>
        <w:spacing w:before="240" w:beforeLines="100" w:after="240" w:afterLines="100"/>
        <w:rPr>
          <w:rFonts w:asciiTheme="minorEastAsia" w:eastAsiaTheme="minorEastAsia" w:hAnsiTheme="minorEastAsia"/>
          <w:b/>
          <w:bCs/>
          <w:sz w:val="21"/>
          <w:szCs w:val="21"/>
          <w:lang w:val="en-US" w:eastAsia="zh-CN"/>
        </w:rPr>
      </w:pPr>
      <w:r>
        <w:rPr>
          <w:rFonts w:asciiTheme="minorEastAsia" w:eastAsiaTheme="minorEastAsia" w:hAnsiTheme="minorEastAsia" w:hint="eastAsia"/>
          <w:b/>
          <w:bCs/>
          <w:sz w:val="21"/>
          <w:szCs w:val="21"/>
          <w:lang w:val="en-US" w:eastAsia="zh-CN"/>
        </w:rPr>
        <w:t>技术参数</w:t>
      </w:r>
    </w:p>
    <w:p w:rsidR="00E34CE8" w14:paraId="78DD7FDF" w14:textId="77777777">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 xml:space="preserve">设备组成及结构要求 </w:t>
      </w:r>
    </w:p>
    <w:p w:rsidR="00E34CE8" w14:paraId="647F73C3" w14:textId="77777777">
      <w:pPr>
        <w:numPr>
          <w:ilvl w:val="0"/>
          <w:numId w:val="25"/>
        </w:numPr>
        <w:spacing w:before="120" w:beforeLines="50" w:after="120" w:afterLines="50"/>
        <w:ind w:left="1655" w:hanging="578"/>
        <w:jc w:val="both"/>
        <w:outlineLvl w:val="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 xml:space="preserve">基本构成 </w:t>
      </w:r>
    </w:p>
    <w:p w:rsidR="00E34CE8" w14:paraId="0888F375" w14:textId="0507B217">
      <w:pPr>
        <w:spacing w:before="120" w:beforeLines="50" w:after="120" w:afterLines="50"/>
        <w:ind w:left="1069" w:leftChars="486"/>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充电</w:t>
      </w:r>
      <w:r>
        <w:rPr>
          <w:rFonts w:asciiTheme="minorEastAsia" w:eastAsiaTheme="minorEastAsia" w:hAnsiTheme="minorEastAsia" w:hint="eastAsia"/>
          <w:sz w:val="21"/>
          <w:szCs w:val="21"/>
          <w:lang w:val="en-US" w:eastAsia="zh-CN"/>
        </w:rPr>
        <w:t>桩</w:t>
      </w:r>
      <w:r w:rsidR="0056037C">
        <w:rPr>
          <w:rFonts w:asciiTheme="minorEastAsia" w:eastAsiaTheme="minorEastAsia" w:hAnsiTheme="minorEastAsia" w:hint="eastAsia"/>
          <w:sz w:val="21"/>
          <w:szCs w:val="21"/>
          <w:lang w:val="en-US" w:eastAsia="zh-CN"/>
        </w:rPr>
        <w:t>系统</w:t>
      </w:r>
      <w:r>
        <w:rPr>
          <w:rFonts w:asciiTheme="minorEastAsia" w:eastAsiaTheme="minorEastAsia" w:hAnsiTheme="minorEastAsia" w:hint="eastAsia"/>
          <w:sz w:val="21"/>
          <w:szCs w:val="21"/>
          <w:lang w:val="en-US" w:eastAsia="zh-CN"/>
        </w:rPr>
        <w:t>由充电桩体、</w:t>
      </w:r>
      <w:r w:rsidR="0056037C">
        <w:rPr>
          <w:rFonts w:asciiTheme="minorEastAsia" w:eastAsiaTheme="minorEastAsia" w:hAnsiTheme="minorEastAsia" w:hint="eastAsia"/>
          <w:sz w:val="21"/>
          <w:szCs w:val="21"/>
          <w:lang w:val="en-US" w:eastAsia="zh-CN"/>
        </w:rPr>
        <w:t>桩体配套的</w:t>
      </w:r>
      <w:r>
        <w:rPr>
          <w:rFonts w:asciiTheme="minorEastAsia" w:eastAsiaTheme="minorEastAsia" w:hAnsiTheme="minorEastAsia" w:hint="eastAsia"/>
          <w:sz w:val="21"/>
          <w:szCs w:val="21"/>
          <w:lang w:val="en-US" w:eastAsia="zh-CN"/>
        </w:rPr>
        <w:t>电气模块、计量模块</w:t>
      </w:r>
      <w:r w:rsidR="0056037C">
        <w:rPr>
          <w:rFonts w:asciiTheme="minorEastAsia" w:eastAsiaTheme="minorEastAsia" w:hAnsiTheme="minorEastAsia" w:hint="eastAsia"/>
          <w:sz w:val="21"/>
          <w:szCs w:val="21"/>
          <w:lang w:val="en-US" w:eastAsia="zh-CN"/>
        </w:rPr>
        <w:t>、通信模块、刷卡</w:t>
      </w:r>
      <w:r w:rsidR="0061590F">
        <w:rPr>
          <w:rFonts w:asciiTheme="minorEastAsia" w:eastAsiaTheme="minorEastAsia" w:hAnsiTheme="minorEastAsia" w:hint="eastAsia"/>
          <w:sz w:val="21"/>
          <w:szCs w:val="21"/>
          <w:lang w:val="en-US" w:eastAsia="zh-CN"/>
        </w:rPr>
        <w:t>模块、</w:t>
      </w:r>
      <w:r w:rsidR="0056037C">
        <w:rPr>
          <w:rFonts w:asciiTheme="minorEastAsia" w:eastAsiaTheme="minorEastAsia" w:hAnsiTheme="minorEastAsia" w:hint="eastAsia"/>
          <w:sz w:val="21"/>
          <w:szCs w:val="21"/>
          <w:lang w:val="en-US" w:eastAsia="zh-CN"/>
        </w:rPr>
        <w:t>二维码</w:t>
      </w:r>
      <w:r w:rsidR="0061590F">
        <w:rPr>
          <w:rFonts w:asciiTheme="minorEastAsia" w:eastAsiaTheme="minorEastAsia" w:hAnsiTheme="minorEastAsia" w:hint="eastAsia"/>
          <w:sz w:val="21"/>
          <w:szCs w:val="21"/>
          <w:lang w:val="en-US" w:eastAsia="zh-CN"/>
        </w:rPr>
        <w:t>、人机交互界面</w:t>
      </w:r>
      <w:r w:rsidR="0056037C">
        <w:rPr>
          <w:rFonts w:asciiTheme="minorEastAsia" w:eastAsiaTheme="minorEastAsia" w:hAnsiTheme="minorEastAsia" w:hint="eastAsia"/>
          <w:sz w:val="21"/>
          <w:szCs w:val="21"/>
          <w:lang w:val="en-US" w:eastAsia="zh-CN"/>
        </w:rPr>
        <w:t>，</w:t>
      </w:r>
      <w:r w:rsidR="0061590F">
        <w:rPr>
          <w:rFonts w:asciiTheme="minorEastAsia" w:eastAsiaTheme="minorEastAsia" w:hAnsiTheme="minorEastAsia" w:hint="eastAsia"/>
          <w:sz w:val="21"/>
          <w:szCs w:val="21"/>
          <w:lang w:val="en-US" w:eastAsia="zh-CN"/>
        </w:rPr>
        <w:t>及</w:t>
      </w:r>
      <w:r w:rsidR="0056037C">
        <w:rPr>
          <w:rFonts w:asciiTheme="minorEastAsia" w:eastAsiaTheme="minorEastAsia" w:hAnsiTheme="minorEastAsia" w:hint="eastAsia"/>
          <w:sz w:val="21"/>
          <w:szCs w:val="21"/>
          <w:lang w:val="en-US" w:eastAsia="zh-CN"/>
        </w:rPr>
        <w:t>设备商的监控运维平台</w:t>
      </w:r>
      <w:r>
        <w:rPr>
          <w:rFonts w:asciiTheme="minorEastAsia" w:eastAsiaTheme="minorEastAsia" w:hAnsiTheme="minorEastAsia" w:hint="eastAsia"/>
          <w:sz w:val="21"/>
          <w:szCs w:val="21"/>
          <w:lang w:val="en-US" w:eastAsia="zh-CN"/>
        </w:rPr>
        <w:t>等部分组成。</w:t>
      </w:r>
      <w:bookmarkEnd w:id="16"/>
      <w:bookmarkEnd w:id="17"/>
      <w:bookmarkEnd w:id="18"/>
      <w:bookmarkEnd w:id="19"/>
    </w:p>
    <w:p w:rsidR="00E34CE8" w14:paraId="08F08D66" w14:textId="77777777">
      <w:pPr>
        <w:numPr>
          <w:ilvl w:val="0"/>
          <w:numId w:val="25"/>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桩体 </w:t>
      </w:r>
    </w:p>
    <w:p w:rsidR="00E34CE8" w:rsidP="00143DB7" w14:paraId="0F6D36E2" w14:textId="5339EF41">
      <w:pPr>
        <w:numPr>
          <w:ilvl w:val="0"/>
          <w:numId w:val="26"/>
        </w:numPr>
        <w:spacing w:before="120" w:beforeLines="50" w:after="120" w:afterLines="50"/>
        <w:ind w:left="1701" w:hanging="601"/>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桩体壳体应采用抗冲击性强、抗老化、耐腐蚀的材料；表面涂覆色应光滑均匀。 </w:t>
      </w:r>
    </w:p>
    <w:p w:rsidR="00E34CE8" w14:paraId="6BDF31BF" w14:textId="77777777">
      <w:pPr>
        <w:numPr>
          <w:ilvl w:val="0"/>
          <w:numId w:val="26"/>
        </w:numPr>
        <w:spacing w:before="120" w:beforeLines="50" w:after="120" w:afterLines="50"/>
        <w:ind w:firstLine="68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 xml:space="preserve"> </w:t>
      </w:r>
      <w:r>
        <w:rPr>
          <w:rFonts w:asciiTheme="minorEastAsia" w:eastAsiaTheme="minorEastAsia" w:hAnsiTheme="minorEastAsia" w:hint="eastAsia"/>
          <w:sz w:val="21"/>
          <w:szCs w:val="21"/>
          <w:lang w:val="en-US" w:eastAsia="zh-CN"/>
        </w:rPr>
        <w:t xml:space="preserve">桩体应外观线条流畅、整体紧凑、简洁时尚，与安装地点周边环境相协调。 </w:t>
      </w:r>
    </w:p>
    <w:p w:rsidR="00CF45B6" w14:paraId="702B1305" w14:textId="77777777">
      <w:pPr>
        <w:numPr>
          <w:ilvl w:val="0"/>
          <w:numId w:val="26"/>
        </w:numPr>
        <w:spacing w:before="120" w:beforeLines="50" w:after="120" w:afterLines="50"/>
        <w:ind w:firstLine="68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 xml:space="preserve"> </w:t>
      </w:r>
      <w:r>
        <w:rPr>
          <w:rFonts w:asciiTheme="minorEastAsia" w:eastAsiaTheme="minorEastAsia" w:hAnsiTheme="minorEastAsia" w:hint="eastAsia"/>
          <w:sz w:val="21"/>
          <w:szCs w:val="21"/>
          <w:lang w:val="en-US" w:eastAsia="zh-CN"/>
        </w:rPr>
        <w:t xml:space="preserve">应有明显发光指示，便于夜间查找和辨别。 </w:t>
      </w:r>
      <w:r>
        <w:rPr>
          <w:rFonts w:asciiTheme="minorEastAsia" w:eastAsiaTheme="minorEastAsia" w:hAnsiTheme="minorEastAsia"/>
          <w:sz w:val="21"/>
          <w:szCs w:val="21"/>
          <w:lang w:val="en-US" w:eastAsia="zh-CN"/>
        </w:rPr>
        <w:t xml:space="preserve"> </w:t>
      </w:r>
    </w:p>
    <w:p w:rsidR="00E34CE8" w14:paraId="5558BF51" w14:textId="5C092C7B">
      <w:pPr>
        <w:numPr>
          <w:ilvl w:val="0"/>
          <w:numId w:val="26"/>
        </w:numPr>
        <w:spacing w:before="120" w:beforeLines="50" w:after="120" w:afterLines="50"/>
        <w:ind w:firstLine="68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 xml:space="preserve">   </w:t>
      </w:r>
      <w:r w:rsidR="00B53BCA">
        <w:rPr>
          <w:rFonts w:asciiTheme="minorEastAsia" w:eastAsiaTheme="minorEastAsia" w:hAnsiTheme="minorEastAsia" w:hint="eastAsia"/>
          <w:sz w:val="21"/>
          <w:szCs w:val="21"/>
          <w:lang w:val="en-US" w:eastAsia="zh-CN"/>
        </w:rPr>
        <w:t>落地式充电桩：桩体采用</w:t>
      </w:r>
      <w:r w:rsidRPr="00CF45B6">
        <w:rPr>
          <w:rFonts w:asciiTheme="minorEastAsia" w:eastAsiaTheme="minorEastAsia" w:hAnsiTheme="minorEastAsia" w:hint="eastAsia"/>
          <w:sz w:val="21"/>
          <w:szCs w:val="21"/>
          <w:lang w:val="en-US" w:eastAsia="zh-CN"/>
        </w:rPr>
        <w:t>立柱</w:t>
      </w:r>
      <w:r w:rsidR="00B53BCA">
        <w:rPr>
          <w:rFonts w:asciiTheme="minorEastAsia" w:eastAsiaTheme="minorEastAsia" w:hAnsiTheme="minorEastAsia" w:hint="eastAsia"/>
          <w:sz w:val="21"/>
          <w:szCs w:val="21"/>
          <w:lang w:val="en-US" w:eastAsia="zh-CN"/>
        </w:rPr>
        <w:t xml:space="preserve">安装方式； </w:t>
      </w:r>
    </w:p>
    <w:p w:rsidR="00561FC5" w:rsidP="00561FC5" w14:paraId="32165F29" w14:textId="77777777">
      <w:pPr>
        <w:numPr>
          <w:ilvl w:val="0"/>
          <w:numId w:val="26"/>
        </w:numPr>
        <w:spacing w:before="120" w:beforeLines="50" w:after="120" w:afterLines="50"/>
        <w:ind w:firstLine="68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 xml:space="preserve"> </w:t>
      </w:r>
      <w:r>
        <w:rPr>
          <w:rFonts w:asciiTheme="minorEastAsia" w:eastAsiaTheme="minorEastAsia" w:hAnsiTheme="minorEastAsia" w:hint="eastAsia"/>
          <w:sz w:val="21"/>
          <w:szCs w:val="21"/>
          <w:lang w:val="en-US" w:eastAsia="zh-CN"/>
        </w:rPr>
        <w:t xml:space="preserve">壁挂式充电桩：桩体采用壁挂式安装方式。 </w:t>
      </w:r>
    </w:p>
    <w:p w:rsidR="005A0F41" w:rsidRPr="00561FC5" w:rsidP="00561FC5" w14:paraId="7FCDF0EA" w14:textId="516A6D69">
      <w:pPr>
        <w:numPr>
          <w:ilvl w:val="0"/>
          <w:numId w:val="26"/>
        </w:numPr>
        <w:spacing w:before="120" w:beforeLines="50" w:after="120" w:afterLines="50"/>
        <w:ind w:firstLine="68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sz w:val="21"/>
          <w:szCs w:val="21"/>
          <w:lang w:val="en-US" w:eastAsia="zh-CN"/>
        </w:rPr>
        <w:t xml:space="preserve">  </w:t>
      </w:r>
      <w:r w:rsidRPr="00561FC5">
        <w:rPr>
          <w:rFonts w:asciiTheme="minorEastAsia" w:eastAsiaTheme="minorEastAsia" w:hAnsiTheme="minorEastAsia" w:hint="eastAsia"/>
          <w:sz w:val="21"/>
          <w:szCs w:val="21"/>
          <w:lang w:val="en-US" w:eastAsia="zh-CN"/>
        </w:rPr>
        <w:t>电气模块包括充电连接装置、安全防护装置等，</w:t>
      </w:r>
      <w:r w:rsidRPr="00561FC5" w:rsidR="00B53BCA">
        <w:rPr>
          <w:rFonts w:asciiTheme="minorEastAsia" w:eastAsiaTheme="minorEastAsia" w:hAnsiTheme="minorEastAsia" w:hint="eastAsia"/>
          <w:sz w:val="21"/>
          <w:szCs w:val="21"/>
          <w:lang w:val="en-US" w:eastAsia="zh-CN"/>
        </w:rPr>
        <w:t>结构上须防止手轻易触及</w:t>
      </w:r>
      <w:r w:rsidRPr="00561FC5" w:rsidR="00B53BCA">
        <w:rPr>
          <w:rFonts w:asciiTheme="minorEastAsia" w:eastAsiaTheme="minorEastAsia" w:hAnsiTheme="minorEastAsia" w:hint="eastAsia"/>
          <w:sz w:val="21"/>
          <w:szCs w:val="21"/>
          <w:lang w:val="en-US" w:eastAsia="zh-CN"/>
        </w:rPr>
        <w:t>露电部分</w:t>
      </w:r>
      <w:r w:rsidRPr="00561FC5" w:rsidR="00B53BCA">
        <w:rPr>
          <w:rFonts w:asciiTheme="minorEastAsia" w:eastAsiaTheme="minorEastAsia" w:hAnsiTheme="minorEastAsia" w:hint="eastAsia"/>
          <w:sz w:val="21"/>
          <w:szCs w:val="21"/>
          <w:lang w:val="en-US" w:eastAsia="zh-CN"/>
        </w:rPr>
        <w:t xml:space="preserve">。 </w:t>
      </w:r>
      <w:r w:rsidRPr="00561FC5">
        <w:rPr>
          <w:rFonts w:asciiTheme="minorEastAsia" w:eastAsiaTheme="minorEastAsia" w:hAnsiTheme="minorEastAsia" w:hint="eastAsia"/>
          <w:sz w:val="21"/>
          <w:szCs w:val="21"/>
          <w:lang w:val="en-US" w:eastAsia="zh-CN"/>
        </w:rPr>
        <w:t xml:space="preserve">充电接口应满足结构尺寸，应满足 GB/T 20234.1-2015 和 GB/T 20234.2-2015 中的相关要求。 </w:t>
      </w:r>
    </w:p>
    <w:p w:rsidR="005A0F41" w14:paraId="55B67BCB" w14:textId="6A564106">
      <w:pPr>
        <w:numPr>
          <w:ilvl w:val="0"/>
          <w:numId w:val="26"/>
        </w:numPr>
        <w:spacing w:before="120" w:beforeLines="50" w:after="120" w:afterLines="50"/>
        <w:ind w:firstLine="68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 xml:space="preserve">   </w:t>
      </w:r>
      <w:r>
        <w:rPr>
          <w:rFonts w:asciiTheme="minorEastAsia" w:eastAsiaTheme="minorEastAsia" w:hAnsiTheme="minorEastAsia" w:hint="eastAsia"/>
          <w:sz w:val="21"/>
          <w:szCs w:val="21"/>
          <w:lang w:val="en-US" w:eastAsia="zh-CN"/>
        </w:rPr>
        <w:t>计量模块应能准确计量电能用量，并根据充电模式要求进行刷卡/</w:t>
      </w:r>
      <w:r>
        <w:rPr>
          <w:rFonts w:asciiTheme="minorEastAsia" w:eastAsiaTheme="minorEastAsia" w:hAnsiTheme="minorEastAsia" w:hint="eastAsia"/>
          <w:sz w:val="21"/>
          <w:szCs w:val="21"/>
          <w:lang w:val="en-US" w:eastAsia="zh-CN"/>
        </w:rPr>
        <w:t>扫码充电</w:t>
      </w:r>
      <w:r>
        <w:rPr>
          <w:rFonts w:asciiTheme="minorEastAsia" w:eastAsiaTheme="minorEastAsia" w:hAnsiTheme="minorEastAsia" w:hint="eastAsia"/>
          <w:sz w:val="21"/>
          <w:szCs w:val="21"/>
          <w:lang w:val="en-US" w:eastAsia="zh-CN"/>
        </w:rPr>
        <w:t>及充电完成后反馈提示。</w:t>
      </w:r>
    </w:p>
    <w:p w:rsidR="00E34CE8" w14:paraId="60BB7197" w14:textId="1C537385">
      <w:pPr>
        <w:numPr>
          <w:ilvl w:val="0"/>
          <w:numId w:val="26"/>
        </w:numPr>
        <w:spacing w:before="120" w:beforeLines="50" w:after="120" w:afterLines="50"/>
        <w:ind w:firstLine="68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 xml:space="preserve"> </w:t>
      </w:r>
      <w:r>
        <w:rPr>
          <w:rFonts w:asciiTheme="minorEastAsia" w:eastAsiaTheme="minorEastAsia" w:hAnsiTheme="minorEastAsia" w:hint="eastAsia"/>
          <w:sz w:val="21"/>
          <w:szCs w:val="21"/>
          <w:lang w:val="en-US" w:eastAsia="zh-CN"/>
        </w:rPr>
        <w:t>桩体</w:t>
      </w:r>
      <w:r w:rsidR="002D0F8B">
        <w:rPr>
          <w:rFonts w:asciiTheme="minorEastAsia" w:eastAsiaTheme="minorEastAsia" w:hAnsiTheme="minorEastAsia" w:hint="eastAsia"/>
          <w:sz w:val="21"/>
          <w:szCs w:val="21"/>
          <w:lang w:val="en-US" w:eastAsia="zh-CN"/>
        </w:rPr>
        <w:t>应集成</w:t>
      </w:r>
      <w:r>
        <w:rPr>
          <w:rFonts w:asciiTheme="minorEastAsia" w:eastAsiaTheme="minorEastAsia" w:hAnsiTheme="minorEastAsia" w:hint="eastAsia"/>
          <w:sz w:val="21"/>
          <w:szCs w:val="21"/>
          <w:lang w:val="en-US" w:eastAsia="zh-CN"/>
        </w:rPr>
        <w:t>5G</w:t>
      </w:r>
      <w:r w:rsidR="00561FC5">
        <w:rPr>
          <w:rFonts w:asciiTheme="minorEastAsia" w:eastAsiaTheme="minorEastAsia" w:hAnsiTheme="minorEastAsia" w:hint="eastAsia"/>
          <w:sz w:val="21"/>
          <w:szCs w:val="21"/>
          <w:lang w:val="en-US" w:eastAsia="zh-CN"/>
        </w:rPr>
        <w:t>或</w:t>
      </w:r>
      <w:r>
        <w:rPr>
          <w:rFonts w:asciiTheme="minorEastAsia" w:eastAsiaTheme="minorEastAsia" w:hAnsiTheme="minorEastAsia" w:hint="eastAsia"/>
          <w:sz w:val="21"/>
          <w:szCs w:val="21"/>
          <w:lang w:val="en-US" w:eastAsia="zh-CN"/>
        </w:rPr>
        <w:t>4G/通讯模块</w:t>
      </w:r>
      <w:r w:rsidR="005A0F41">
        <w:rPr>
          <w:rFonts w:asciiTheme="minorEastAsia" w:eastAsiaTheme="minorEastAsia" w:hAnsiTheme="minorEastAsia" w:hint="eastAsia"/>
          <w:sz w:val="21"/>
          <w:szCs w:val="21"/>
          <w:lang w:val="en-US" w:eastAsia="zh-CN"/>
        </w:rPr>
        <w:t>，通过通讯模块与</w:t>
      </w:r>
      <w:r w:rsidR="005A0F41">
        <w:rPr>
          <w:rFonts w:asciiTheme="minorEastAsia" w:eastAsiaTheme="minorEastAsia" w:hAnsiTheme="minorEastAsia" w:hint="eastAsia"/>
          <w:sz w:val="21"/>
          <w:szCs w:val="21"/>
          <w:lang w:val="en-US" w:eastAsia="zh-CN"/>
        </w:rPr>
        <w:t>运用商</w:t>
      </w:r>
      <w:r w:rsidR="005A0F41">
        <w:rPr>
          <w:rFonts w:asciiTheme="minorEastAsia" w:eastAsiaTheme="minorEastAsia" w:hAnsiTheme="minorEastAsia" w:hint="eastAsia"/>
          <w:sz w:val="21"/>
          <w:szCs w:val="21"/>
          <w:lang w:val="en-US" w:eastAsia="zh-CN"/>
        </w:rPr>
        <w:t>A</w:t>
      </w:r>
      <w:r w:rsidR="005A0F41">
        <w:rPr>
          <w:rFonts w:asciiTheme="minorEastAsia" w:eastAsiaTheme="minorEastAsia" w:hAnsiTheme="minorEastAsia"/>
          <w:sz w:val="21"/>
          <w:szCs w:val="21"/>
          <w:lang w:val="en-US" w:eastAsia="zh-CN"/>
        </w:rPr>
        <w:t>PP</w:t>
      </w:r>
      <w:r w:rsidR="005A0F41">
        <w:rPr>
          <w:rFonts w:asciiTheme="minorEastAsia" w:eastAsiaTheme="minorEastAsia" w:hAnsiTheme="minorEastAsia" w:hint="eastAsia"/>
          <w:sz w:val="21"/>
          <w:szCs w:val="21"/>
          <w:lang w:val="en-US" w:eastAsia="zh-CN"/>
        </w:rPr>
        <w:t>管理平台对接，实时反馈充电状态。</w:t>
      </w:r>
      <w:r>
        <w:rPr>
          <w:rFonts w:asciiTheme="minorEastAsia" w:eastAsiaTheme="minorEastAsia" w:hAnsiTheme="minorEastAsia" w:hint="eastAsia"/>
          <w:sz w:val="21"/>
          <w:szCs w:val="21"/>
          <w:lang w:val="en-US" w:eastAsia="zh-CN"/>
        </w:rPr>
        <w:t xml:space="preserve">。 </w:t>
      </w:r>
    </w:p>
    <w:p w:rsidR="00E34CE8" w14:paraId="12019BB4" w14:textId="41819299">
      <w:pPr>
        <w:numPr>
          <w:ilvl w:val="0"/>
          <w:numId w:val="26"/>
        </w:numPr>
        <w:spacing w:before="120" w:beforeLines="50" w:after="120" w:afterLines="50"/>
        <w:ind w:firstLine="680"/>
        <w:rPr>
          <w:rFonts w:asciiTheme="minorEastAsia" w:eastAsiaTheme="minorEastAsia" w:hAnsiTheme="minorEastAsia"/>
          <w:sz w:val="21"/>
          <w:szCs w:val="21"/>
          <w:lang w:val="en-US" w:eastAsia="zh-CN"/>
        </w:rPr>
        <w:sectPr w:rsidSect="00143DB7">
          <w:headerReference w:type="default" r:id="rId8"/>
          <w:footerReference w:type="default" r:id="rId9"/>
          <w:pgSz w:w="11906" w:h="16838"/>
          <w:pgMar w:top="1814" w:right="1418" w:bottom="1418" w:left="1701" w:header="851" w:footer="992" w:gutter="0"/>
          <w:pgNumType w:start="1"/>
          <w:cols w:space="425"/>
          <w:docGrid w:linePitch="312"/>
        </w:sectPr>
      </w:pPr>
      <w:r>
        <w:rPr>
          <w:rFonts w:asciiTheme="minorEastAsia" w:eastAsiaTheme="minorEastAsia" w:hAnsiTheme="minorEastAsia"/>
          <w:sz w:val="21"/>
          <w:szCs w:val="21"/>
          <w:lang w:val="en-US" w:eastAsia="zh-CN"/>
        </w:rPr>
        <w:t xml:space="preserve"> </w:t>
      </w:r>
      <w:r>
        <w:rPr>
          <w:rFonts w:asciiTheme="minorEastAsia" w:eastAsiaTheme="minorEastAsia" w:hAnsiTheme="minorEastAsia" w:hint="eastAsia"/>
          <w:sz w:val="21"/>
          <w:szCs w:val="21"/>
          <w:lang w:val="en-US" w:eastAsia="zh-CN"/>
        </w:rPr>
        <w:t>桩体有非接触充电卡片刷卡区域</w:t>
      </w:r>
      <w:r w:rsidR="002D0F8B">
        <w:rPr>
          <w:rFonts w:asciiTheme="minorEastAsia" w:eastAsiaTheme="minorEastAsia" w:hAnsiTheme="minorEastAsia" w:hint="eastAsia"/>
          <w:sz w:val="21"/>
          <w:szCs w:val="21"/>
          <w:lang w:val="en-US" w:eastAsia="zh-CN"/>
        </w:rPr>
        <w:t>、</w:t>
      </w:r>
      <w:r w:rsidR="005A0F41">
        <w:rPr>
          <w:rFonts w:asciiTheme="minorEastAsia" w:eastAsiaTheme="minorEastAsia" w:hAnsiTheme="minorEastAsia" w:hint="eastAsia"/>
          <w:sz w:val="21"/>
          <w:szCs w:val="21"/>
          <w:lang w:val="en-US" w:eastAsia="zh-CN"/>
        </w:rPr>
        <w:t>配置充电</w:t>
      </w:r>
      <w:r w:rsidR="002D0F8B">
        <w:rPr>
          <w:rFonts w:asciiTheme="minorEastAsia" w:eastAsiaTheme="minorEastAsia" w:hAnsiTheme="minorEastAsia" w:hint="eastAsia"/>
          <w:sz w:val="21"/>
          <w:szCs w:val="21"/>
          <w:lang w:val="en-US" w:eastAsia="zh-CN"/>
        </w:rPr>
        <w:t>二维码</w:t>
      </w:r>
      <w:r>
        <w:rPr>
          <w:rFonts w:asciiTheme="minorEastAsia" w:eastAsiaTheme="minorEastAsia" w:hAnsiTheme="minorEastAsia" w:hint="eastAsia"/>
          <w:sz w:val="21"/>
          <w:szCs w:val="21"/>
          <w:lang w:val="en-US" w:eastAsia="zh-CN"/>
        </w:rPr>
        <w:t xml:space="preserve">。 </w:t>
      </w:r>
    </w:p>
    <w:p w:rsidR="00711B35" w:rsidRPr="00711B35" w:rsidP="00711B35" w14:paraId="16DF055F" w14:textId="61FE4A53">
      <w:pPr>
        <w:pStyle w:val="ReportLevel2"/>
        <w:spacing w:before="240" w:beforeLines="100" w:after="240" w:afterLines="100"/>
        <w:rPr>
          <w:rFonts w:asciiTheme="minorEastAsia" w:eastAsiaTheme="minorEastAsia" w:hAnsiTheme="minorEastAsia"/>
          <w:b/>
          <w:bCs/>
          <w:sz w:val="21"/>
          <w:szCs w:val="21"/>
          <w:lang w:val="en-US" w:eastAsia="zh-CN"/>
        </w:rPr>
      </w:pPr>
      <w:r>
        <w:rPr>
          <w:rFonts w:asciiTheme="minorEastAsia" w:eastAsiaTheme="minorEastAsia" w:hAnsiTheme="minorEastAsia" w:hint="eastAsia"/>
          <w:b/>
          <w:bCs/>
          <w:sz w:val="21"/>
          <w:szCs w:val="21"/>
          <w:lang w:val="en-US" w:eastAsia="zh-CN"/>
        </w:rPr>
        <w:t xml:space="preserve">功能要求 </w:t>
      </w:r>
    </w:p>
    <w:p w:rsidR="00E34CE8" w14:paraId="181114D2" w14:textId="2BCA9C68">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充电模式和连接方式 </w:t>
      </w:r>
    </w:p>
    <w:p w:rsidR="00E34CE8" w14:paraId="625868DF" w14:textId="77777777">
      <w:pPr>
        <w:numPr>
          <w:ilvl w:val="0"/>
          <w:numId w:val="78"/>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交流</w:t>
      </w:r>
      <w:r>
        <w:rPr>
          <w:rFonts w:asciiTheme="minorEastAsia" w:eastAsiaTheme="minorEastAsia" w:hAnsiTheme="minorEastAsia" w:hint="eastAsia"/>
          <w:sz w:val="21"/>
          <w:szCs w:val="21"/>
          <w:lang w:val="en-US" w:eastAsia="zh-CN"/>
        </w:rPr>
        <w:t>充电桩应采用</w:t>
      </w:r>
      <w:r>
        <w:rPr>
          <w:rFonts w:asciiTheme="minorEastAsia" w:eastAsiaTheme="minorEastAsia" w:hAnsiTheme="minorEastAsia" w:hint="eastAsia"/>
          <w:sz w:val="21"/>
          <w:szCs w:val="21"/>
          <w:lang w:val="en-US" w:eastAsia="zh-CN"/>
        </w:rPr>
        <w:t xml:space="preserve"> GB/T 18487.1-2015 描述的接线方式 B 或接线方式 C，并提供相应的充电连接装置。 </w:t>
      </w:r>
    </w:p>
    <w:p w:rsidR="00E34CE8" w14:paraId="74BC0FC5" w14:textId="77777777">
      <w:pPr>
        <w:numPr>
          <w:ilvl w:val="0"/>
          <w:numId w:val="78"/>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充电接口应满足 GB/T 20234.2-2015 和 GB/T 20234.3-2015 的规定，具有充电枪（含 5 米电缆）。 </w:t>
      </w:r>
    </w:p>
    <w:p w:rsidR="00E34CE8" w14:paraId="6DB5F3D2"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充电设定方式 </w:t>
      </w:r>
    </w:p>
    <w:p w:rsidR="00E34CE8" w14:paraId="7857B7D8" w14:textId="77777777">
      <w:pPr>
        <w:spacing w:before="120" w:beforeLines="50" w:after="120" w:afterLines="50"/>
        <w:ind w:left="1069" w:leftChars="486"/>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充电设定方式可以分为自动设定方式和手动设定方式两种。 </w:t>
      </w:r>
    </w:p>
    <w:p w:rsidR="00E34CE8" w14:paraId="5834E3B6" w14:textId="77777777">
      <w:pPr>
        <w:numPr>
          <w:ilvl w:val="0"/>
          <w:numId w:val="28"/>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自动设定方式：在充电过程中，充电</w:t>
      </w:r>
      <w:r>
        <w:rPr>
          <w:rFonts w:asciiTheme="minorEastAsia" w:eastAsiaTheme="minorEastAsia" w:hAnsiTheme="minorEastAsia" w:hint="eastAsia"/>
          <w:sz w:val="21"/>
          <w:szCs w:val="21"/>
          <w:lang w:val="en-US" w:eastAsia="zh-CN"/>
        </w:rPr>
        <w:t>机依据</w:t>
      </w:r>
      <w:r>
        <w:rPr>
          <w:rFonts w:asciiTheme="minorEastAsia" w:eastAsiaTheme="minorEastAsia" w:hAnsiTheme="minorEastAsia" w:hint="eastAsia"/>
          <w:sz w:val="21"/>
          <w:szCs w:val="21"/>
          <w:lang w:val="en-US" w:eastAsia="zh-CN"/>
        </w:rPr>
        <w:t>电动汽车蓄电池管理系统提供的充电参数，执行相应动作，完成充电过程。</w:t>
      </w:r>
    </w:p>
    <w:p w:rsidR="00E34CE8" w14:paraId="00109BE8" w14:textId="77777777">
      <w:pPr>
        <w:numPr>
          <w:ilvl w:val="0"/>
          <w:numId w:val="28"/>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手动设定方式：由操作人员通过外部手动控制设备设置充电方式、充电参数，充电机根据设定参数执行相应操作，完成充电过程。充电机采用手动设定方式时，应具有明确的操作指示信息。</w:t>
      </w:r>
    </w:p>
    <w:p w:rsidR="00711B35" w:rsidRPr="00711B35" w:rsidP="00711B35" w14:paraId="05C9D103" w14:textId="2E4B0BF7">
      <w:pPr>
        <w:pStyle w:val="ReportLevel3"/>
        <w:keepNext w:val="0"/>
        <w:spacing w:before="120" w:beforeLines="50" w:after="120" w:afterLines="50"/>
        <w:rPr>
          <w:rFonts w:asciiTheme="minorEastAsia" w:eastAsiaTheme="minorEastAsia" w:hAnsiTheme="minorEastAsia"/>
          <w:sz w:val="21"/>
          <w:szCs w:val="21"/>
          <w:lang w:val="en-US" w:eastAsia="zh-CN"/>
        </w:rPr>
      </w:pPr>
      <w:r w:rsidRPr="00711B35">
        <w:rPr>
          <w:rFonts w:asciiTheme="minorEastAsia" w:eastAsiaTheme="minorEastAsia" w:hAnsiTheme="minorEastAsia" w:hint="eastAsia"/>
          <w:sz w:val="21"/>
          <w:szCs w:val="21"/>
          <w:lang w:val="en-US" w:eastAsia="zh-CN"/>
        </w:rPr>
        <w:t>人机交互功能</w:t>
      </w:r>
    </w:p>
    <w:p w:rsidR="005B3EE4" w:rsidRPr="005B3EE4" w:rsidP="00561FC5" w14:paraId="559EE2DD" w14:textId="1B5D7DEC">
      <w:pPr>
        <w:numPr>
          <w:ilvl w:val="0"/>
          <w:numId w:val="71"/>
        </w:numPr>
        <w:spacing w:before="120" w:beforeLines="50" w:after="120" w:afterLines="50"/>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人机交互界面应具有液晶显示屏或采用不同颜色指示灯的方式。</w:t>
      </w:r>
      <w:r w:rsidRPr="005B3EE4">
        <w:rPr>
          <w:rFonts w:asciiTheme="minorEastAsia" w:eastAsiaTheme="minorEastAsia" w:hAnsiTheme="minorEastAsia" w:hint="eastAsia"/>
          <w:sz w:val="21"/>
          <w:szCs w:val="21"/>
          <w:lang w:val="en-US" w:eastAsia="zh-CN"/>
        </w:rPr>
        <w:t xml:space="preserve"> </w:t>
      </w:r>
    </w:p>
    <w:p w:rsidR="00711B35" w:rsidRPr="00711B35" w:rsidP="00561FC5" w14:paraId="2A640F5F" w14:textId="3AC2936F">
      <w:pPr>
        <w:numPr>
          <w:ilvl w:val="0"/>
          <w:numId w:val="71"/>
        </w:numPr>
        <w:spacing w:before="120" w:beforeLines="50" w:after="120" w:afterLines="50"/>
        <w:jc w:val="both"/>
        <w:outlineLvl w:val="3"/>
        <w:rPr>
          <w:rFonts w:asciiTheme="minorEastAsia" w:eastAsiaTheme="minorEastAsia" w:hAnsiTheme="minorEastAsia"/>
          <w:sz w:val="21"/>
          <w:szCs w:val="21"/>
          <w:lang w:val="en-US" w:eastAsia="zh-CN"/>
        </w:rPr>
      </w:pPr>
      <w:r w:rsidRPr="00711B35">
        <w:rPr>
          <w:rFonts w:asciiTheme="minorEastAsia" w:eastAsiaTheme="minorEastAsia" w:hAnsiTheme="minorEastAsia" w:hint="eastAsia"/>
          <w:sz w:val="21"/>
          <w:szCs w:val="21"/>
          <w:lang w:val="en-US" w:eastAsia="zh-CN"/>
        </w:rPr>
        <w:t>充电桩应能</w:t>
      </w:r>
      <w:r w:rsidRPr="00711B35">
        <w:rPr>
          <w:rFonts w:asciiTheme="minorEastAsia" w:eastAsiaTheme="minorEastAsia" w:hAnsiTheme="minorEastAsia" w:hint="eastAsia"/>
          <w:sz w:val="21"/>
          <w:szCs w:val="21"/>
          <w:lang w:val="en-US" w:eastAsia="zh-CN"/>
        </w:rPr>
        <w:t>显示各状态下的相关信息，包括电源、充电、故障状态指示及报警信息等。</w:t>
      </w:r>
    </w:p>
    <w:p w:rsidR="00711B35" w:rsidRPr="00711B35" w:rsidP="00561FC5" w14:paraId="5BAE7A97" w14:textId="77777777">
      <w:pPr>
        <w:numPr>
          <w:ilvl w:val="0"/>
          <w:numId w:val="7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711B35">
        <w:rPr>
          <w:rFonts w:asciiTheme="minorEastAsia" w:eastAsiaTheme="minorEastAsia" w:hAnsiTheme="minorEastAsia" w:hint="eastAsia"/>
          <w:sz w:val="21"/>
          <w:szCs w:val="21"/>
          <w:lang w:val="en-US" w:eastAsia="zh-CN"/>
        </w:rPr>
        <w:t>具备扫码、刷卡启动充电。</w:t>
      </w:r>
    </w:p>
    <w:p w:rsidR="00711B35" w:rsidP="00561FC5" w14:paraId="1A1A8313" w14:textId="42A7FB56">
      <w:pPr>
        <w:numPr>
          <w:ilvl w:val="0"/>
          <w:numId w:val="7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711B35">
        <w:rPr>
          <w:rFonts w:asciiTheme="minorEastAsia" w:eastAsiaTheme="minorEastAsia" w:hAnsiTheme="minorEastAsia" w:hint="eastAsia"/>
          <w:sz w:val="21"/>
          <w:szCs w:val="21"/>
          <w:lang w:val="en-US" w:eastAsia="zh-CN"/>
        </w:rPr>
        <w:t>信息显示字符清晰、完整，应不依靠环境光源即可辨认。</w:t>
      </w:r>
    </w:p>
    <w:p w:rsidR="00711B35" w:rsidRPr="00711B35" w:rsidP="00711B35" w14:paraId="41A08D36" w14:textId="178FF207">
      <w:pPr>
        <w:pStyle w:val="ReportLevel3"/>
        <w:keepNext w:val="0"/>
        <w:spacing w:before="120" w:beforeLines="50" w:after="120" w:afterLines="50"/>
        <w:rPr>
          <w:rFonts w:asciiTheme="minorEastAsia" w:eastAsiaTheme="minorEastAsia" w:hAnsiTheme="minorEastAsia"/>
          <w:sz w:val="21"/>
          <w:szCs w:val="21"/>
          <w:lang w:val="en-US" w:eastAsia="zh-CN"/>
        </w:rPr>
      </w:pPr>
      <w:r w:rsidRPr="00711B35">
        <w:rPr>
          <w:rFonts w:asciiTheme="minorEastAsia" w:eastAsiaTheme="minorEastAsia" w:hAnsiTheme="minorEastAsia" w:hint="eastAsia"/>
          <w:sz w:val="21"/>
          <w:szCs w:val="21"/>
          <w:lang w:val="en-US" w:eastAsia="zh-CN"/>
        </w:rPr>
        <w:t>保护功能</w:t>
      </w:r>
    </w:p>
    <w:p w:rsidR="00711B35" w:rsidRPr="00711B35" w:rsidP="00561FC5" w14:paraId="47562B21" w14:textId="77777777">
      <w:pPr>
        <w:numPr>
          <w:ilvl w:val="0"/>
          <w:numId w:val="70"/>
        </w:numPr>
        <w:spacing w:before="120" w:beforeLines="50" w:after="120" w:afterLines="50"/>
        <w:jc w:val="both"/>
        <w:outlineLvl w:val="3"/>
        <w:rPr>
          <w:rFonts w:asciiTheme="minorEastAsia" w:eastAsiaTheme="minorEastAsia" w:hAnsiTheme="minorEastAsia"/>
          <w:sz w:val="21"/>
          <w:szCs w:val="21"/>
          <w:lang w:val="en-US" w:eastAsia="zh-CN"/>
        </w:rPr>
      </w:pPr>
      <w:r w:rsidRPr="00711B35">
        <w:rPr>
          <w:rFonts w:asciiTheme="minorEastAsia" w:eastAsiaTheme="minorEastAsia" w:hAnsiTheme="minorEastAsia" w:hint="eastAsia"/>
          <w:sz w:val="21"/>
          <w:szCs w:val="21"/>
          <w:lang w:val="en-US" w:eastAsia="zh-CN"/>
        </w:rPr>
        <w:t>充电桩的安全性要求应满足</w:t>
      </w:r>
      <w:r w:rsidRPr="00711B35">
        <w:rPr>
          <w:rFonts w:asciiTheme="minorEastAsia" w:eastAsiaTheme="minorEastAsia" w:hAnsiTheme="minorEastAsia"/>
          <w:sz w:val="21"/>
          <w:szCs w:val="21"/>
          <w:lang w:val="en-US" w:eastAsia="zh-CN"/>
        </w:rPr>
        <w:t>GB/T 18487.1-2015</w:t>
      </w:r>
      <w:r w:rsidRPr="00711B35">
        <w:rPr>
          <w:rFonts w:asciiTheme="minorEastAsia" w:eastAsiaTheme="minorEastAsia" w:hAnsiTheme="minorEastAsia" w:hint="eastAsia"/>
          <w:sz w:val="21"/>
          <w:szCs w:val="21"/>
          <w:lang w:val="en-US" w:eastAsia="zh-CN"/>
        </w:rPr>
        <w:t>附录</w:t>
      </w:r>
      <w:r w:rsidRPr="00711B35">
        <w:rPr>
          <w:rFonts w:asciiTheme="minorEastAsia" w:eastAsiaTheme="minorEastAsia" w:hAnsiTheme="minorEastAsia"/>
          <w:sz w:val="21"/>
          <w:szCs w:val="21"/>
          <w:lang w:val="en-US" w:eastAsia="zh-CN"/>
        </w:rPr>
        <w:t>A</w:t>
      </w:r>
      <w:r w:rsidRPr="00711B35">
        <w:rPr>
          <w:rFonts w:asciiTheme="minorEastAsia" w:eastAsiaTheme="minorEastAsia" w:hAnsiTheme="minorEastAsia" w:hint="eastAsia"/>
          <w:sz w:val="21"/>
          <w:szCs w:val="21"/>
          <w:lang w:val="en-US" w:eastAsia="zh-CN"/>
        </w:rPr>
        <w:t>中对应的描述和要求。</w:t>
      </w:r>
    </w:p>
    <w:p w:rsidR="00711B35" w:rsidRPr="00711B35" w:rsidP="00561FC5" w14:paraId="4FC17B03" w14:textId="77777777">
      <w:pPr>
        <w:numPr>
          <w:ilvl w:val="0"/>
          <w:numId w:val="7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711B35">
        <w:rPr>
          <w:rFonts w:asciiTheme="minorEastAsia" w:eastAsiaTheme="minorEastAsia" w:hAnsiTheme="minorEastAsia" w:hint="eastAsia"/>
          <w:sz w:val="21"/>
          <w:szCs w:val="21"/>
          <w:lang w:val="en-US" w:eastAsia="zh-CN"/>
        </w:rPr>
        <w:t>充电桩的电源回路应具备带负载可分合的开关电器。</w:t>
      </w:r>
    </w:p>
    <w:p w:rsidR="00711B35" w:rsidRPr="00711B35" w:rsidP="00561FC5" w14:paraId="4C98FCC1" w14:textId="77777777">
      <w:pPr>
        <w:numPr>
          <w:ilvl w:val="0"/>
          <w:numId w:val="7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711B35">
        <w:rPr>
          <w:rFonts w:asciiTheme="minorEastAsia" w:eastAsiaTheme="minorEastAsia" w:hAnsiTheme="minorEastAsia" w:hint="eastAsia"/>
          <w:sz w:val="21"/>
          <w:szCs w:val="21"/>
          <w:lang w:val="en-US" w:eastAsia="zh-CN"/>
        </w:rPr>
        <w:t>充电桩的电源回路应安装过载、短路、漏电保护装置。</w:t>
      </w:r>
    </w:p>
    <w:p w:rsidR="00711B35" w:rsidRPr="00711B35" w:rsidP="00561FC5" w14:paraId="242549B6" w14:textId="40F81D35">
      <w:pPr>
        <w:numPr>
          <w:ilvl w:val="0"/>
          <w:numId w:val="7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711B35">
        <w:rPr>
          <w:rFonts w:asciiTheme="minorEastAsia" w:eastAsiaTheme="minorEastAsia" w:hAnsiTheme="minorEastAsia" w:hint="eastAsia"/>
          <w:sz w:val="21"/>
          <w:szCs w:val="21"/>
          <w:lang w:val="en-US" w:eastAsia="zh-CN"/>
        </w:rPr>
        <w:t>充电桩的电源回路应具备防雷保护功能，并且符合</w:t>
      </w:r>
      <w:r w:rsidRPr="00711B35">
        <w:rPr>
          <w:rFonts w:asciiTheme="minorEastAsia" w:eastAsiaTheme="minorEastAsia" w:hAnsiTheme="minorEastAsia"/>
          <w:sz w:val="21"/>
          <w:szCs w:val="21"/>
          <w:lang w:val="en-US" w:eastAsia="zh-CN"/>
        </w:rPr>
        <w:t>GB/T</w:t>
      </w:r>
      <w:r>
        <w:rPr>
          <w:rFonts w:asciiTheme="minorEastAsia" w:eastAsiaTheme="minorEastAsia" w:hAnsiTheme="minorEastAsia"/>
          <w:sz w:val="21"/>
          <w:szCs w:val="21"/>
          <w:lang w:val="en-US" w:eastAsia="zh-CN"/>
        </w:rPr>
        <w:t xml:space="preserve"> </w:t>
      </w:r>
      <w:r w:rsidRPr="00711B35">
        <w:rPr>
          <w:rFonts w:asciiTheme="minorEastAsia" w:eastAsiaTheme="minorEastAsia" w:hAnsiTheme="minorEastAsia"/>
          <w:sz w:val="21"/>
          <w:szCs w:val="21"/>
          <w:lang w:val="en-US" w:eastAsia="zh-CN"/>
        </w:rPr>
        <w:t>17626.5-2008</w:t>
      </w:r>
      <w:r w:rsidRPr="00711B35">
        <w:rPr>
          <w:rFonts w:asciiTheme="minorEastAsia" w:eastAsiaTheme="minorEastAsia" w:hAnsiTheme="minorEastAsia" w:hint="eastAsia"/>
          <w:sz w:val="21"/>
          <w:szCs w:val="21"/>
          <w:lang w:val="en-US" w:eastAsia="zh-CN"/>
        </w:rPr>
        <w:t>电磁兼容试验和测量技术（冲击）抗扰度试验</w:t>
      </w:r>
      <w:r w:rsidRPr="00711B35">
        <w:rPr>
          <w:rFonts w:asciiTheme="minorEastAsia" w:eastAsiaTheme="minorEastAsia" w:hAnsiTheme="minorEastAsia"/>
          <w:sz w:val="21"/>
          <w:szCs w:val="21"/>
          <w:lang w:val="en-US" w:eastAsia="zh-CN"/>
        </w:rPr>
        <w:t xml:space="preserve">  </w:t>
      </w:r>
      <w:r w:rsidRPr="00711B35">
        <w:rPr>
          <w:rFonts w:asciiTheme="minorEastAsia" w:eastAsiaTheme="minorEastAsia" w:hAnsiTheme="minorEastAsia" w:hint="eastAsia"/>
          <w:sz w:val="21"/>
          <w:szCs w:val="21"/>
          <w:lang w:val="en-US" w:eastAsia="zh-CN"/>
        </w:rPr>
        <w:t>试验等级：</w:t>
      </w:r>
      <w:r w:rsidRPr="00711B35">
        <w:rPr>
          <w:rFonts w:asciiTheme="minorEastAsia" w:eastAsiaTheme="minorEastAsia" w:hAnsiTheme="minorEastAsia"/>
          <w:sz w:val="21"/>
          <w:szCs w:val="21"/>
          <w:lang w:val="en-US" w:eastAsia="zh-CN"/>
        </w:rPr>
        <w:t>3</w:t>
      </w:r>
      <w:r w:rsidRPr="00711B35">
        <w:rPr>
          <w:rFonts w:asciiTheme="minorEastAsia" w:eastAsiaTheme="minorEastAsia" w:hAnsiTheme="minorEastAsia" w:hint="eastAsia"/>
          <w:sz w:val="21"/>
          <w:szCs w:val="21"/>
          <w:lang w:val="en-US" w:eastAsia="zh-CN"/>
        </w:rPr>
        <w:t>级的要求。</w:t>
      </w:r>
    </w:p>
    <w:p w:rsidR="00711B35" w:rsidRPr="00711B35" w:rsidP="00561FC5" w14:paraId="45899D8A" w14:textId="5ADE0F8E">
      <w:pPr>
        <w:numPr>
          <w:ilvl w:val="0"/>
          <w:numId w:val="7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711B35">
        <w:rPr>
          <w:rFonts w:asciiTheme="minorEastAsia" w:eastAsiaTheme="minorEastAsia" w:hAnsiTheme="minorEastAsia" w:hint="eastAsia"/>
          <w:sz w:val="21"/>
          <w:szCs w:val="21"/>
          <w:lang w:val="en-US" w:eastAsia="zh-CN"/>
        </w:rPr>
        <w:t>充电桩应具备</w:t>
      </w:r>
      <w:r w:rsidRPr="00711B35">
        <w:rPr>
          <w:rFonts w:asciiTheme="minorEastAsia" w:eastAsiaTheme="minorEastAsia" w:hAnsiTheme="minorEastAsia" w:hint="eastAsia"/>
          <w:sz w:val="21"/>
          <w:szCs w:val="21"/>
          <w:lang w:val="en-US" w:eastAsia="zh-CN"/>
        </w:rPr>
        <w:t>急停开关，能实现在充电过程中紧急切断输出电源。</w:t>
      </w:r>
    </w:p>
    <w:p w:rsidR="00711B35" w:rsidRPr="00711B35" w:rsidP="00561FC5" w14:paraId="4B6D897B" w14:textId="140792B4">
      <w:pPr>
        <w:numPr>
          <w:ilvl w:val="0"/>
          <w:numId w:val="7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711B35">
        <w:rPr>
          <w:rFonts w:asciiTheme="minorEastAsia" w:eastAsiaTheme="minorEastAsia" w:hAnsiTheme="minorEastAsia" w:hint="eastAsia"/>
          <w:sz w:val="21"/>
          <w:szCs w:val="21"/>
          <w:lang w:val="en-US" w:eastAsia="zh-CN"/>
        </w:rPr>
        <w:t>在充电过程中出现连接异常时，</w:t>
      </w:r>
      <w:r w:rsidRPr="00711B35">
        <w:rPr>
          <w:rFonts w:asciiTheme="minorEastAsia" w:eastAsiaTheme="minorEastAsia" w:hAnsiTheme="minorEastAsia" w:hint="eastAsia"/>
          <w:sz w:val="21"/>
          <w:szCs w:val="21"/>
          <w:lang w:val="en-US" w:eastAsia="zh-CN"/>
        </w:rPr>
        <w:t>充电桩应立即</w:t>
      </w:r>
      <w:r w:rsidRPr="00711B35">
        <w:rPr>
          <w:rFonts w:asciiTheme="minorEastAsia" w:eastAsiaTheme="minorEastAsia" w:hAnsiTheme="minorEastAsia" w:hint="eastAsia"/>
          <w:sz w:val="21"/>
          <w:szCs w:val="21"/>
          <w:lang w:val="en-US" w:eastAsia="zh-CN"/>
        </w:rPr>
        <w:t>自动切断输出电源。</w:t>
      </w:r>
    </w:p>
    <w:p w:rsidR="00711B35" w:rsidRPr="00711B35" w:rsidP="00561FC5" w14:paraId="443FFF10" w14:textId="77777777">
      <w:pPr>
        <w:numPr>
          <w:ilvl w:val="0"/>
          <w:numId w:val="7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711B35">
        <w:rPr>
          <w:rFonts w:asciiTheme="minorEastAsia" w:eastAsiaTheme="minorEastAsia" w:hAnsiTheme="minorEastAsia" w:hint="eastAsia"/>
          <w:sz w:val="21"/>
          <w:szCs w:val="21"/>
          <w:lang w:val="en-US" w:eastAsia="zh-CN"/>
        </w:rPr>
        <w:t>在停止充电时，</w:t>
      </w:r>
      <w:r w:rsidRPr="00711B35">
        <w:rPr>
          <w:rFonts w:asciiTheme="minorEastAsia" w:eastAsiaTheme="minorEastAsia" w:hAnsiTheme="minorEastAsia" w:hint="eastAsia"/>
          <w:sz w:val="21"/>
          <w:szCs w:val="21"/>
          <w:lang w:val="en-US" w:eastAsia="zh-CN"/>
        </w:rPr>
        <w:t>充电桩应保证</w:t>
      </w:r>
      <w:r w:rsidRPr="00711B35">
        <w:rPr>
          <w:rFonts w:asciiTheme="minorEastAsia" w:eastAsiaTheme="minorEastAsia" w:hAnsiTheme="minorEastAsia" w:hint="eastAsia"/>
          <w:sz w:val="21"/>
          <w:szCs w:val="21"/>
          <w:lang w:val="en-US" w:eastAsia="zh-CN"/>
        </w:rPr>
        <w:t>输出电源回路处于断开状态。</w:t>
      </w:r>
    </w:p>
    <w:p w:rsidR="00711B35" w:rsidRPr="00711B35" w:rsidP="00561FC5" w14:paraId="6628D84F" w14:textId="0985536C">
      <w:pPr>
        <w:numPr>
          <w:ilvl w:val="0"/>
          <w:numId w:val="7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711B35">
        <w:rPr>
          <w:rFonts w:asciiTheme="minorEastAsia" w:eastAsiaTheme="minorEastAsia" w:hAnsiTheme="minorEastAsia" w:hint="eastAsia"/>
          <w:sz w:val="21"/>
          <w:szCs w:val="21"/>
          <w:lang w:val="en-US" w:eastAsia="zh-CN"/>
        </w:rPr>
        <w:t>供电插座应设置温度监控装置，供电设备应具备温度监测和过</w:t>
      </w:r>
      <w:r w:rsidRPr="00711B35">
        <w:rPr>
          <w:rFonts w:asciiTheme="minorEastAsia" w:eastAsiaTheme="minorEastAsia" w:hAnsiTheme="minorEastAsia" w:hint="eastAsia"/>
          <w:sz w:val="21"/>
          <w:szCs w:val="21"/>
          <w:lang w:val="en-US" w:eastAsia="zh-CN"/>
        </w:rPr>
        <w:t>温保护</w:t>
      </w:r>
      <w:r w:rsidRPr="00711B35">
        <w:rPr>
          <w:rFonts w:asciiTheme="minorEastAsia" w:eastAsiaTheme="minorEastAsia" w:hAnsiTheme="minorEastAsia" w:hint="eastAsia"/>
          <w:sz w:val="21"/>
          <w:szCs w:val="21"/>
          <w:lang w:val="en-US" w:eastAsia="zh-CN"/>
        </w:rPr>
        <w:t>功能。</w:t>
      </w:r>
    </w:p>
    <w:p w:rsidR="00711B35" w:rsidRPr="00711B35" w:rsidP="00561FC5" w14:paraId="26E7B816" w14:textId="1E5C0BF9">
      <w:pPr>
        <w:numPr>
          <w:ilvl w:val="0"/>
          <w:numId w:val="7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711B35">
        <w:rPr>
          <w:rFonts w:asciiTheme="minorEastAsia" w:eastAsiaTheme="minorEastAsia" w:hAnsiTheme="minorEastAsia" w:hint="eastAsia"/>
          <w:sz w:val="21"/>
          <w:szCs w:val="21"/>
          <w:lang w:val="en-US" w:eastAsia="zh-CN"/>
        </w:rPr>
        <w:t>充电桩应具备</w:t>
      </w:r>
      <w:r w:rsidRPr="00711B35">
        <w:rPr>
          <w:rFonts w:asciiTheme="minorEastAsia" w:eastAsiaTheme="minorEastAsia" w:hAnsiTheme="minorEastAsia" w:hint="eastAsia"/>
          <w:sz w:val="21"/>
          <w:szCs w:val="21"/>
          <w:lang w:val="en-US" w:eastAsia="zh-CN"/>
        </w:rPr>
        <w:t>保护接地导体连续性的持续检测功能，在失去保护接地导体连续性的情况下，应切断输出电源</w:t>
      </w:r>
      <w:r>
        <w:rPr>
          <w:rFonts w:asciiTheme="minorEastAsia" w:eastAsiaTheme="minorEastAsia" w:hAnsiTheme="minorEastAsia" w:hint="eastAsia"/>
          <w:sz w:val="21"/>
          <w:szCs w:val="21"/>
          <w:lang w:val="en-US" w:eastAsia="zh-CN"/>
        </w:rPr>
        <w:t>。</w:t>
      </w:r>
    </w:p>
    <w:p w:rsidR="00711B35" w:rsidRPr="00711B35" w:rsidP="00561FC5" w14:paraId="228DE4E2" w14:textId="6AE908B3">
      <w:pPr>
        <w:numPr>
          <w:ilvl w:val="0"/>
          <w:numId w:val="7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711B35">
        <w:rPr>
          <w:rFonts w:asciiTheme="minorEastAsia" w:eastAsiaTheme="minorEastAsia" w:hAnsiTheme="minorEastAsia" w:hint="eastAsia"/>
          <w:sz w:val="21"/>
          <w:szCs w:val="21"/>
          <w:lang w:val="en-US" w:eastAsia="zh-CN"/>
        </w:rPr>
        <w:t>充电桩应具备</w:t>
      </w:r>
      <w:r w:rsidRPr="00711B35">
        <w:rPr>
          <w:rFonts w:asciiTheme="minorEastAsia" w:eastAsiaTheme="minorEastAsia" w:hAnsiTheme="minorEastAsia" w:hint="eastAsia"/>
          <w:sz w:val="21"/>
          <w:szCs w:val="21"/>
          <w:lang w:val="en-US" w:eastAsia="zh-CN"/>
        </w:rPr>
        <w:t>充电枪头</w:t>
      </w:r>
      <w:r w:rsidRPr="00711B35">
        <w:rPr>
          <w:rFonts w:asciiTheme="minorEastAsia" w:eastAsiaTheme="minorEastAsia" w:hAnsiTheme="minorEastAsia" w:hint="eastAsia"/>
          <w:sz w:val="21"/>
          <w:szCs w:val="21"/>
          <w:lang w:val="en-US" w:eastAsia="zh-CN"/>
        </w:rPr>
        <w:t>锁止保护</w:t>
      </w:r>
      <w:r w:rsidRPr="00711B35">
        <w:rPr>
          <w:rFonts w:asciiTheme="minorEastAsia" w:eastAsiaTheme="minorEastAsia" w:hAnsiTheme="minorEastAsia" w:hint="eastAsia"/>
          <w:sz w:val="21"/>
          <w:szCs w:val="21"/>
          <w:lang w:val="en-US" w:eastAsia="zh-CN"/>
        </w:rPr>
        <w:t>功能，防止</w:t>
      </w:r>
      <w:r w:rsidRPr="00711B35">
        <w:rPr>
          <w:rFonts w:asciiTheme="minorEastAsia" w:eastAsiaTheme="minorEastAsia" w:hAnsiTheme="minorEastAsia" w:hint="eastAsia"/>
          <w:sz w:val="21"/>
          <w:szCs w:val="21"/>
          <w:lang w:val="en-US" w:eastAsia="zh-CN"/>
        </w:rPr>
        <w:t>充电桩非充电</w:t>
      </w:r>
      <w:r w:rsidRPr="00711B35">
        <w:rPr>
          <w:rFonts w:asciiTheme="minorEastAsia" w:eastAsiaTheme="minorEastAsia" w:hAnsiTheme="minorEastAsia" w:hint="eastAsia"/>
          <w:sz w:val="21"/>
          <w:szCs w:val="21"/>
          <w:lang w:val="en-US" w:eastAsia="zh-CN"/>
        </w:rPr>
        <w:t>状态下被拔枪的情况出现</w:t>
      </w:r>
      <w:r>
        <w:rPr>
          <w:rFonts w:asciiTheme="minorEastAsia" w:eastAsiaTheme="minorEastAsia" w:hAnsiTheme="minorEastAsia" w:hint="eastAsia"/>
          <w:sz w:val="21"/>
          <w:szCs w:val="21"/>
          <w:lang w:val="en-US" w:eastAsia="zh-CN"/>
        </w:rPr>
        <w:t>。</w:t>
      </w:r>
    </w:p>
    <w:p w:rsidR="00711B35" w:rsidP="00711B35" w14:paraId="4A178F00"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计量收费及支付功能 </w:t>
      </w:r>
    </w:p>
    <w:p w:rsidR="00711B35" w:rsidP="00561FC5" w14:paraId="04D5CC78" w14:textId="77777777">
      <w:pPr>
        <w:numPr>
          <w:ilvl w:val="0"/>
          <w:numId w:val="29"/>
        </w:numPr>
        <w:spacing w:before="120" w:beforeLines="50" w:after="120" w:afterLines="50"/>
        <w:ind w:left="1655" w:hanging="578"/>
        <w:jc w:val="both"/>
        <w:outlineLvl w:val="3"/>
        <w:rPr>
          <w:rFonts w:asciiTheme="minorEastAsia" w:eastAsiaTheme="minorEastAsia" w:hAnsiTheme="minorEastAsia"/>
          <w:sz w:val="21"/>
          <w:szCs w:val="21"/>
          <w:lang w:val="en-US" w:eastAsia="zh-CN"/>
        </w:rPr>
        <w:sectPr w:rsidSect="00143DB7">
          <w:headerReference w:type="default" r:id="rId10"/>
          <w:footerReference w:type="default" r:id="rId11"/>
          <w:type w:val="nextPage"/>
          <w:pgSz w:w="11906" w:h="16838"/>
          <w:pgMar w:top="1814" w:right="1418" w:bottom="1418" w:left="1701" w:header="851" w:footer="992" w:gutter="0"/>
          <w:pgNumType w:start="2"/>
          <w:cols w:space="425"/>
          <w:titlePg w:val="0"/>
          <w:docGrid w:linePitch="312"/>
        </w:sectPr>
      </w:pPr>
      <w:r>
        <w:rPr>
          <w:rFonts w:asciiTheme="minorEastAsia" w:eastAsiaTheme="minorEastAsia" w:hAnsiTheme="minorEastAsia" w:hint="eastAsia"/>
          <w:sz w:val="21"/>
          <w:szCs w:val="21"/>
          <w:lang w:val="en-US" w:eastAsia="zh-CN"/>
        </w:rPr>
        <w:t>支持刷卡、</w:t>
      </w:r>
      <w:r>
        <w:rPr>
          <w:rFonts w:asciiTheme="minorEastAsia" w:eastAsiaTheme="minorEastAsia" w:hAnsiTheme="minorEastAsia" w:hint="eastAsia"/>
          <w:sz w:val="21"/>
          <w:szCs w:val="21"/>
          <w:lang w:val="en-US" w:eastAsia="zh-CN"/>
        </w:rPr>
        <w:t>二维码</w:t>
      </w:r>
      <w:r>
        <w:rPr>
          <w:rFonts w:asciiTheme="minorEastAsia" w:eastAsiaTheme="minorEastAsia" w:hAnsiTheme="minorEastAsia" w:hint="eastAsia"/>
          <w:sz w:val="21"/>
          <w:szCs w:val="21"/>
          <w:lang w:val="en-US" w:eastAsia="zh-CN"/>
        </w:rPr>
        <w:t xml:space="preserve"> APP 扫码、手机支付（微信、支付宝等）、支持第三方支付平台等多种支付手段。 </w:t>
      </w:r>
    </w:p>
    <w:p w:rsidR="00711B35" w:rsidP="00561FC5" w14:paraId="1911C66D" w14:textId="77777777">
      <w:pPr>
        <w:numPr>
          <w:ilvl w:val="0"/>
          <w:numId w:val="29"/>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应具有对所配备的各个充电接口输出电能量进行计量的功能。电能计量装置应符合 GB/T 29318-2012 的相关要求。 </w:t>
      </w:r>
    </w:p>
    <w:p w:rsidR="00711B35" w:rsidP="00561FC5" w14:paraId="59F60B3A" w14:textId="77777777">
      <w:pPr>
        <w:numPr>
          <w:ilvl w:val="0"/>
          <w:numId w:val="29"/>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计量表</w:t>
      </w:r>
      <w:r>
        <w:rPr>
          <w:rFonts w:asciiTheme="minorEastAsia" w:eastAsiaTheme="minorEastAsia" w:hAnsiTheme="minorEastAsia" w:hint="eastAsia"/>
          <w:sz w:val="21"/>
          <w:szCs w:val="21"/>
          <w:lang w:val="en-US" w:eastAsia="zh-CN"/>
        </w:rPr>
        <w:t>计满足</w:t>
      </w:r>
      <w:r>
        <w:rPr>
          <w:rFonts w:asciiTheme="minorEastAsia" w:eastAsiaTheme="minorEastAsia" w:hAnsiTheme="minorEastAsia" w:hint="eastAsia"/>
          <w:sz w:val="21"/>
          <w:szCs w:val="21"/>
          <w:lang w:val="en-US" w:eastAsia="zh-CN"/>
        </w:rPr>
        <w:t xml:space="preserve">充电设备对上传速率、规约等要求。 </w:t>
      </w:r>
    </w:p>
    <w:p w:rsidR="00F36428" w:rsidP="00F36428" w14:paraId="0D3060B9" w14:textId="5B209962">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自检功能及软件升级 </w:t>
      </w:r>
    </w:p>
    <w:p w:rsidR="00F36428" w:rsidP="00561FC5" w14:paraId="13FB6470" w14:textId="77777777">
      <w:pPr>
        <w:numPr>
          <w:ilvl w:val="0"/>
          <w:numId w:val="3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上</w:t>
      </w:r>
      <w:r>
        <w:rPr>
          <w:rFonts w:asciiTheme="minorEastAsia" w:eastAsiaTheme="minorEastAsia" w:hAnsiTheme="minorEastAsia" w:hint="eastAsia"/>
          <w:sz w:val="21"/>
          <w:szCs w:val="21"/>
          <w:lang w:val="en-US" w:eastAsia="zh-CN"/>
        </w:rPr>
        <w:t>电操作</w:t>
      </w:r>
      <w:r>
        <w:rPr>
          <w:rFonts w:asciiTheme="minorEastAsia" w:eastAsiaTheme="minorEastAsia" w:hAnsiTheme="minorEastAsia" w:hint="eastAsia"/>
          <w:sz w:val="21"/>
          <w:szCs w:val="21"/>
          <w:lang w:val="en-US" w:eastAsia="zh-CN"/>
        </w:rPr>
        <w:t>时，</w:t>
      </w:r>
      <w:r>
        <w:rPr>
          <w:rFonts w:asciiTheme="minorEastAsia" w:eastAsiaTheme="minorEastAsia" w:hAnsiTheme="minorEastAsia" w:hint="eastAsia"/>
          <w:sz w:val="21"/>
          <w:szCs w:val="21"/>
          <w:lang w:val="en-US" w:eastAsia="zh-CN"/>
        </w:rPr>
        <w:t>充电桩应先</w:t>
      </w:r>
      <w:r>
        <w:rPr>
          <w:rFonts w:asciiTheme="minorEastAsia" w:eastAsiaTheme="minorEastAsia" w:hAnsiTheme="minorEastAsia" w:hint="eastAsia"/>
          <w:sz w:val="21"/>
          <w:szCs w:val="21"/>
          <w:lang w:val="en-US" w:eastAsia="zh-CN"/>
        </w:rPr>
        <w:t xml:space="preserve">进行自检，检查内容应包括时钟、供电情况、费率配置情况、储存空间等。 </w:t>
      </w:r>
    </w:p>
    <w:p w:rsidR="00F36428" w:rsidP="00561FC5" w14:paraId="2E48DE40" w14:textId="77777777">
      <w:pPr>
        <w:numPr>
          <w:ilvl w:val="0"/>
          <w:numId w:val="3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应能通过状态指示灯或显示屏等方式显示故障信息，形成故障情况信息记录并上传至上级监控管理系统。 </w:t>
      </w:r>
    </w:p>
    <w:p w:rsidR="00F36428" w:rsidP="00561FC5" w14:paraId="3C83149E" w14:textId="77777777">
      <w:pPr>
        <w:numPr>
          <w:ilvl w:val="0"/>
          <w:numId w:val="3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充电</w:t>
      </w:r>
      <w:r>
        <w:rPr>
          <w:rFonts w:asciiTheme="minorEastAsia" w:eastAsiaTheme="minorEastAsia" w:hAnsiTheme="minorEastAsia" w:hint="eastAsia"/>
          <w:sz w:val="21"/>
          <w:szCs w:val="21"/>
          <w:lang w:val="en-US" w:eastAsia="zh-CN"/>
        </w:rPr>
        <w:t>桩设备</w:t>
      </w:r>
      <w:r>
        <w:rPr>
          <w:rFonts w:asciiTheme="minorEastAsia" w:eastAsiaTheme="minorEastAsia" w:hAnsiTheme="minorEastAsia" w:hint="eastAsia"/>
          <w:sz w:val="21"/>
          <w:szCs w:val="21"/>
          <w:lang w:val="en-US" w:eastAsia="zh-CN"/>
        </w:rPr>
        <w:t xml:space="preserve">应具备本地和远程软件升级功能。 </w:t>
      </w:r>
    </w:p>
    <w:p w:rsidR="00F36428" w:rsidP="00F36428" w14:paraId="2EF80E18"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通信功能 </w:t>
      </w:r>
    </w:p>
    <w:p w:rsidR="00F36428" w:rsidP="00561FC5" w14:paraId="7D416AA8" w14:textId="77777777">
      <w:pPr>
        <w:numPr>
          <w:ilvl w:val="0"/>
          <w:numId w:val="3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充电机应具有与蓄电池管理系统通信的 CAN 接口或其他国际标准通信接口，获得 </w:t>
      </w:r>
    </w:p>
    <w:p w:rsidR="00F36428" w:rsidP="00561FC5" w14:paraId="51A5BB39" w14:textId="77777777">
      <w:pPr>
        <w:numPr>
          <w:ilvl w:val="0"/>
          <w:numId w:val="3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蓄电池系统的充电参数和充电实时数据。通信协议应能满足 GB/T 27930-2011 的规定。 </w:t>
      </w:r>
    </w:p>
    <w:p w:rsidR="00711B35" w:rsidRPr="00F36428" w:rsidP="00561FC5" w14:paraId="4601010B" w14:textId="227E77E1">
      <w:pPr>
        <w:numPr>
          <w:ilvl w:val="0"/>
          <w:numId w:val="3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充电机应具有与运营管理平台系统通信的功能，支持5G</w:t>
      </w:r>
      <w:r w:rsidR="0013600B">
        <w:rPr>
          <w:rFonts w:asciiTheme="minorEastAsia" w:eastAsiaTheme="minorEastAsia" w:hAnsiTheme="minorEastAsia" w:hint="eastAsia"/>
          <w:sz w:val="21"/>
          <w:szCs w:val="21"/>
          <w:lang w:val="en-US" w:eastAsia="zh-CN"/>
        </w:rPr>
        <w:t>或</w:t>
      </w:r>
      <w:r>
        <w:rPr>
          <w:rFonts w:asciiTheme="minorEastAsia" w:eastAsiaTheme="minorEastAsia" w:hAnsiTheme="minorEastAsia" w:hint="eastAsia"/>
          <w:sz w:val="21"/>
          <w:szCs w:val="21"/>
          <w:lang w:val="en-US" w:eastAsia="zh-CN"/>
        </w:rPr>
        <w:t>4G、</w:t>
      </w:r>
      <w:r>
        <w:rPr>
          <w:rFonts w:asciiTheme="minorEastAsia" w:eastAsiaTheme="minorEastAsia" w:hAnsiTheme="minorEastAsia" w:hint="eastAsia"/>
          <w:sz w:val="21"/>
          <w:szCs w:val="21"/>
          <w:lang w:val="en-US" w:eastAsia="zh-CN"/>
        </w:rPr>
        <w:t>有线等</w:t>
      </w:r>
      <w:r>
        <w:rPr>
          <w:rFonts w:asciiTheme="minorEastAsia" w:eastAsiaTheme="minorEastAsia" w:hAnsiTheme="minorEastAsia" w:hint="eastAsia"/>
          <w:sz w:val="21"/>
          <w:szCs w:val="21"/>
          <w:lang w:val="en-US" w:eastAsia="zh-CN"/>
        </w:rPr>
        <w:t xml:space="preserve">通信方式。 </w:t>
      </w:r>
    </w:p>
    <w:p w:rsidR="00E34CE8" w:rsidP="00561FC5" w14:paraId="0E0B516D" w14:textId="77777777">
      <w:pPr>
        <w:numPr>
          <w:ilvl w:val="0"/>
          <w:numId w:val="3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充电启动要</w:t>
      </w:r>
      <w:r>
        <w:rPr>
          <w:rFonts w:asciiTheme="minorEastAsia" w:eastAsiaTheme="minorEastAsia" w:hAnsiTheme="minorEastAsia" w:hint="eastAsia"/>
          <w:sz w:val="21"/>
          <w:szCs w:val="21"/>
          <w:lang w:val="en-US" w:eastAsia="zh-CN"/>
        </w:rPr>
        <w:t>具备微信小</w:t>
      </w:r>
      <w:r>
        <w:rPr>
          <w:rFonts w:asciiTheme="minorEastAsia" w:eastAsiaTheme="minorEastAsia" w:hAnsiTheme="minorEastAsia" w:hint="eastAsia"/>
          <w:sz w:val="21"/>
          <w:szCs w:val="21"/>
          <w:lang w:val="en-US" w:eastAsia="zh-CN"/>
        </w:rPr>
        <w:t xml:space="preserve">程序启动的功能。 </w:t>
      </w:r>
    </w:p>
    <w:p w:rsidR="00E34CE8" w:rsidP="00561FC5" w14:paraId="633F868E" w14:textId="77777777">
      <w:pPr>
        <w:numPr>
          <w:ilvl w:val="0"/>
          <w:numId w:val="3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充电设备支持采用移动端使用状况的查询，便于车辆驾驶人员提前根据充电站使用情况。</w:t>
      </w:r>
    </w:p>
    <w:p w:rsidR="00E34CE8" w14:paraId="0450D186"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与其他系统联动功能 </w:t>
      </w:r>
    </w:p>
    <w:p w:rsidR="00E34CE8" w14:paraId="2B82B17C" w14:textId="3B56EBA9">
      <w:pPr>
        <w:spacing w:before="120" w:beforeLines="50" w:after="120" w:afterLines="50"/>
        <w:ind w:left="1077"/>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具备与停车管理系统</w:t>
      </w:r>
      <w:r w:rsidR="00711B35">
        <w:rPr>
          <w:rFonts w:asciiTheme="minorEastAsia" w:eastAsiaTheme="minorEastAsia" w:hAnsiTheme="minorEastAsia" w:hint="eastAsia"/>
          <w:sz w:val="21"/>
          <w:szCs w:val="21"/>
          <w:lang w:val="en-US" w:eastAsia="zh-CN"/>
        </w:rPr>
        <w:t>等连接</w:t>
      </w:r>
      <w:r>
        <w:rPr>
          <w:rFonts w:asciiTheme="minorEastAsia" w:eastAsiaTheme="minorEastAsia" w:hAnsiTheme="minorEastAsia" w:hint="eastAsia"/>
          <w:sz w:val="21"/>
          <w:szCs w:val="21"/>
          <w:lang w:val="en-US" w:eastAsia="zh-CN"/>
        </w:rPr>
        <w:t xml:space="preserve">数据接口的功能，数据信息及接口形式，以停车管理系统承包单位的要求为准。 </w:t>
      </w:r>
    </w:p>
    <w:p w:rsidR="00E34CE8" w14:paraId="4FDFB78A" w14:textId="77777777">
      <w:pPr>
        <w:pStyle w:val="ReportLevel2"/>
        <w:spacing w:before="240" w:beforeLines="100" w:after="240" w:afterLines="100"/>
        <w:rPr>
          <w:rFonts w:asciiTheme="minorEastAsia" w:eastAsiaTheme="minorEastAsia" w:hAnsiTheme="minorEastAsia"/>
          <w:b/>
          <w:bCs/>
          <w:sz w:val="21"/>
          <w:szCs w:val="21"/>
          <w:lang w:val="en-US" w:eastAsia="zh-CN"/>
        </w:rPr>
      </w:pPr>
      <w:r>
        <w:rPr>
          <w:rFonts w:asciiTheme="minorEastAsia" w:eastAsiaTheme="minorEastAsia" w:hAnsiTheme="minorEastAsia" w:hint="eastAsia"/>
          <w:b/>
          <w:bCs/>
          <w:sz w:val="21"/>
          <w:szCs w:val="21"/>
          <w:lang w:val="en-US" w:eastAsia="zh-CN"/>
        </w:rPr>
        <w:t xml:space="preserve">性能要求 </w:t>
      </w:r>
    </w:p>
    <w:p w:rsidR="00E34CE8" w14:paraId="54910CA3"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环境防护要求 </w:t>
      </w:r>
    </w:p>
    <w:p w:rsidR="00E34CE8" w:rsidP="00561FC5" w14:paraId="5B9EAB72" w14:textId="77777777">
      <w:pPr>
        <w:numPr>
          <w:ilvl w:val="0"/>
          <w:numId w:val="32"/>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IP 防护等级：充电桩外壳防护等级不应低于 IP54（室内外）的规定。 </w:t>
      </w:r>
    </w:p>
    <w:p w:rsidR="00E34CE8" w:rsidP="00561FC5" w14:paraId="71241345" w14:textId="77777777">
      <w:pPr>
        <w:numPr>
          <w:ilvl w:val="0"/>
          <w:numId w:val="32"/>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三防(防潮湿，防霉变，防盐雾)保护：</w:t>
      </w:r>
      <w:r>
        <w:rPr>
          <w:rFonts w:asciiTheme="minorEastAsia" w:eastAsiaTheme="minorEastAsia" w:hAnsiTheme="minorEastAsia" w:hint="eastAsia"/>
          <w:sz w:val="21"/>
          <w:szCs w:val="21"/>
          <w:lang w:val="en-US" w:eastAsia="zh-CN"/>
        </w:rPr>
        <w:t>充电桩内印刷</w:t>
      </w:r>
      <w:r>
        <w:rPr>
          <w:rFonts w:asciiTheme="minorEastAsia" w:eastAsiaTheme="minorEastAsia" w:hAnsiTheme="minorEastAsia" w:hint="eastAsia"/>
          <w:sz w:val="21"/>
          <w:szCs w:val="21"/>
          <w:lang w:val="en-US" w:eastAsia="zh-CN"/>
        </w:rPr>
        <w:t>线路板、接插件等电路应具有防潮湿、防霉变、防盐雾处理，保证</w:t>
      </w:r>
      <w:r>
        <w:rPr>
          <w:rFonts w:asciiTheme="minorEastAsia" w:eastAsiaTheme="minorEastAsia" w:hAnsiTheme="minorEastAsia" w:hint="eastAsia"/>
          <w:sz w:val="21"/>
          <w:szCs w:val="21"/>
          <w:lang w:val="en-US" w:eastAsia="zh-CN"/>
        </w:rPr>
        <w:t>充电桩在潮湿</w:t>
      </w:r>
      <w:r>
        <w:rPr>
          <w:rFonts w:asciiTheme="minorEastAsia" w:eastAsiaTheme="minorEastAsia" w:hAnsiTheme="minorEastAsia" w:hint="eastAsia"/>
          <w:sz w:val="21"/>
          <w:szCs w:val="21"/>
          <w:lang w:val="en-US" w:eastAsia="zh-CN"/>
        </w:rPr>
        <w:t xml:space="preserve">、盐雾环境下正常运行。 </w:t>
      </w:r>
    </w:p>
    <w:p w:rsidR="00E34CE8" w:rsidP="00561FC5" w14:paraId="10043CA0" w14:textId="77777777">
      <w:pPr>
        <w:numPr>
          <w:ilvl w:val="0"/>
          <w:numId w:val="32"/>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防锈(防氧化)保护：充电桩铁质外壳和暴露的铁质支架、零件应采用双层防锈</w:t>
      </w:r>
      <w:r>
        <w:rPr>
          <w:rFonts w:asciiTheme="minorEastAsia" w:eastAsiaTheme="minorEastAsia" w:hAnsiTheme="minorEastAsia" w:hint="eastAsia"/>
          <w:sz w:val="21"/>
          <w:szCs w:val="21"/>
          <w:lang w:val="en-US" w:eastAsia="zh-CN"/>
        </w:rPr>
        <w:t>措</w:t>
      </w:r>
      <w:r>
        <w:rPr>
          <w:rFonts w:asciiTheme="minorEastAsia" w:eastAsiaTheme="minorEastAsia" w:hAnsiTheme="minorEastAsia" w:hint="eastAsia"/>
          <w:sz w:val="21"/>
          <w:szCs w:val="21"/>
          <w:lang w:val="en-US" w:eastAsia="zh-CN"/>
        </w:rPr>
        <w:t xml:space="preserve"> 施，非铁质的金属外壳也应具有防氧化保护膜或防氧化处理。 </w:t>
      </w:r>
    </w:p>
    <w:p w:rsidR="00E34CE8" w14:paraId="0D9671A9"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电击防护要求 </w:t>
      </w:r>
    </w:p>
    <w:p w:rsidR="00E34CE8" w14:paraId="5F932853" w14:textId="77777777">
      <w:pPr>
        <w:spacing w:before="120" w:beforeLines="50" w:after="120" w:afterLines="50"/>
        <w:ind w:left="1077"/>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充电桩的电击防护要求应符合 GB/T 18487.1-2001 中第 9 章的要求。 </w:t>
      </w:r>
    </w:p>
    <w:p w:rsidR="00E34CE8" w14:paraId="2B7EE061"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接地要求 </w:t>
      </w:r>
    </w:p>
    <w:p w:rsidR="00E34CE8" w14:paraId="3D72B61D" w14:textId="77777777">
      <w:pPr>
        <w:spacing w:before="120" w:beforeLines="50" w:after="120" w:afterLines="50"/>
        <w:ind w:left="1077"/>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充电桩的接地要求应能满足以下的规定： </w:t>
      </w:r>
    </w:p>
    <w:p w:rsidR="00E34CE8" w:rsidP="00561FC5" w14:paraId="74C15E4F" w14:textId="77777777">
      <w:pPr>
        <w:numPr>
          <w:ilvl w:val="0"/>
          <w:numId w:val="33"/>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充电桩金属壳体应设置接地螺栓，其直径不得小于 6mm，并应有接地标志。 </w:t>
      </w:r>
    </w:p>
    <w:p w:rsidR="00E34CE8" w:rsidP="00561FC5" w14:paraId="394BEC7E" w14:textId="77777777">
      <w:pPr>
        <w:numPr>
          <w:ilvl w:val="0"/>
          <w:numId w:val="33"/>
        </w:numPr>
        <w:spacing w:before="120" w:beforeLines="50" w:after="120" w:afterLines="50"/>
        <w:ind w:left="1655" w:hanging="578"/>
        <w:jc w:val="both"/>
        <w:outlineLvl w:val="3"/>
        <w:rPr>
          <w:rFonts w:asciiTheme="minorEastAsia" w:eastAsiaTheme="minorEastAsia" w:hAnsiTheme="minorEastAsia"/>
          <w:sz w:val="21"/>
          <w:szCs w:val="21"/>
          <w:lang w:val="en-US" w:eastAsia="zh-CN"/>
        </w:rPr>
        <w:sectPr w:rsidSect="00143DB7">
          <w:headerReference w:type="default" r:id="rId12"/>
          <w:footerReference w:type="default" r:id="rId13"/>
          <w:type w:val="nextPage"/>
          <w:pgSz w:w="11906" w:h="16838"/>
          <w:pgMar w:top="1814" w:right="1418" w:bottom="1418" w:left="1701" w:header="851" w:footer="992" w:gutter="0"/>
          <w:pgNumType w:start="3"/>
          <w:cols w:space="425"/>
          <w:titlePg w:val="0"/>
          <w:docGrid w:linePitch="312"/>
        </w:sectPr>
      </w:pPr>
      <w:r>
        <w:rPr>
          <w:rFonts w:asciiTheme="minorEastAsia" w:eastAsiaTheme="minorEastAsia" w:hAnsiTheme="minorEastAsia" w:hint="eastAsia"/>
          <w:sz w:val="21"/>
          <w:szCs w:val="21"/>
          <w:lang w:val="en-US" w:eastAsia="zh-CN"/>
        </w:rPr>
        <w:t>所有作为隔离带电导体的金属隔板、电气元件的金属外壳以及金属手柄等均应有</w:t>
      </w:r>
      <w:r>
        <w:rPr>
          <w:rFonts w:asciiTheme="minorEastAsia" w:eastAsiaTheme="minorEastAsia" w:hAnsiTheme="minorEastAsia" w:hint="eastAsia"/>
          <w:sz w:val="21"/>
          <w:szCs w:val="21"/>
          <w:lang w:val="en-US" w:eastAsia="zh-CN"/>
        </w:rPr>
        <w:t>效</w:t>
      </w:r>
      <w:r>
        <w:rPr>
          <w:rFonts w:asciiTheme="minorEastAsia" w:eastAsiaTheme="minorEastAsia" w:hAnsiTheme="minorEastAsia" w:hint="eastAsia"/>
          <w:sz w:val="21"/>
          <w:szCs w:val="21"/>
          <w:lang w:val="en-US" w:eastAsia="zh-CN"/>
        </w:rPr>
        <w:t xml:space="preserve">接地，连续性电阻不应大于 0.1Ω。 </w:t>
      </w:r>
    </w:p>
    <w:p w:rsidR="00E34CE8" w:rsidP="00561FC5" w14:paraId="30BC77EA" w14:textId="77777777">
      <w:pPr>
        <w:numPr>
          <w:ilvl w:val="0"/>
          <w:numId w:val="33"/>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充电桩的门、盖板、覆板和类似部件，应采用保护导体将这些部件和充电</w:t>
      </w:r>
      <w:r>
        <w:rPr>
          <w:rFonts w:asciiTheme="minorEastAsia" w:eastAsiaTheme="minorEastAsia" w:hAnsiTheme="minorEastAsia" w:hint="eastAsia"/>
          <w:sz w:val="21"/>
          <w:szCs w:val="21"/>
          <w:lang w:val="en-US" w:eastAsia="zh-CN"/>
        </w:rPr>
        <w:t>桩主体</w:t>
      </w:r>
      <w:r>
        <w:rPr>
          <w:rFonts w:asciiTheme="minorEastAsia" w:eastAsiaTheme="minorEastAsia" w:hAnsiTheme="minorEastAsia" w:hint="eastAsia"/>
          <w:sz w:val="21"/>
          <w:szCs w:val="21"/>
          <w:lang w:val="en-US" w:eastAsia="zh-CN"/>
        </w:rPr>
        <w:t>框架连接，此保护导体的截面</w:t>
      </w:r>
      <w:r>
        <w:rPr>
          <w:rFonts w:asciiTheme="minorEastAsia" w:eastAsiaTheme="minorEastAsia" w:hAnsiTheme="minorEastAsia" w:hint="eastAsia"/>
          <w:sz w:val="21"/>
          <w:szCs w:val="21"/>
          <w:lang w:val="en-US" w:eastAsia="zh-CN"/>
        </w:rPr>
        <w:t>积不得</w:t>
      </w:r>
      <w:r>
        <w:rPr>
          <w:rFonts w:asciiTheme="minorEastAsia" w:eastAsiaTheme="minorEastAsia" w:hAnsiTheme="minorEastAsia" w:hint="eastAsia"/>
          <w:sz w:val="21"/>
          <w:szCs w:val="21"/>
          <w:lang w:val="en-US" w:eastAsia="zh-CN"/>
        </w:rPr>
        <w:t>小于 2.5mm2。</w:t>
      </w:r>
    </w:p>
    <w:p w:rsidR="00E34CE8" w:rsidP="00561FC5" w14:paraId="49511330" w14:textId="77777777">
      <w:pPr>
        <w:numPr>
          <w:ilvl w:val="0"/>
          <w:numId w:val="33"/>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接地母线和柜体之间的所有连接应躲开（或穿透绝缘层）喷漆层，以保证有效的电气连接。 </w:t>
      </w:r>
    </w:p>
    <w:p w:rsidR="00E34CE8" w14:paraId="465A07B5" w14:textId="77777777">
      <w:pPr>
        <w:pStyle w:val="ReportLevel3"/>
        <w:keepNext w:val="0"/>
        <w:spacing w:before="120" w:beforeLines="50" w:after="120" w:afterLines="50"/>
      </w:pPr>
      <w:r>
        <w:rPr>
          <w:rFonts w:asciiTheme="minorEastAsia" w:eastAsiaTheme="minorEastAsia" w:hAnsiTheme="minorEastAsia" w:hint="eastAsia"/>
          <w:sz w:val="21"/>
          <w:szCs w:val="21"/>
          <w:lang w:val="en-US" w:eastAsia="zh-CN"/>
        </w:rPr>
        <w:t>绝缘性能要求</w:t>
      </w:r>
      <w:r>
        <w:rPr>
          <w:rFonts w:ascii="宋体" w:eastAsia="宋体" w:hAnsi="宋体" w:cs="宋体" w:hint="eastAsia"/>
          <w:color w:val="000000"/>
          <w:sz w:val="21"/>
          <w:szCs w:val="21"/>
          <w:lang w:val="en-US" w:eastAsia="zh-CN" w:bidi="ar"/>
        </w:rPr>
        <w:t xml:space="preserve"> </w:t>
      </w:r>
    </w:p>
    <w:p w:rsidR="00E34CE8" w:rsidP="00561FC5" w14:paraId="06E67A7B" w14:textId="77777777">
      <w:pPr>
        <w:numPr>
          <w:ilvl w:val="0"/>
          <w:numId w:val="34"/>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绝缘电阻：用开路电压为下表规定电压的测试仪器测量，</w:t>
      </w:r>
      <w:r>
        <w:rPr>
          <w:rFonts w:asciiTheme="minorEastAsia" w:eastAsiaTheme="minorEastAsia" w:hAnsiTheme="minorEastAsia" w:hint="eastAsia"/>
          <w:sz w:val="21"/>
          <w:szCs w:val="21"/>
          <w:lang w:val="en-US" w:eastAsia="zh-CN"/>
        </w:rPr>
        <w:t>充电桩非电气</w:t>
      </w:r>
      <w:r>
        <w:rPr>
          <w:rFonts w:asciiTheme="minorEastAsia" w:eastAsiaTheme="minorEastAsia" w:hAnsiTheme="minorEastAsia" w:hint="eastAsia"/>
          <w:sz w:val="21"/>
          <w:szCs w:val="21"/>
          <w:lang w:val="en-US" w:eastAsia="zh-CN"/>
        </w:rPr>
        <w:t xml:space="preserve">连接的各带电回路之间、各独立带电回路与地（金属外壳）之间绝缘电阻应大于等于 10MΩ。 </w:t>
      </w:r>
    </w:p>
    <w:p w:rsidR="00E34CE8" w:rsidP="00561FC5" w14:paraId="52F57E59" w14:textId="77777777">
      <w:pPr>
        <w:numPr>
          <w:ilvl w:val="0"/>
          <w:numId w:val="34"/>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工频耐压：</w:t>
      </w:r>
      <w:r>
        <w:rPr>
          <w:rFonts w:asciiTheme="minorEastAsia" w:eastAsiaTheme="minorEastAsia" w:hAnsiTheme="minorEastAsia" w:hint="eastAsia"/>
          <w:sz w:val="21"/>
          <w:szCs w:val="21"/>
          <w:lang w:val="en-US" w:eastAsia="zh-CN"/>
        </w:rPr>
        <w:t>充电桩非电气</w:t>
      </w:r>
      <w:r>
        <w:rPr>
          <w:rFonts w:asciiTheme="minorEastAsia" w:eastAsiaTheme="minorEastAsia" w:hAnsiTheme="minorEastAsia" w:hint="eastAsia"/>
          <w:sz w:val="21"/>
          <w:szCs w:val="21"/>
          <w:lang w:val="en-US" w:eastAsia="zh-CN"/>
        </w:rPr>
        <w:t xml:space="preserve">连接的各带电回路之间、各独立带电回路与地（金属外壳）之间，按其工作电压应能承受下表所规定历时 1min 的工频耐压试验（也可采用直流电压，试验电压为交流电压有效值的 1.4 </w:t>
      </w:r>
      <w:r>
        <w:rPr>
          <w:rFonts w:asciiTheme="minorEastAsia" w:eastAsiaTheme="minorEastAsia" w:hAnsiTheme="minorEastAsia" w:hint="eastAsia"/>
          <w:sz w:val="21"/>
          <w:szCs w:val="21"/>
          <w:lang w:val="en-US" w:eastAsia="zh-CN"/>
        </w:rPr>
        <w:t>倍</w:t>
      </w:r>
      <w:r>
        <w:rPr>
          <w:rFonts w:asciiTheme="minorEastAsia" w:eastAsiaTheme="minorEastAsia" w:hAnsiTheme="minorEastAsia" w:hint="eastAsia"/>
          <w:sz w:val="21"/>
          <w:szCs w:val="21"/>
          <w:lang w:val="en-US" w:eastAsia="zh-CN"/>
        </w:rPr>
        <w:t xml:space="preserve">）。试验过程中应无绝缘击穿和闪络现象。 </w:t>
      </w:r>
    </w:p>
    <w:p w:rsidR="00E34CE8" w:rsidP="00561FC5" w14:paraId="2EFD08FB" w14:textId="77777777">
      <w:pPr>
        <w:numPr>
          <w:ilvl w:val="0"/>
          <w:numId w:val="34"/>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冲击电压：</w:t>
      </w:r>
      <w:r>
        <w:rPr>
          <w:rFonts w:asciiTheme="minorEastAsia" w:eastAsiaTheme="minorEastAsia" w:hAnsiTheme="minorEastAsia" w:hint="eastAsia"/>
          <w:sz w:val="21"/>
          <w:szCs w:val="21"/>
          <w:lang w:val="en-US" w:eastAsia="zh-CN"/>
        </w:rPr>
        <w:t>充电桩各带电</w:t>
      </w:r>
      <w:r>
        <w:rPr>
          <w:rFonts w:asciiTheme="minorEastAsia" w:eastAsiaTheme="minorEastAsia" w:hAnsiTheme="minorEastAsia" w:hint="eastAsia"/>
          <w:sz w:val="21"/>
          <w:szCs w:val="21"/>
          <w:lang w:val="en-US" w:eastAsia="zh-CN"/>
        </w:rPr>
        <w:t xml:space="preserve">回路、各带电电路对地（金属外壳）之间，按其工作电压应能承受下表所规定标准雷电波的短时冲击电压试验。试验过程中应无击穿放电。 </w:t>
      </w:r>
    </w:p>
    <w:p w:rsidR="00E34CE8" w14:paraId="1CA8DAF4"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高低温和湿热性能 </w:t>
      </w:r>
    </w:p>
    <w:p w:rsidR="00E34CE8" w:rsidP="00561FC5" w14:paraId="14E493CA" w14:textId="77777777">
      <w:pPr>
        <w:numPr>
          <w:ilvl w:val="0"/>
          <w:numId w:val="35"/>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低温性能：按 GB/T 2423.1-2008 中试验 Ad 规定的方法进行试验，试验温度为 2.4.1.1 规定的下限值，待达到试验温度后启动充电桩，</w:t>
      </w:r>
      <w:r>
        <w:rPr>
          <w:rFonts w:asciiTheme="minorEastAsia" w:eastAsiaTheme="minorEastAsia" w:hAnsiTheme="minorEastAsia" w:hint="eastAsia"/>
          <w:sz w:val="21"/>
          <w:szCs w:val="21"/>
          <w:lang w:val="en-US" w:eastAsia="zh-CN"/>
        </w:rPr>
        <w:t>充电桩应能</w:t>
      </w:r>
      <w:r>
        <w:rPr>
          <w:rFonts w:asciiTheme="minorEastAsia" w:eastAsiaTheme="minorEastAsia" w:hAnsiTheme="minorEastAsia" w:hint="eastAsia"/>
          <w:sz w:val="21"/>
          <w:szCs w:val="21"/>
          <w:lang w:val="en-US" w:eastAsia="zh-CN"/>
        </w:rPr>
        <w:t>正常工作。试验温度持续 2 小时后，在试验环境下通电检查充电</w:t>
      </w:r>
      <w:r>
        <w:rPr>
          <w:rFonts w:asciiTheme="minorEastAsia" w:eastAsiaTheme="minorEastAsia" w:hAnsiTheme="minorEastAsia" w:hint="eastAsia"/>
          <w:sz w:val="21"/>
          <w:szCs w:val="21"/>
          <w:lang w:val="en-US" w:eastAsia="zh-CN"/>
        </w:rPr>
        <w:t>桩各项</w:t>
      </w:r>
      <w:r>
        <w:rPr>
          <w:rFonts w:asciiTheme="minorEastAsia" w:eastAsiaTheme="minorEastAsia" w:hAnsiTheme="minorEastAsia" w:hint="eastAsia"/>
          <w:sz w:val="21"/>
          <w:szCs w:val="21"/>
          <w:lang w:val="en-US" w:eastAsia="zh-CN"/>
        </w:rPr>
        <w:t xml:space="preserve">功能应正常。 </w:t>
      </w:r>
    </w:p>
    <w:p w:rsidR="00E34CE8" w:rsidP="00561FC5" w14:paraId="20067B5C" w14:textId="77777777">
      <w:pPr>
        <w:numPr>
          <w:ilvl w:val="0"/>
          <w:numId w:val="35"/>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高温性能：按 GB/T 2423.2-2008 中试验 Bd 规定的方法进行试验，试验温度为2.4.1.1 规定的上限值，待达到试验温度后启动充电桩，</w:t>
      </w:r>
      <w:r>
        <w:rPr>
          <w:rFonts w:asciiTheme="minorEastAsia" w:eastAsiaTheme="minorEastAsia" w:hAnsiTheme="minorEastAsia" w:hint="eastAsia"/>
          <w:sz w:val="21"/>
          <w:szCs w:val="21"/>
          <w:lang w:val="en-US" w:eastAsia="zh-CN"/>
        </w:rPr>
        <w:t>充电桩应能</w:t>
      </w:r>
      <w:r>
        <w:rPr>
          <w:rFonts w:asciiTheme="minorEastAsia" w:eastAsiaTheme="minorEastAsia" w:hAnsiTheme="minorEastAsia" w:hint="eastAsia"/>
          <w:sz w:val="21"/>
          <w:szCs w:val="21"/>
          <w:lang w:val="en-US" w:eastAsia="zh-CN"/>
        </w:rPr>
        <w:t>正常工作。试验温度持续 2 小时后，在试验环境下通电检查充电</w:t>
      </w:r>
      <w:r>
        <w:rPr>
          <w:rFonts w:asciiTheme="minorEastAsia" w:eastAsiaTheme="minorEastAsia" w:hAnsiTheme="minorEastAsia" w:hint="eastAsia"/>
          <w:sz w:val="21"/>
          <w:szCs w:val="21"/>
          <w:lang w:val="en-US" w:eastAsia="zh-CN"/>
        </w:rPr>
        <w:t>桩各项</w:t>
      </w:r>
      <w:r>
        <w:rPr>
          <w:rFonts w:asciiTheme="minorEastAsia" w:eastAsiaTheme="minorEastAsia" w:hAnsiTheme="minorEastAsia" w:hint="eastAsia"/>
          <w:sz w:val="21"/>
          <w:szCs w:val="21"/>
          <w:lang w:val="en-US" w:eastAsia="zh-CN"/>
        </w:rPr>
        <w:t xml:space="preserve">功能应正常。 </w:t>
      </w:r>
    </w:p>
    <w:p w:rsidR="00E34CE8" w:rsidP="00561FC5" w14:paraId="33B73D22" w14:textId="77777777">
      <w:pPr>
        <w:numPr>
          <w:ilvl w:val="0"/>
          <w:numId w:val="35"/>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湿热性能：按 GB/T 2423.4-2008 中试验 Db 规定的方法进行试验，试验温度为（40±2）℃，循环次数为 2 次，在试验结束前 2h 进行绝缘电阻和介电强度检测，其中绝缘电阻不应小于 1MΩ，介电强度按表 3 规定值的 75％施加测量电压。试验结束后，恢复至正常大气条件，通电检查充电</w:t>
      </w:r>
      <w:r>
        <w:rPr>
          <w:rFonts w:asciiTheme="minorEastAsia" w:eastAsiaTheme="minorEastAsia" w:hAnsiTheme="minorEastAsia" w:hint="eastAsia"/>
          <w:sz w:val="21"/>
          <w:szCs w:val="21"/>
          <w:lang w:val="en-US" w:eastAsia="zh-CN"/>
        </w:rPr>
        <w:t>桩各项</w:t>
      </w:r>
      <w:r>
        <w:rPr>
          <w:rFonts w:asciiTheme="minorEastAsia" w:eastAsiaTheme="minorEastAsia" w:hAnsiTheme="minorEastAsia" w:hint="eastAsia"/>
          <w:sz w:val="21"/>
          <w:szCs w:val="21"/>
          <w:lang w:val="en-US" w:eastAsia="zh-CN"/>
        </w:rPr>
        <w:t>功能应正常。</w:t>
      </w:r>
    </w:p>
    <w:p w:rsidR="00E34CE8" w14:paraId="17B10A7C"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电磁兼容 </w:t>
      </w:r>
    </w:p>
    <w:p w:rsidR="00E34CE8" w:rsidP="00561FC5" w14:paraId="7DEBF54F" w14:textId="77777777">
      <w:pPr>
        <w:numPr>
          <w:ilvl w:val="0"/>
          <w:numId w:val="36"/>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静电放电抗扰度：</w:t>
      </w:r>
      <w:r>
        <w:rPr>
          <w:rFonts w:asciiTheme="minorEastAsia" w:eastAsiaTheme="minorEastAsia" w:hAnsiTheme="minorEastAsia" w:hint="eastAsia"/>
          <w:sz w:val="21"/>
          <w:szCs w:val="21"/>
          <w:lang w:val="en-US" w:eastAsia="zh-CN"/>
        </w:rPr>
        <w:t>充电桩应能</w:t>
      </w:r>
      <w:r>
        <w:rPr>
          <w:rFonts w:asciiTheme="minorEastAsia" w:eastAsiaTheme="minorEastAsia" w:hAnsiTheme="minorEastAsia" w:hint="eastAsia"/>
          <w:sz w:val="21"/>
          <w:szCs w:val="21"/>
          <w:lang w:val="en-US" w:eastAsia="zh-CN"/>
        </w:rPr>
        <w:t xml:space="preserve">承受 GB/T 17626.2-2006 中第 5 章规定的试验等级为 3 级的静电放电抗扰度试验。 </w:t>
      </w:r>
    </w:p>
    <w:p w:rsidR="00E34CE8" w:rsidP="00561FC5" w14:paraId="602ED5BA" w14:textId="77777777">
      <w:pPr>
        <w:numPr>
          <w:ilvl w:val="0"/>
          <w:numId w:val="36"/>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射频电磁场辐射抗扰度：</w:t>
      </w:r>
      <w:r>
        <w:rPr>
          <w:rFonts w:asciiTheme="minorEastAsia" w:eastAsiaTheme="minorEastAsia" w:hAnsiTheme="minorEastAsia" w:hint="eastAsia"/>
          <w:sz w:val="21"/>
          <w:szCs w:val="21"/>
          <w:lang w:val="en-US" w:eastAsia="zh-CN"/>
        </w:rPr>
        <w:t>充电桩应能</w:t>
      </w:r>
      <w:r>
        <w:rPr>
          <w:rFonts w:asciiTheme="minorEastAsia" w:eastAsiaTheme="minorEastAsia" w:hAnsiTheme="minorEastAsia" w:hint="eastAsia"/>
          <w:sz w:val="21"/>
          <w:szCs w:val="21"/>
          <w:lang w:val="en-US" w:eastAsia="zh-CN"/>
        </w:rPr>
        <w:t xml:space="preserve">承受 GB/T 17626.3-2006 中第 5 章规定的试验等级为 3 级的射频电磁场辐射抗扰度试验。 </w:t>
      </w:r>
    </w:p>
    <w:p w:rsidR="00E34CE8" w:rsidP="00561FC5" w14:paraId="7FCA2E7D" w14:textId="77777777">
      <w:pPr>
        <w:numPr>
          <w:ilvl w:val="0"/>
          <w:numId w:val="36"/>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电快速瞬变脉冲群抗扰度 ：</w:t>
      </w:r>
      <w:r>
        <w:rPr>
          <w:rFonts w:asciiTheme="minorEastAsia" w:eastAsiaTheme="minorEastAsia" w:hAnsiTheme="minorEastAsia" w:hint="eastAsia"/>
          <w:sz w:val="21"/>
          <w:szCs w:val="21"/>
          <w:lang w:val="en-US" w:eastAsia="zh-CN"/>
        </w:rPr>
        <w:t>充电桩应能</w:t>
      </w:r>
      <w:r>
        <w:rPr>
          <w:rFonts w:asciiTheme="minorEastAsia" w:eastAsiaTheme="minorEastAsia" w:hAnsiTheme="minorEastAsia" w:hint="eastAsia"/>
          <w:sz w:val="21"/>
          <w:szCs w:val="21"/>
          <w:lang w:val="en-US" w:eastAsia="zh-CN"/>
        </w:rPr>
        <w:t xml:space="preserve">承受 GB/T 17626.4-2008 中第 5 章规定的试验等级为 3 级的电快速瞬变脉冲群抗扰度试验。 </w:t>
      </w:r>
    </w:p>
    <w:p w:rsidR="00E34CE8" w:rsidP="00561FC5" w14:paraId="0A665D29" w14:textId="77777777">
      <w:pPr>
        <w:numPr>
          <w:ilvl w:val="0"/>
          <w:numId w:val="36"/>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浪涌（冲击）抗扰度：</w:t>
      </w:r>
      <w:r>
        <w:rPr>
          <w:rFonts w:asciiTheme="minorEastAsia" w:eastAsiaTheme="minorEastAsia" w:hAnsiTheme="minorEastAsia" w:hint="eastAsia"/>
          <w:sz w:val="21"/>
          <w:szCs w:val="21"/>
          <w:lang w:val="en-US" w:eastAsia="zh-CN"/>
        </w:rPr>
        <w:t>充电桩应能</w:t>
      </w:r>
      <w:r>
        <w:rPr>
          <w:rFonts w:asciiTheme="minorEastAsia" w:eastAsiaTheme="minorEastAsia" w:hAnsiTheme="minorEastAsia" w:hint="eastAsia"/>
          <w:sz w:val="21"/>
          <w:szCs w:val="21"/>
          <w:lang w:val="en-US" w:eastAsia="zh-CN"/>
        </w:rPr>
        <w:t xml:space="preserve">承受 GB/T 17626.5-2008 中第 5 章规定的试验等级为 3 级的浪涌（冲击）抗扰度试验。 </w:t>
      </w:r>
    </w:p>
    <w:p w:rsidR="00E34CE8" w:rsidP="00561FC5" w14:paraId="1410A92A" w14:textId="77777777">
      <w:pPr>
        <w:numPr>
          <w:ilvl w:val="0"/>
          <w:numId w:val="36"/>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电压暂降、短时中断抗扰度：</w:t>
      </w:r>
      <w:r>
        <w:rPr>
          <w:rFonts w:asciiTheme="minorEastAsia" w:eastAsiaTheme="minorEastAsia" w:hAnsiTheme="minorEastAsia" w:hint="eastAsia"/>
          <w:sz w:val="21"/>
          <w:szCs w:val="21"/>
          <w:lang w:val="en-US" w:eastAsia="zh-CN"/>
        </w:rPr>
        <w:t>充电桩应能</w:t>
      </w:r>
      <w:r>
        <w:rPr>
          <w:rFonts w:asciiTheme="minorEastAsia" w:eastAsiaTheme="minorEastAsia" w:hAnsiTheme="minorEastAsia" w:hint="eastAsia"/>
          <w:sz w:val="21"/>
          <w:szCs w:val="21"/>
          <w:lang w:val="en-US" w:eastAsia="zh-CN"/>
        </w:rPr>
        <w:t xml:space="preserve">承受 GB/T 17626.11-2008 中第 5 章规定的电压试验等级在 0%、40%、70%的额定工作电压的电压暂降、短时中断抗扰度试验。 </w:t>
      </w:r>
    </w:p>
    <w:p w:rsidR="00E34CE8" w:rsidP="00561FC5" w14:paraId="5E367DBB" w14:textId="77777777">
      <w:pPr>
        <w:numPr>
          <w:ilvl w:val="0"/>
          <w:numId w:val="36"/>
        </w:numPr>
        <w:spacing w:before="120" w:beforeLines="50" w:after="120" w:afterLines="50"/>
        <w:ind w:left="1655" w:hanging="578"/>
        <w:jc w:val="both"/>
        <w:outlineLvl w:val="3"/>
        <w:rPr>
          <w:rFonts w:asciiTheme="minorEastAsia" w:eastAsiaTheme="minorEastAsia" w:hAnsiTheme="minorEastAsia"/>
          <w:sz w:val="21"/>
          <w:szCs w:val="21"/>
          <w:lang w:val="en-US" w:eastAsia="zh-CN"/>
        </w:rPr>
        <w:sectPr w:rsidSect="00143DB7">
          <w:headerReference w:type="default" r:id="rId14"/>
          <w:footerReference w:type="default" r:id="rId15"/>
          <w:type w:val="nextPage"/>
          <w:pgSz w:w="11906" w:h="16838"/>
          <w:pgMar w:top="1814" w:right="1418" w:bottom="1418" w:left="1701" w:header="851" w:footer="992" w:gutter="0"/>
          <w:pgNumType w:start="4"/>
          <w:cols w:space="425"/>
          <w:titlePg w:val="0"/>
          <w:docGrid w:linePitch="312"/>
        </w:sectPr>
      </w:pPr>
      <w:r>
        <w:rPr>
          <w:rFonts w:asciiTheme="minorEastAsia" w:eastAsiaTheme="minorEastAsia" w:hAnsiTheme="minorEastAsia" w:hint="eastAsia"/>
          <w:sz w:val="21"/>
          <w:szCs w:val="21"/>
          <w:lang w:val="en-US" w:eastAsia="zh-CN"/>
        </w:rPr>
        <w:t xml:space="preserve">传导和辐射发射限值要求：充电桩的电源端口应符合下表规定的传导发射限值，外壳端口应符合下表规定的辐射发射限值。 </w:t>
      </w:r>
    </w:p>
    <w:p w:rsidR="00E34CE8" w14:paraId="6B826817" w14:textId="77777777">
      <w:pPr>
        <w:spacing w:before="120" w:beforeLines="50" w:after="120" w:afterLines="50"/>
        <w:ind w:left="1077"/>
        <w:jc w:val="center"/>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表：传导发射限值</w:t>
      </w:r>
    </w:p>
    <w:tbl>
      <w:tblPr>
        <w:tblStyle w:val="TableGrid0"/>
        <w:tblW w:w="0" w:type="auto"/>
        <w:tblInd w:w="1075" w:type="dxa"/>
        <w:tblLook w:val="04A0"/>
      </w:tblPr>
      <w:tblGrid>
        <w:gridCol w:w="2363"/>
        <w:gridCol w:w="2423"/>
        <w:gridCol w:w="2916"/>
      </w:tblGrid>
      <w:tr w14:paraId="5E604C39" w14:textId="77777777">
        <w:tblPrEx>
          <w:tblW w:w="0" w:type="auto"/>
          <w:tblInd w:w="1075" w:type="dxa"/>
          <w:tblLook w:val="04A0"/>
        </w:tblPrEx>
        <w:tc>
          <w:tcPr>
            <w:tcW w:w="2390" w:type="dxa"/>
            <w:vMerge w:val="restart"/>
            <w:vAlign w:val="center"/>
          </w:tcPr>
          <w:p w:rsidR="00E34CE8" w14:paraId="04E02F8C"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频率范围（MHz）</w:t>
            </w:r>
          </w:p>
        </w:tc>
        <w:tc>
          <w:tcPr>
            <w:tcW w:w="5425" w:type="dxa"/>
            <w:gridSpan w:val="2"/>
            <w:vAlign w:val="center"/>
          </w:tcPr>
          <w:p w:rsidR="00E34CE8" w14:paraId="278CC4A2"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发射限值 dB(μV)</w:t>
            </w:r>
          </w:p>
        </w:tc>
      </w:tr>
      <w:tr w14:paraId="08AD9982" w14:textId="77777777">
        <w:tblPrEx>
          <w:tblW w:w="0" w:type="auto"/>
          <w:tblInd w:w="1075" w:type="dxa"/>
          <w:tblLook w:val="04A0"/>
        </w:tblPrEx>
        <w:trPr>
          <w:trHeight w:val="356"/>
        </w:trPr>
        <w:tc>
          <w:tcPr>
            <w:tcW w:w="2390" w:type="dxa"/>
            <w:vMerge/>
            <w:vAlign w:val="center"/>
          </w:tcPr>
          <w:p w:rsidR="00E34CE8" w14:paraId="2F590A96" w14:textId="77777777">
            <w:pPr>
              <w:jc w:val="center"/>
              <w:rPr>
                <w:rFonts w:ascii="宋体" w:eastAsia="宋体" w:hAnsi="宋体" w:cs="宋体"/>
                <w:color w:val="000000"/>
                <w:sz w:val="21"/>
                <w:szCs w:val="21"/>
                <w:lang w:val="en-US" w:eastAsia="zh-CN" w:bidi="ar"/>
              </w:rPr>
            </w:pPr>
          </w:p>
        </w:tc>
        <w:tc>
          <w:tcPr>
            <w:tcW w:w="2461" w:type="dxa"/>
            <w:vAlign w:val="center"/>
          </w:tcPr>
          <w:p w:rsidR="00E34CE8" w14:paraId="05F7FB35"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准峰值</w:t>
            </w:r>
          </w:p>
        </w:tc>
        <w:tc>
          <w:tcPr>
            <w:tcW w:w="2964" w:type="dxa"/>
            <w:vAlign w:val="center"/>
          </w:tcPr>
          <w:p w:rsidR="00E34CE8" w14:paraId="156CC426"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平均值</w:t>
            </w:r>
          </w:p>
        </w:tc>
      </w:tr>
      <w:tr w14:paraId="2F9CF096" w14:textId="77777777">
        <w:tblPrEx>
          <w:tblW w:w="0" w:type="auto"/>
          <w:tblInd w:w="1075" w:type="dxa"/>
          <w:tblLook w:val="04A0"/>
        </w:tblPrEx>
        <w:trPr>
          <w:trHeight w:val="364"/>
        </w:trPr>
        <w:tc>
          <w:tcPr>
            <w:tcW w:w="2390" w:type="dxa"/>
            <w:vAlign w:val="center"/>
          </w:tcPr>
          <w:p w:rsidR="00E34CE8" w14:paraId="06E6D072"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0.15～0.5（不含 0.5）</w:t>
            </w:r>
          </w:p>
        </w:tc>
        <w:tc>
          <w:tcPr>
            <w:tcW w:w="2461" w:type="dxa"/>
            <w:vAlign w:val="center"/>
          </w:tcPr>
          <w:p w:rsidR="00E34CE8" w14:paraId="5FD74C13"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79</w:t>
            </w:r>
          </w:p>
        </w:tc>
        <w:tc>
          <w:tcPr>
            <w:tcW w:w="2964" w:type="dxa"/>
            <w:vAlign w:val="center"/>
          </w:tcPr>
          <w:p w:rsidR="00E34CE8" w14:paraId="618E6A9D"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66</w:t>
            </w:r>
          </w:p>
        </w:tc>
      </w:tr>
      <w:tr w14:paraId="27AB9C1A" w14:textId="77777777">
        <w:tblPrEx>
          <w:tblW w:w="0" w:type="auto"/>
          <w:tblInd w:w="1075" w:type="dxa"/>
          <w:tblLook w:val="04A0"/>
        </w:tblPrEx>
        <w:trPr>
          <w:trHeight w:val="361"/>
        </w:trPr>
        <w:tc>
          <w:tcPr>
            <w:tcW w:w="2390" w:type="dxa"/>
            <w:vAlign w:val="center"/>
          </w:tcPr>
          <w:p w:rsidR="00E34CE8" w14:paraId="32C68562"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0.5～30</w:t>
            </w:r>
          </w:p>
        </w:tc>
        <w:tc>
          <w:tcPr>
            <w:tcW w:w="2461" w:type="dxa"/>
            <w:vAlign w:val="center"/>
          </w:tcPr>
          <w:p w:rsidR="00E34CE8" w14:paraId="04F7C0BE"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73</w:t>
            </w:r>
          </w:p>
        </w:tc>
        <w:tc>
          <w:tcPr>
            <w:tcW w:w="2964" w:type="dxa"/>
            <w:vAlign w:val="center"/>
          </w:tcPr>
          <w:p w:rsidR="00E34CE8" w14:paraId="2FA9FF15"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60</w:t>
            </w:r>
          </w:p>
        </w:tc>
      </w:tr>
    </w:tbl>
    <w:p w:rsidR="00E34CE8" w14:paraId="7D905241" w14:textId="77777777">
      <w:pPr>
        <w:spacing w:before="120" w:beforeLines="50" w:after="120" w:afterLines="50"/>
        <w:ind w:left="1077"/>
        <w:jc w:val="center"/>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表：辐射发射限值</w:t>
      </w:r>
    </w:p>
    <w:tbl>
      <w:tblPr>
        <w:tblStyle w:val="TableGrid0"/>
        <w:tblW w:w="0" w:type="auto"/>
        <w:tblInd w:w="1075" w:type="dxa"/>
        <w:tblLook w:val="04A0"/>
      </w:tblPr>
      <w:tblGrid>
        <w:gridCol w:w="3796"/>
        <w:gridCol w:w="3906"/>
      </w:tblGrid>
      <w:tr w14:paraId="7E2D470C" w14:textId="77777777">
        <w:tblPrEx>
          <w:tblW w:w="0" w:type="auto"/>
          <w:tblInd w:w="1075" w:type="dxa"/>
          <w:tblLook w:val="04A0"/>
        </w:tblPrEx>
        <w:trPr>
          <w:trHeight w:val="507"/>
        </w:trPr>
        <w:tc>
          <w:tcPr>
            <w:tcW w:w="3842" w:type="dxa"/>
            <w:vMerge w:val="restart"/>
            <w:vAlign w:val="center"/>
          </w:tcPr>
          <w:p w:rsidR="00E34CE8" w14:paraId="24B08C63"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频率范围（MHz）</w:t>
            </w:r>
          </w:p>
        </w:tc>
        <w:tc>
          <w:tcPr>
            <w:tcW w:w="3957" w:type="dxa"/>
            <w:vAlign w:val="center"/>
          </w:tcPr>
          <w:p w:rsidR="00E34CE8" w14:paraId="240686B6"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 xml:space="preserve">在 10 m 测量距离处辐射发射限值 </w:t>
            </w:r>
          </w:p>
          <w:p w:rsidR="00E34CE8" w14:paraId="296AB84E"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dB(μV/m)</w:t>
            </w:r>
          </w:p>
        </w:tc>
      </w:tr>
      <w:tr w14:paraId="1EF0E514" w14:textId="77777777">
        <w:tblPrEx>
          <w:tblW w:w="0" w:type="auto"/>
          <w:tblInd w:w="1075" w:type="dxa"/>
          <w:tblLook w:val="04A0"/>
        </w:tblPrEx>
        <w:trPr>
          <w:trHeight w:val="349"/>
        </w:trPr>
        <w:tc>
          <w:tcPr>
            <w:tcW w:w="3842" w:type="dxa"/>
            <w:vMerge/>
            <w:vAlign w:val="center"/>
          </w:tcPr>
          <w:p w:rsidR="00E34CE8" w14:paraId="2A0B98D6" w14:textId="77777777">
            <w:pPr>
              <w:jc w:val="center"/>
              <w:rPr>
                <w:rFonts w:ascii="宋体" w:eastAsia="宋体" w:hAnsi="宋体" w:cs="宋体"/>
                <w:color w:val="000000"/>
                <w:sz w:val="21"/>
                <w:szCs w:val="21"/>
                <w:lang w:val="en-US" w:eastAsia="zh-CN" w:bidi="ar"/>
              </w:rPr>
            </w:pPr>
          </w:p>
        </w:tc>
        <w:tc>
          <w:tcPr>
            <w:tcW w:w="3957" w:type="dxa"/>
            <w:vAlign w:val="center"/>
          </w:tcPr>
          <w:p w:rsidR="00E34CE8" w14:paraId="19F31ECA"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准峰值</w:t>
            </w:r>
          </w:p>
        </w:tc>
      </w:tr>
      <w:tr w14:paraId="300F76BA" w14:textId="77777777">
        <w:tblPrEx>
          <w:tblW w:w="0" w:type="auto"/>
          <w:tblInd w:w="1075" w:type="dxa"/>
          <w:tblLook w:val="04A0"/>
        </w:tblPrEx>
        <w:trPr>
          <w:trHeight w:val="441"/>
        </w:trPr>
        <w:tc>
          <w:tcPr>
            <w:tcW w:w="3842" w:type="dxa"/>
            <w:vAlign w:val="center"/>
          </w:tcPr>
          <w:p w:rsidR="00E34CE8" w14:paraId="1A9104DD"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 xml:space="preserve">30～230 </w:t>
            </w:r>
          </w:p>
        </w:tc>
        <w:tc>
          <w:tcPr>
            <w:tcW w:w="3957" w:type="dxa"/>
            <w:vAlign w:val="center"/>
          </w:tcPr>
          <w:p w:rsidR="00E34CE8" w14:paraId="48744888"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40</w:t>
            </w:r>
          </w:p>
        </w:tc>
      </w:tr>
      <w:tr w14:paraId="6671D88C" w14:textId="77777777">
        <w:tblPrEx>
          <w:tblW w:w="0" w:type="auto"/>
          <w:tblInd w:w="1075" w:type="dxa"/>
          <w:tblLook w:val="04A0"/>
        </w:tblPrEx>
        <w:trPr>
          <w:trHeight w:val="384"/>
        </w:trPr>
        <w:tc>
          <w:tcPr>
            <w:tcW w:w="3842" w:type="dxa"/>
            <w:vAlign w:val="center"/>
          </w:tcPr>
          <w:p w:rsidR="00E34CE8" w14:paraId="5C4A97EF"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230～1000（不含 230）</w:t>
            </w:r>
          </w:p>
        </w:tc>
        <w:tc>
          <w:tcPr>
            <w:tcW w:w="3957" w:type="dxa"/>
            <w:vAlign w:val="center"/>
          </w:tcPr>
          <w:p w:rsidR="00E34CE8" w14:paraId="34B387E9" w14:textId="77777777">
            <w:pPr>
              <w:jc w:val="center"/>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47</w:t>
            </w:r>
          </w:p>
        </w:tc>
      </w:tr>
    </w:tbl>
    <w:p w:rsidR="00E34CE8" w14:paraId="388D6A12"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安全要求 </w:t>
      </w:r>
    </w:p>
    <w:p w:rsidR="00E34CE8" w:rsidP="00561FC5" w14:paraId="242B0E01" w14:textId="77777777">
      <w:pPr>
        <w:numPr>
          <w:ilvl w:val="0"/>
          <w:numId w:val="79"/>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充电桩应具备</w:t>
      </w:r>
      <w:r>
        <w:rPr>
          <w:rFonts w:asciiTheme="minorEastAsia" w:eastAsiaTheme="minorEastAsia" w:hAnsiTheme="minorEastAsia" w:hint="eastAsia"/>
          <w:sz w:val="21"/>
          <w:szCs w:val="21"/>
          <w:lang w:val="en-US" w:eastAsia="zh-CN"/>
        </w:rPr>
        <w:t xml:space="preserve">输出过电流保护、短路保护和剩余电流功能，并有告警提示。 </w:t>
      </w:r>
    </w:p>
    <w:p w:rsidR="00E34CE8" w:rsidP="00561FC5" w14:paraId="22C5118F" w14:textId="77777777">
      <w:pPr>
        <w:numPr>
          <w:ilvl w:val="0"/>
          <w:numId w:val="79"/>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主回路应具备带负载分合电路功能。 </w:t>
      </w:r>
    </w:p>
    <w:p w:rsidR="00E34CE8" w:rsidP="00561FC5" w14:paraId="7D3F6294" w14:textId="77777777">
      <w:pPr>
        <w:numPr>
          <w:ilvl w:val="0"/>
          <w:numId w:val="79"/>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充电桩应具备</w:t>
      </w:r>
      <w:r>
        <w:rPr>
          <w:rFonts w:asciiTheme="minorEastAsia" w:eastAsiaTheme="minorEastAsia" w:hAnsiTheme="minorEastAsia" w:hint="eastAsia"/>
          <w:sz w:val="21"/>
          <w:szCs w:val="21"/>
          <w:lang w:val="en-US" w:eastAsia="zh-CN"/>
        </w:rPr>
        <w:t xml:space="preserve">主回路交流输出开关故障检测功能。 </w:t>
      </w:r>
    </w:p>
    <w:p w:rsidR="00E34CE8" w:rsidP="00561FC5" w14:paraId="03B5BA7C" w14:textId="77777777">
      <w:pPr>
        <w:numPr>
          <w:ilvl w:val="0"/>
          <w:numId w:val="79"/>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充电过程中发生下述情况时，</w:t>
      </w:r>
      <w:r>
        <w:rPr>
          <w:rFonts w:asciiTheme="minorEastAsia" w:eastAsiaTheme="minorEastAsia" w:hAnsiTheme="minorEastAsia" w:hint="eastAsia"/>
          <w:sz w:val="21"/>
          <w:szCs w:val="21"/>
          <w:lang w:val="en-US" w:eastAsia="zh-CN"/>
        </w:rPr>
        <w:t>充电桩应在</w:t>
      </w:r>
      <w:r>
        <w:rPr>
          <w:rFonts w:asciiTheme="minorEastAsia" w:eastAsiaTheme="minorEastAsia" w:hAnsiTheme="minorEastAsia" w:hint="eastAsia"/>
          <w:sz w:val="21"/>
          <w:szCs w:val="21"/>
          <w:lang w:val="en-US" w:eastAsia="zh-CN"/>
        </w:rPr>
        <w:t xml:space="preserve"> 100ms 内断开交流供电回路。 </w:t>
      </w:r>
    </w:p>
    <w:p w:rsidR="00E34CE8" w14:paraId="6DBFDE1E" w14:textId="77777777">
      <w:pPr>
        <w:numPr>
          <w:ilvl w:val="0"/>
          <w:numId w:val="26"/>
        </w:numPr>
        <w:spacing w:before="120" w:beforeLines="50" w:after="120" w:afterLines="50"/>
        <w:ind w:firstLine="680"/>
        <w:rPr>
          <w:rFonts w:ascii="宋体" w:eastAsia="宋体" w:hAnsi="宋体" w:cs="宋体"/>
          <w:color w:val="000000"/>
          <w:sz w:val="21"/>
          <w:szCs w:val="21"/>
          <w:lang w:val="en-US" w:eastAsia="zh-CN" w:bidi="ar"/>
        </w:rPr>
      </w:pPr>
      <w:r>
        <w:rPr>
          <w:rFonts w:asciiTheme="minorEastAsia" w:eastAsiaTheme="minorEastAsia" w:hAnsiTheme="minorEastAsia" w:hint="eastAsia"/>
          <w:sz w:val="21"/>
          <w:szCs w:val="21"/>
          <w:lang w:val="en-US" w:eastAsia="zh-CN"/>
        </w:rPr>
        <w:t> 启动急停装置</w:t>
      </w:r>
    </w:p>
    <w:p w:rsidR="00E34CE8" w:rsidP="00143DB7" w14:paraId="74B91224" w14:textId="3F6BD38D">
      <w:pPr>
        <w:numPr>
          <w:ilvl w:val="0"/>
          <w:numId w:val="26"/>
        </w:numPr>
        <w:spacing w:before="120" w:beforeLines="50" w:after="120" w:afterLines="50"/>
        <w:ind w:left="1701" w:hanging="601"/>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GB/T 189487.1-2015 中附录 A.3.10 所描述的非正常条件下充电结束或停止。 </w:t>
      </w:r>
    </w:p>
    <w:p w:rsidR="00E34CE8" w:rsidP="00561FC5" w14:paraId="7AF9E8FC" w14:textId="77777777">
      <w:pPr>
        <w:numPr>
          <w:ilvl w:val="0"/>
          <w:numId w:val="79"/>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充电桩应具备</w:t>
      </w:r>
      <w:r>
        <w:rPr>
          <w:rFonts w:asciiTheme="minorEastAsia" w:eastAsiaTheme="minorEastAsia" w:hAnsiTheme="minorEastAsia" w:hint="eastAsia"/>
          <w:sz w:val="21"/>
          <w:szCs w:val="21"/>
          <w:lang w:val="en-US" w:eastAsia="zh-CN"/>
        </w:rPr>
        <w:t xml:space="preserve">主动切断交流输入电源的功能。 </w:t>
      </w:r>
    </w:p>
    <w:p w:rsidR="00E34CE8" w:rsidP="00561FC5" w14:paraId="606BF9C4" w14:textId="77777777">
      <w:pPr>
        <w:numPr>
          <w:ilvl w:val="0"/>
          <w:numId w:val="79"/>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充电机应具备内部过温保护，当内部温度达到保护值时，采取降功率或停止输出。 </w:t>
      </w:r>
    </w:p>
    <w:p w:rsidR="00E34CE8" w:rsidP="00561FC5" w14:paraId="2959B589" w14:textId="77777777">
      <w:pPr>
        <w:numPr>
          <w:ilvl w:val="0"/>
          <w:numId w:val="79"/>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在充电过程中，充电机应具有明显的状态指示和文字提示，防止人员误操作。 </w:t>
      </w:r>
    </w:p>
    <w:p w:rsidR="00E34CE8" w:rsidP="00561FC5" w14:paraId="719620BC" w14:textId="77777777">
      <w:pPr>
        <w:numPr>
          <w:ilvl w:val="0"/>
          <w:numId w:val="79"/>
        </w:numPr>
        <w:spacing w:before="120" w:beforeLines="50" w:after="120" w:afterLines="50"/>
        <w:ind w:left="1655" w:hanging="578"/>
        <w:jc w:val="both"/>
        <w:outlineLvl w:val="3"/>
        <w:rPr>
          <w:lang w:eastAsia="zh-CN"/>
        </w:rPr>
      </w:pPr>
      <w:r>
        <w:rPr>
          <w:rFonts w:asciiTheme="minorEastAsia" w:eastAsiaTheme="minorEastAsia" w:hAnsiTheme="minorEastAsia" w:hint="eastAsia"/>
          <w:sz w:val="21"/>
          <w:szCs w:val="21"/>
          <w:lang w:val="en-US" w:eastAsia="zh-CN"/>
        </w:rPr>
        <w:t>充电机在充电过程中应具有防止充电连接器意外脱落</w:t>
      </w:r>
      <w:r>
        <w:rPr>
          <w:rFonts w:asciiTheme="minorEastAsia" w:eastAsiaTheme="minorEastAsia" w:hAnsiTheme="minorEastAsia" w:hint="eastAsia"/>
          <w:sz w:val="21"/>
          <w:szCs w:val="21"/>
          <w:lang w:val="en-US" w:eastAsia="zh-CN"/>
        </w:rPr>
        <w:t>的锁止装置</w:t>
      </w:r>
      <w:r>
        <w:rPr>
          <w:rFonts w:asciiTheme="minorEastAsia" w:eastAsiaTheme="minorEastAsia" w:hAnsiTheme="minorEastAsia" w:hint="eastAsia"/>
          <w:sz w:val="21"/>
          <w:szCs w:val="21"/>
          <w:lang w:val="en-US" w:eastAsia="zh-CN"/>
        </w:rPr>
        <w:t>，</w:t>
      </w:r>
      <w:r>
        <w:rPr>
          <w:rFonts w:asciiTheme="minorEastAsia" w:eastAsiaTheme="minorEastAsia" w:hAnsiTheme="minorEastAsia" w:hint="eastAsia"/>
          <w:sz w:val="21"/>
          <w:szCs w:val="21"/>
          <w:lang w:val="en-US" w:eastAsia="zh-CN"/>
        </w:rPr>
        <w:t>锁止装置</w:t>
      </w:r>
      <w:r>
        <w:rPr>
          <w:rFonts w:asciiTheme="minorEastAsia" w:eastAsiaTheme="minorEastAsia" w:hAnsiTheme="minorEastAsia" w:hint="eastAsia"/>
          <w:sz w:val="21"/>
          <w:szCs w:val="21"/>
          <w:lang w:val="en-US" w:eastAsia="zh-CN"/>
        </w:rPr>
        <w:t>可通过专用方式（如机械或电子方式）才能打开。</w:t>
      </w:r>
      <w:r>
        <w:rPr>
          <w:rFonts w:ascii="宋体" w:eastAsia="宋体" w:hAnsi="宋体" w:cs="宋体" w:hint="eastAsia"/>
          <w:color w:val="000000"/>
          <w:sz w:val="21"/>
          <w:szCs w:val="21"/>
          <w:lang w:val="en-US" w:eastAsia="zh-CN" w:bidi="ar"/>
        </w:rPr>
        <w:t xml:space="preserve"> </w:t>
      </w:r>
    </w:p>
    <w:p w:rsidR="00E34CE8" w14:paraId="2772AF94"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噪声 </w:t>
      </w:r>
    </w:p>
    <w:p w:rsidR="00E34CE8" w14:paraId="75C68E2A" w14:textId="77777777">
      <w:pPr>
        <w:spacing w:before="120" w:beforeLines="50" w:after="120" w:afterLines="50"/>
        <w:ind w:left="1077"/>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充电桩装置的噪声最大值应不大于 65dB（A 级）。 </w:t>
      </w:r>
    </w:p>
    <w:p w:rsidR="00E34CE8" w14:paraId="5D48D372"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线缆要求 </w:t>
      </w:r>
    </w:p>
    <w:p w:rsidR="00E34CE8" w:rsidP="00561FC5" w14:paraId="4DE4B5B9" w14:textId="77777777">
      <w:pPr>
        <w:numPr>
          <w:ilvl w:val="0"/>
          <w:numId w:val="38"/>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应能保证相应设备顺利安装和便于日常维护操作。 </w:t>
      </w:r>
    </w:p>
    <w:p w:rsidR="00E34CE8" w:rsidP="00561FC5" w14:paraId="5A1C56F8" w14:textId="77777777">
      <w:pPr>
        <w:numPr>
          <w:ilvl w:val="0"/>
          <w:numId w:val="38"/>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应配置进出线留的足够空间。 </w:t>
      </w:r>
    </w:p>
    <w:p w:rsidR="00E34CE8" w:rsidP="00561FC5" w14:paraId="0C413CFE" w14:textId="77777777">
      <w:pPr>
        <w:numPr>
          <w:ilvl w:val="0"/>
          <w:numId w:val="38"/>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应具有配线端子标识的位置。 </w:t>
      </w:r>
    </w:p>
    <w:p w:rsidR="00E34CE8" w:rsidP="00561FC5" w14:paraId="3DCD8808" w14:textId="77777777">
      <w:pPr>
        <w:numPr>
          <w:ilvl w:val="0"/>
          <w:numId w:val="38"/>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过线区应预留足够的过线容量以满足直流充电</w:t>
      </w:r>
      <w:r>
        <w:rPr>
          <w:rFonts w:asciiTheme="minorEastAsia" w:eastAsiaTheme="minorEastAsia" w:hAnsiTheme="minorEastAsia" w:hint="eastAsia"/>
          <w:sz w:val="21"/>
          <w:szCs w:val="21"/>
          <w:lang w:val="en-US" w:eastAsia="zh-CN"/>
        </w:rPr>
        <w:t>桩满配</w:t>
      </w:r>
      <w:r>
        <w:rPr>
          <w:rFonts w:asciiTheme="minorEastAsia" w:eastAsiaTheme="minorEastAsia" w:hAnsiTheme="minorEastAsia" w:hint="eastAsia"/>
          <w:sz w:val="21"/>
          <w:szCs w:val="21"/>
          <w:lang w:val="en-US" w:eastAsia="zh-CN"/>
        </w:rPr>
        <w:t xml:space="preserve">的接线操作要求。 </w:t>
      </w:r>
    </w:p>
    <w:p w:rsidR="00E34CE8" w:rsidP="00561FC5" w14:paraId="10E877BF" w14:textId="77777777">
      <w:pPr>
        <w:numPr>
          <w:ilvl w:val="0"/>
          <w:numId w:val="38"/>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过线区应考虑线缆引入、固定和接地时操作的便利性、可更换性和</w:t>
      </w:r>
      <w:r>
        <w:rPr>
          <w:rFonts w:asciiTheme="minorEastAsia" w:eastAsiaTheme="minorEastAsia" w:hAnsiTheme="minorEastAsia" w:hint="eastAsia"/>
          <w:sz w:val="21"/>
          <w:szCs w:val="21"/>
          <w:lang w:val="en-US" w:eastAsia="zh-CN"/>
        </w:rPr>
        <w:t>可</w:t>
      </w:r>
      <w:r>
        <w:rPr>
          <w:rFonts w:asciiTheme="minorEastAsia" w:eastAsiaTheme="minorEastAsia" w:hAnsiTheme="minorEastAsia" w:hint="eastAsia"/>
          <w:sz w:val="21"/>
          <w:szCs w:val="21"/>
          <w:lang w:val="en-US" w:eastAsia="zh-CN"/>
        </w:rPr>
        <w:t>扩容性，线缆引入孔处应进行密封，防止水和</w:t>
      </w:r>
      <w:r>
        <w:rPr>
          <w:rFonts w:asciiTheme="minorEastAsia" w:eastAsiaTheme="minorEastAsia" w:hAnsiTheme="minorEastAsia" w:hint="eastAsia"/>
          <w:sz w:val="21"/>
          <w:szCs w:val="21"/>
          <w:lang w:val="en-US" w:eastAsia="zh-CN"/>
        </w:rPr>
        <w:t>龃</w:t>
      </w:r>
      <w:r>
        <w:rPr>
          <w:rFonts w:asciiTheme="minorEastAsia" w:eastAsiaTheme="minorEastAsia" w:hAnsiTheme="minorEastAsia" w:hint="eastAsia"/>
          <w:sz w:val="21"/>
          <w:szCs w:val="21"/>
          <w:lang w:val="en-US" w:eastAsia="zh-CN"/>
        </w:rPr>
        <w:t xml:space="preserve">齿类动物进入。 </w:t>
      </w:r>
    </w:p>
    <w:p w:rsidR="00E34CE8" w:rsidP="00561FC5" w14:paraId="41468FE3" w14:textId="77777777">
      <w:pPr>
        <w:numPr>
          <w:ilvl w:val="0"/>
          <w:numId w:val="38"/>
        </w:numPr>
        <w:spacing w:before="120" w:beforeLines="50" w:after="120" w:afterLines="50"/>
        <w:ind w:left="1655" w:hanging="578"/>
        <w:jc w:val="both"/>
        <w:outlineLvl w:val="3"/>
        <w:rPr>
          <w:rFonts w:asciiTheme="minorEastAsia" w:eastAsiaTheme="minorEastAsia" w:hAnsiTheme="minorEastAsia"/>
          <w:sz w:val="21"/>
          <w:szCs w:val="21"/>
          <w:lang w:val="en-US" w:eastAsia="zh-CN"/>
        </w:rPr>
        <w:sectPr w:rsidSect="00143DB7">
          <w:headerReference w:type="default" r:id="rId16"/>
          <w:footerReference w:type="default" r:id="rId17"/>
          <w:type w:val="nextPage"/>
          <w:pgSz w:w="11906" w:h="16838"/>
          <w:pgMar w:top="1814" w:right="1418" w:bottom="1418" w:left="1701" w:header="851" w:footer="992" w:gutter="0"/>
          <w:pgNumType w:start="5"/>
          <w:cols w:space="425"/>
          <w:titlePg w:val="0"/>
          <w:docGrid w:linePitch="312"/>
        </w:sectPr>
      </w:pPr>
      <w:r>
        <w:rPr>
          <w:rFonts w:asciiTheme="minorEastAsia" w:eastAsiaTheme="minorEastAsia" w:hAnsiTheme="minorEastAsia" w:hint="eastAsia"/>
          <w:sz w:val="21"/>
          <w:szCs w:val="21"/>
          <w:lang w:val="en-US" w:eastAsia="zh-CN"/>
        </w:rPr>
        <w:t>提供一定数量的</w:t>
      </w:r>
      <w:r>
        <w:rPr>
          <w:rFonts w:asciiTheme="minorEastAsia" w:eastAsiaTheme="minorEastAsia" w:hAnsiTheme="minorEastAsia" w:hint="eastAsia"/>
          <w:sz w:val="21"/>
          <w:szCs w:val="21"/>
          <w:lang w:val="en-US" w:eastAsia="zh-CN"/>
        </w:rPr>
        <w:t>绑扎线</w:t>
      </w:r>
      <w:r>
        <w:rPr>
          <w:rFonts w:asciiTheme="minorEastAsia" w:eastAsiaTheme="minorEastAsia" w:hAnsiTheme="minorEastAsia" w:hint="eastAsia"/>
          <w:sz w:val="21"/>
          <w:szCs w:val="21"/>
          <w:lang w:val="en-US" w:eastAsia="zh-CN"/>
        </w:rPr>
        <w:t>配件，方便</w:t>
      </w:r>
      <w:r>
        <w:rPr>
          <w:rFonts w:asciiTheme="minorEastAsia" w:eastAsiaTheme="minorEastAsia" w:hAnsiTheme="minorEastAsia" w:hint="eastAsia"/>
          <w:sz w:val="21"/>
          <w:szCs w:val="21"/>
          <w:lang w:val="en-US" w:eastAsia="zh-CN"/>
        </w:rPr>
        <w:t>绑扎线</w:t>
      </w:r>
      <w:r>
        <w:rPr>
          <w:rFonts w:asciiTheme="minorEastAsia" w:eastAsiaTheme="minorEastAsia" w:hAnsiTheme="minorEastAsia" w:hint="eastAsia"/>
          <w:sz w:val="21"/>
          <w:szCs w:val="21"/>
          <w:lang w:val="en-US" w:eastAsia="zh-CN"/>
        </w:rPr>
        <w:t xml:space="preserve">的基本要求。 </w:t>
      </w:r>
    </w:p>
    <w:p w:rsidR="00E34CE8" w14:paraId="4B0AC577"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机械强度要求 </w:t>
      </w:r>
    </w:p>
    <w:p w:rsidR="00E34CE8" w14:paraId="77464370" w14:textId="77777777">
      <w:pPr>
        <w:spacing w:before="120" w:beforeLines="50" w:after="120" w:afterLines="50"/>
        <w:ind w:left="1077"/>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充电设备的壳体在运输或承受冲击载荷后，性能和防护等级应没有降低；不因永久或暂时变形而使带电部分和外壳相接触，不应破坏国标规定的充电设备电气 绝缘性能。 </w:t>
      </w:r>
    </w:p>
    <w:p w:rsidR="00E34CE8" w14:paraId="5D961E64"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工厂检验和监造 </w:t>
      </w:r>
    </w:p>
    <w:p w:rsidR="00E34CE8" w:rsidP="00561FC5" w14:paraId="6318C229" w14:textId="77777777">
      <w:pPr>
        <w:numPr>
          <w:ilvl w:val="0"/>
          <w:numId w:val="8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业主有权派遣其检验人员到承包单位及其设备厂家的生产工厂，对合同范围内的设备加工制造进行检验和监造。 </w:t>
      </w:r>
    </w:p>
    <w:p w:rsidR="00E34CE8" w:rsidP="00561FC5" w14:paraId="47DD84F2" w14:textId="77777777">
      <w:pPr>
        <w:numPr>
          <w:ilvl w:val="0"/>
          <w:numId w:val="8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如经检验和试验有不符合技术规范的合同设备，业主有权拒绝接收，充电</w:t>
      </w:r>
      <w:r>
        <w:rPr>
          <w:rFonts w:asciiTheme="minorEastAsia" w:eastAsiaTheme="minorEastAsia" w:hAnsiTheme="minorEastAsia" w:hint="eastAsia"/>
          <w:sz w:val="21"/>
          <w:szCs w:val="21"/>
          <w:lang w:val="en-US" w:eastAsia="zh-CN"/>
        </w:rPr>
        <w:t>桩系统</w:t>
      </w:r>
      <w:r>
        <w:rPr>
          <w:rFonts w:asciiTheme="minorEastAsia" w:eastAsiaTheme="minorEastAsia" w:hAnsiTheme="minorEastAsia" w:hint="eastAsia"/>
          <w:sz w:val="21"/>
          <w:szCs w:val="21"/>
          <w:lang w:val="en-US" w:eastAsia="zh-CN"/>
        </w:rPr>
        <w:t xml:space="preserve">装置承包单位应无偿给予更换。 </w:t>
      </w:r>
    </w:p>
    <w:p w:rsidR="00E34CE8" w:rsidP="00561FC5" w14:paraId="184220E4" w14:textId="77777777">
      <w:pPr>
        <w:numPr>
          <w:ilvl w:val="0"/>
          <w:numId w:val="8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充电</w:t>
      </w:r>
      <w:r>
        <w:rPr>
          <w:rFonts w:asciiTheme="minorEastAsia" w:eastAsiaTheme="minorEastAsia" w:hAnsiTheme="minorEastAsia" w:hint="eastAsia"/>
          <w:sz w:val="21"/>
          <w:szCs w:val="21"/>
          <w:lang w:val="en-US" w:eastAsia="zh-CN"/>
        </w:rPr>
        <w:t>桩设备</w:t>
      </w:r>
      <w:r>
        <w:rPr>
          <w:rFonts w:asciiTheme="minorEastAsia" w:eastAsiaTheme="minorEastAsia" w:hAnsiTheme="minorEastAsia" w:hint="eastAsia"/>
          <w:sz w:val="21"/>
          <w:szCs w:val="21"/>
          <w:lang w:val="en-US" w:eastAsia="zh-CN"/>
        </w:rPr>
        <w:t>运到工地业主指定位置后，业主有进行检验、试验和拒收（如必要时）的权力，充电桩装置承包单位不得因该合同设备在原产地发运，并已由业主或其代表进行监造和检验并已通过作为理由而受到限制。监造人员参加工厂试验，包括会签任何试验结果，既</w:t>
      </w:r>
      <w:r>
        <w:rPr>
          <w:rFonts w:asciiTheme="minorEastAsia" w:eastAsiaTheme="minorEastAsia" w:hAnsiTheme="minorEastAsia" w:hint="eastAsia"/>
          <w:sz w:val="21"/>
          <w:szCs w:val="21"/>
          <w:lang w:val="en-US" w:eastAsia="zh-CN"/>
        </w:rPr>
        <w:t>不</w:t>
      </w:r>
      <w:r>
        <w:rPr>
          <w:rFonts w:asciiTheme="minorEastAsia" w:eastAsiaTheme="minorEastAsia" w:hAnsiTheme="minorEastAsia" w:hint="eastAsia"/>
          <w:sz w:val="21"/>
          <w:szCs w:val="21"/>
          <w:lang w:val="en-US" w:eastAsia="zh-CN"/>
        </w:rPr>
        <w:t>免除</w:t>
      </w:r>
      <w:r>
        <w:rPr>
          <w:rFonts w:asciiTheme="minorEastAsia" w:eastAsiaTheme="minorEastAsia" w:hAnsiTheme="minorEastAsia" w:hint="eastAsia"/>
          <w:sz w:val="21"/>
          <w:szCs w:val="21"/>
          <w:lang w:val="en-US" w:eastAsia="zh-CN"/>
        </w:rPr>
        <w:t>本承包</w:t>
      </w:r>
      <w:r>
        <w:rPr>
          <w:rFonts w:asciiTheme="minorEastAsia" w:eastAsiaTheme="minorEastAsia" w:hAnsiTheme="minorEastAsia" w:hint="eastAsia"/>
          <w:sz w:val="21"/>
          <w:szCs w:val="21"/>
          <w:lang w:val="en-US" w:eastAsia="zh-CN"/>
        </w:rPr>
        <w:t xml:space="preserve">单位按合同规定应负的责任，也不能代替合同设备到达工地后业主及相关单位的检验。 </w:t>
      </w:r>
    </w:p>
    <w:p w:rsidR="00E34CE8" w:rsidP="00561FC5" w14:paraId="3BF490A9" w14:textId="77777777">
      <w:pPr>
        <w:numPr>
          <w:ilvl w:val="0"/>
          <w:numId w:val="8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本承包</w:t>
      </w:r>
      <w:r>
        <w:rPr>
          <w:rFonts w:asciiTheme="minorEastAsia" w:eastAsiaTheme="minorEastAsia" w:hAnsiTheme="minorEastAsia" w:hint="eastAsia"/>
          <w:sz w:val="21"/>
          <w:szCs w:val="21"/>
          <w:lang w:val="en-US" w:eastAsia="zh-CN"/>
        </w:rPr>
        <w:t xml:space="preserve">单位应在开始进行工厂生产前 </w:t>
      </w:r>
      <w:r>
        <w:rPr>
          <w:rFonts w:asciiTheme="minorEastAsia" w:eastAsiaTheme="minorEastAsia" w:hAnsiTheme="minorEastAsia"/>
          <w:sz w:val="21"/>
          <w:szCs w:val="21"/>
          <w:lang w:val="en-US" w:eastAsia="zh-CN"/>
        </w:rPr>
        <w:t xml:space="preserve">10 </w:t>
      </w:r>
      <w:r>
        <w:rPr>
          <w:rFonts w:asciiTheme="minorEastAsia" w:eastAsiaTheme="minorEastAsia" w:hAnsiTheme="minorEastAsia" w:hint="eastAsia"/>
          <w:sz w:val="21"/>
          <w:szCs w:val="21"/>
          <w:lang w:val="en-US" w:eastAsia="zh-CN"/>
        </w:rPr>
        <w:t>天通知</w:t>
      </w:r>
      <w:r>
        <w:rPr>
          <w:rFonts w:asciiTheme="minorEastAsia" w:eastAsiaTheme="minorEastAsia" w:hAnsiTheme="minorEastAsia" w:hint="eastAsia"/>
          <w:sz w:val="21"/>
          <w:szCs w:val="21"/>
          <w:lang w:val="en-US" w:eastAsia="zh-CN"/>
        </w:rPr>
        <w:t xml:space="preserve">业主其日程安排。根据这个日程安排，业主确定要见证的项目，并在 </w:t>
      </w:r>
      <w:r>
        <w:rPr>
          <w:rFonts w:asciiTheme="minorEastAsia" w:eastAsiaTheme="minorEastAsia" w:hAnsiTheme="minorEastAsia"/>
          <w:sz w:val="21"/>
          <w:szCs w:val="21"/>
          <w:lang w:val="en-US" w:eastAsia="zh-CN"/>
        </w:rPr>
        <w:t xml:space="preserve">3 </w:t>
      </w:r>
      <w:r>
        <w:rPr>
          <w:rFonts w:asciiTheme="minorEastAsia" w:eastAsiaTheme="minorEastAsia" w:hAnsiTheme="minorEastAsia" w:hint="eastAsia"/>
          <w:sz w:val="21"/>
          <w:szCs w:val="21"/>
          <w:lang w:val="en-US" w:eastAsia="zh-CN"/>
        </w:rPr>
        <w:t>天内通知</w:t>
      </w:r>
      <w:r>
        <w:rPr>
          <w:rFonts w:asciiTheme="minorEastAsia" w:eastAsiaTheme="minorEastAsia" w:hAnsiTheme="minorEastAsia" w:hint="eastAsia"/>
          <w:sz w:val="21"/>
          <w:szCs w:val="21"/>
          <w:lang w:val="en-US" w:eastAsia="zh-CN"/>
        </w:rPr>
        <w:t>本承包</w:t>
      </w:r>
      <w:r>
        <w:rPr>
          <w:rFonts w:asciiTheme="minorEastAsia" w:eastAsiaTheme="minorEastAsia" w:hAnsiTheme="minorEastAsia" w:hint="eastAsia"/>
          <w:sz w:val="21"/>
          <w:szCs w:val="21"/>
          <w:lang w:val="en-US" w:eastAsia="zh-CN"/>
        </w:rPr>
        <w:t>单位。监造人员前往承包单位和（或）其厂家的生产现场，观察和了解该合同设备工厂生产、试验的情况及其运输包装的情况时，若发现任</w:t>
      </w:r>
      <w:r>
        <w:rPr>
          <w:rFonts w:asciiTheme="minorEastAsia" w:eastAsiaTheme="minorEastAsia" w:hAnsiTheme="minorEastAsia" w:hint="eastAsia"/>
          <w:sz w:val="21"/>
          <w:szCs w:val="21"/>
          <w:lang w:val="en-US" w:eastAsia="zh-CN"/>
        </w:rPr>
        <w:t>一</w:t>
      </w:r>
      <w:r>
        <w:rPr>
          <w:rFonts w:asciiTheme="minorEastAsia" w:eastAsiaTheme="minorEastAsia" w:hAnsiTheme="minorEastAsia" w:hint="eastAsia"/>
          <w:sz w:val="21"/>
          <w:szCs w:val="21"/>
          <w:lang w:val="en-US" w:eastAsia="zh-CN"/>
        </w:rPr>
        <w:t>货物的质量不符合合同规定的标准，或包装不满足要求，监造人员有权发表意见，</w:t>
      </w:r>
      <w:r>
        <w:rPr>
          <w:rFonts w:asciiTheme="minorEastAsia" w:eastAsiaTheme="minorEastAsia" w:hAnsiTheme="minorEastAsia" w:hint="eastAsia"/>
          <w:sz w:val="21"/>
          <w:szCs w:val="21"/>
          <w:lang w:val="en-US" w:eastAsia="zh-CN"/>
        </w:rPr>
        <w:t>本承包</w:t>
      </w:r>
      <w:r>
        <w:rPr>
          <w:rFonts w:asciiTheme="minorEastAsia" w:eastAsiaTheme="minorEastAsia" w:hAnsiTheme="minorEastAsia" w:hint="eastAsia"/>
          <w:sz w:val="21"/>
          <w:szCs w:val="21"/>
          <w:lang w:val="en-US" w:eastAsia="zh-CN"/>
        </w:rPr>
        <w:t xml:space="preserve">单位应认真考虑其意见，并采取必要措施以确保合同设备的质量。 </w:t>
      </w:r>
    </w:p>
    <w:p w:rsidR="00E34CE8" w:rsidP="00561FC5" w14:paraId="305E8853" w14:textId="77777777">
      <w:pPr>
        <w:numPr>
          <w:ilvl w:val="0"/>
          <w:numId w:val="8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若业主未派或未按时派监造人员参加上述试验，</w:t>
      </w:r>
      <w:r>
        <w:rPr>
          <w:rFonts w:asciiTheme="minorEastAsia" w:eastAsiaTheme="minorEastAsia" w:hAnsiTheme="minorEastAsia" w:hint="eastAsia"/>
          <w:sz w:val="21"/>
          <w:szCs w:val="21"/>
          <w:lang w:val="en-US" w:eastAsia="zh-CN"/>
        </w:rPr>
        <w:t>本承包</w:t>
      </w:r>
      <w:r>
        <w:rPr>
          <w:rFonts w:asciiTheme="minorEastAsia" w:eastAsiaTheme="minorEastAsia" w:hAnsiTheme="minorEastAsia" w:hint="eastAsia"/>
          <w:sz w:val="21"/>
          <w:szCs w:val="21"/>
          <w:lang w:val="en-US" w:eastAsia="zh-CN"/>
        </w:rPr>
        <w:t xml:space="preserve">单位应在接到业主相关通知后，自行组织检验。 </w:t>
      </w:r>
    </w:p>
    <w:p w:rsidR="00E34CE8" w14:paraId="35A0A554"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试验 </w:t>
      </w:r>
    </w:p>
    <w:p w:rsidR="00E34CE8" w:rsidP="00561FC5" w14:paraId="6EF364CC" w14:textId="77777777">
      <w:pPr>
        <w:numPr>
          <w:ilvl w:val="0"/>
          <w:numId w:val="4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应按相关标准进行型式试验、出厂试验和现场交接试验。型式试验应由国家电网公司认可的检验检测机构出具报告，现场交接试验可与业主协商进行。 </w:t>
      </w:r>
    </w:p>
    <w:p w:rsidR="00E34CE8" w:rsidP="00561FC5" w14:paraId="0A6EEBC9" w14:textId="77777777">
      <w:pPr>
        <w:numPr>
          <w:ilvl w:val="0"/>
          <w:numId w:val="4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充电桩装置各主要部件应进行材料试验，以确认部件和材料是否有缺陷，并应检查部件的设计和结构是否满足本规范书要求。 </w:t>
      </w:r>
    </w:p>
    <w:p w:rsidR="00E34CE8" w:rsidP="00561FC5" w14:paraId="5C58334B" w14:textId="77777777">
      <w:pPr>
        <w:numPr>
          <w:ilvl w:val="0"/>
          <w:numId w:val="40"/>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在交货前，充电机应在工厂进行全面检查以确保设备功能的完好性、适应性和满足本规范书及相关国家及深圳市的标准、规范的要求。 </w:t>
      </w:r>
    </w:p>
    <w:p w:rsidR="00E34CE8" w14:paraId="3EB4A3B5"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施工及安装要求 </w:t>
      </w:r>
    </w:p>
    <w:p w:rsidR="00E34CE8" w:rsidP="00561FC5" w14:paraId="32F919F7"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设备到现场后，应进行抽检，抽检合格后方可进入现场安装。抽验不合格，全部返回原厂整改，再次到现场进行抽查。 </w:t>
      </w:r>
    </w:p>
    <w:p w:rsidR="00E34CE8" w:rsidP="00561FC5" w14:paraId="1965EFF3"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应能满足 </w:t>
      </w:r>
      <w:r>
        <w:rPr>
          <w:rFonts w:asciiTheme="minorEastAsia" w:eastAsiaTheme="minorEastAsia" w:hAnsiTheme="minorEastAsia"/>
          <w:sz w:val="21"/>
          <w:szCs w:val="21"/>
          <w:lang w:val="en-US" w:eastAsia="zh-CN"/>
        </w:rPr>
        <w:t xml:space="preserve">GB/T 6587-2012 </w:t>
      </w:r>
      <w:r>
        <w:rPr>
          <w:rFonts w:asciiTheme="minorEastAsia" w:eastAsiaTheme="minorEastAsia" w:hAnsiTheme="minorEastAsia" w:hint="eastAsia"/>
          <w:sz w:val="21"/>
          <w:szCs w:val="21"/>
          <w:lang w:val="en-US" w:eastAsia="zh-CN"/>
        </w:rPr>
        <w:t xml:space="preserve">中 </w:t>
      </w:r>
      <w:r>
        <w:rPr>
          <w:rFonts w:asciiTheme="minorEastAsia" w:eastAsiaTheme="minorEastAsia" w:hAnsiTheme="minorEastAsia"/>
          <w:sz w:val="21"/>
          <w:szCs w:val="21"/>
          <w:lang w:val="en-US" w:eastAsia="zh-CN"/>
        </w:rPr>
        <w:t xml:space="preserve">5.9.3 </w:t>
      </w:r>
      <w:r>
        <w:rPr>
          <w:rFonts w:asciiTheme="minorEastAsia" w:eastAsiaTheme="minorEastAsia" w:hAnsiTheme="minorEastAsia" w:hint="eastAsia"/>
          <w:sz w:val="21"/>
          <w:szCs w:val="21"/>
          <w:lang w:val="en-US" w:eastAsia="zh-CN"/>
        </w:rPr>
        <w:t xml:space="preserve">的振动试验要求和 </w:t>
      </w:r>
      <w:r>
        <w:rPr>
          <w:rFonts w:asciiTheme="minorEastAsia" w:eastAsiaTheme="minorEastAsia" w:hAnsiTheme="minorEastAsia"/>
          <w:sz w:val="21"/>
          <w:szCs w:val="21"/>
          <w:lang w:val="en-US" w:eastAsia="zh-CN"/>
        </w:rPr>
        <w:t xml:space="preserve">GB/T 6587-2012 </w:t>
      </w:r>
      <w:r>
        <w:rPr>
          <w:rFonts w:asciiTheme="minorEastAsia" w:eastAsiaTheme="minorEastAsia" w:hAnsiTheme="minorEastAsia" w:hint="eastAsia"/>
          <w:sz w:val="21"/>
          <w:szCs w:val="21"/>
          <w:lang w:val="en-US" w:eastAsia="zh-CN"/>
        </w:rPr>
        <w:t xml:space="preserve">中 </w:t>
      </w:r>
      <w:r>
        <w:rPr>
          <w:rFonts w:asciiTheme="minorEastAsia" w:eastAsiaTheme="minorEastAsia" w:hAnsiTheme="minorEastAsia"/>
          <w:sz w:val="21"/>
          <w:szCs w:val="21"/>
          <w:lang w:val="en-US" w:eastAsia="zh-CN"/>
        </w:rPr>
        <w:t xml:space="preserve">5.9.4 </w:t>
      </w:r>
      <w:r>
        <w:rPr>
          <w:rFonts w:asciiTheme="minorEastAsia" w:eastAsiaTheme="minorEastAsia" w:hAnsiTheme="minorEastAsia" w:hint="eastAsia"/>
          <w:sz w:val="21"/>
          <w:szCs w:val="21"/>
          <w:lang w:val="en-US" w:eastAsia="zh-CN"/>
        </w:rPr>
        <w:t xml:space="preserve">冲击试验的要求。 </w:t>
      </w:r>
    </w:p>
    <w:p w:rsidR="00E34CE8" w:rsidP="00561FC5" w14:paraId="76B3013C"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交流</w:t>
      </w:r>
      <w:r>
        <w:rPr>
          <w:rFonts w:asciiTheme="minorEastAsia" w:eastAsiaTheme="minorEastAsia" w:hAnsiTheme="minorEastAsia" w:hint="eastAsia"/>
          <w:sz w:val="21"/>
          <w:szCs w:val="21"/>
          <w:lang w:val="en-US" w:eastAsia="zh-CN"/>
        </w:rPr>
        <w:t>充电桩内印刷</w:t>
      </w:r>
      <w:r>
        <w:rPr>
          <w:rFonts w:asciiTheme="minorEastAsia" w:eastAsiaTheme="minorEastAsia" w:hAnsiTheme="minorEastAsia" w:hint="eastAsia"/>
          <w:sz w:val="21"/>
          <w:szCs w:val="21"/>
          <w:lang w:val="en-US" w:eastAsia="zh-CN"/>
        </w:rPr>
        <w:t xml:space="preserve">线路板、接插件等电路应进行防潮湿、防霉变、防盐雾处理，保证充电机能在室外潮湿、含盐雾的环境下正常运行。 </w:t>
      </w:r>
    </w:p>
    <w:p w:rsidR="00E34CE8" w:rsidP="00561FC5" w14:paraId="4C435155"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充电桩桩体内部线束，应排布整齐、规整，标识清楚，捆扎牢固。 </w:t>
      </w:r>
    </w:p>
    <w:p w:rsidR="00E34CE8" w:rsidP="00561FC5" w14:paraId="4D941181"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交流充电桩铁质外壳和暴露在外的铁质支架、零件应采取双层防锈措施，非铁质的金属外壳也应具有防氧化保护膜或进行防氧化处理。 </w:t>
      </w:r>
    </w:p>
    <w:p w:rsidR="00E34CE8" w:rsidP="00561FC5" w14:paraId="447063B8"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非绝缘材料外壳应可靠接地。 </w:t>
      </w:r>
    </w:p>
    <w:p w:rsidR="00E34CE8" w:rsidP="00561FC5" w14:paraId="26AE6C3A"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sectPr w:rsidSect="00143DB7">
          <w:headerReference w:type="default" r:id="rId18"/>
          <w:footerReference w:type="default" r:id="rId19"/>
          <w:type w:val="nextPage"/>
          <w:pgSz w:w="11906" w:h="16838"/>
          <w:pgMar w:top="1814" w:right="1418" w:bottom="1418" w:left="1701" w:header="851" w:footer="992" w:gutter="0"/>
          <w:pgNumType w:start="6"/>
          <w:cols w:space="425"/>
          <w:titlePg w:val="0"/>
          <w:docGrid w:linePitch="312"/>
        </w:sectPr>
      </w:pPr>
      <w:r>
        <w:rPr>
          <w:rFonts w:asciiTheme="minorEastAsia" w:eastAsiaTheme="minorEastAsia" w:hAnsiTheme="minorEastAsia" w:hint="eastAsia"/>
          <w:sz w:val="21"/>
          <w:szCs w:val="21"/>
          <w:lang w:val="en-US" w:eastAsia="zh-CN"/>
        </w:rPr>
        <w:t xml:space="preserve">充电桩金属壳体应设置接地螺栓，其直径不得小于 </w:t>
      </w:r>
      <w:r>
        <w:rPr>
          <w:rFonts w:asciiTheme="minorEastAsia" w:eastAsiaTheme="minorEastAsia" w:hAnsiTheme="minorEastAsia"/>
          <w:sz w:val="21"/>
          <w:szCs w:val="21"/>
          <w:lang w:val="en-US" w:eastAsia="zh-CN"/>
        </w:rPr>
        <w:t>6mm</w:t>
      </w:r>
      <w:r>
        <w:rPr>
          <w:rFonts w:asciiTheme="minorEastAsia" w:eastAsiaTheme="minorEastAsia" w:hAnsiTheme="minorEastAsia" w:hint="eastAsia"/>
          <w:sz w:val="21"/>
          <w:szCs w:val="21"/>
          <w:lang w:val="en-US" w:eastAsia="zh-CN"/>
        </w:rPr>
        <w:t>，并应有接地标志。</w:t>
      </w:r>
    </w:p>
    <w:p w:rsidR="00E34CE8" w:rsidP="00561FC5" w14:paraId="0C7AB382"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所有作为隔离电导体的金属隔板、电气元件的金属外壳及金属手柄等均应有</w:t>
      </w:r>
      <w:r>
        <w:rPr>
          <w:rFonts w:asciiTheme="minorEastAsia" w:eastAsiaTheme="minorEastAsia" w:hAnsiTheme="minorEastAsia" w:hint="eastAsia"/>
          <w:sz w:val="21"/>
          <w:szCs w:val="21"/>
          <w:lang w:val="en-US" w:eastAsia="zh-CN"/>
        </w:rPr>
        <w:t>效</w:t>
      </w:r>
      <w:r>
        <w:rPr>
          <w:rFonts w:asciiTheme="minorEastAsia" w:eastAsiaTheme="minorEastAsia" w:hAnsiTheme="minorEastAsia" w:hint="eastAsia"/>
          <w:sz w:val="21"/>
          <w:szCs w:val="21"/>
          <w:lang w:val="en-US" w:eastAsia="zh-CN"/>
        </w:rPr>
        <w:t xml:space="preserve">接地，连续性电阻不应大于 </w:t>
      </w:r>
      <w:r>
        <w:rPr>
          <w:rFonts w:asciiTheme="minorEastAsia" w:eastAsiaTheme="minorEastAsia" w:hAnsiTheme="minorEastAsia"/>
          <w:sz w:val="21"/>
          <w:szCs w:val="21"/>
          <w:lang w:val="en-US" w:eastAsia="zh-CN"/>
        </w:rPr>
        <w:t>0.1</w:t>
      </w:r>
      <w:r>
        <w:rPr>
          <w:rFonts w:asciiTheme="minorEastAsia" w:eastAsiaTheme="minorEastAsia" w:hAnsiTheme="minorEastAsia" w:hint="eastAsia"/>
          <w:sz w:val="21"/>
          <w:szCs w:val="21"/>
          <w:lang w:val="en-US" w:eastAsia="zh-CN"/>
        </w:rPr>
        <w:t xml:space="preserve">Ω。 </w:t>
      </w:r>
    </w:p>
    <w:p w:rsidR="00E34CE8" w:rsidP="00561FC5" w14:paraId="5A452BCF"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充电桩的门、盖板、覆板和类似部件，应采用保护导体将这些部件和充电</w:t>
      </w:r>
      <w:r>
        <w:rPr>
          <w:rFonts w:asciiTheme="minorEastAsia" w:eastAsiaTheme="minorEastAsia" w:hAnsiTheme="minorEastAsia" w:hint="eastAsia"/>
          <w:sz w:val="21"/>
          <w:szCs w:val="21"/>
          <w:lang w:val="en-US" w:eastAsia="zh-CN"/>
        </w:rPr>
        <w:t>桩主体</w:t>
      </w:r>
      <w:r>
        <w:rPr>
          <w:rFonts w:asciiTheme="minorEastAsia" w:eastAsiaTheme="minorEastAsia" w:hAnsiTheme="minorEastAsia" w:hint="eastAsia"/>
          <w:sz w:val="21"/>
          <w:szCs w:val="21"/>
          <w:lang w:val="en-US" w:eastAsia="zh-CN"/>
        </w:rPr>
        <w:t>框架连接，此保护导体的截面</w:t>
      </w:r>
      <w:r>
        <w:rPr>
          <w:rFonts w:asciiTheme="minorEastAsia" w:eastAsiaTheme="minorEastAsia" w:hAnsiTheme="minorEastAsia" w:hint="eastAsia"/>
          <w:sz w:val="21"/>
          <w:szCs w:val="21"/>
          <w:lang w:val="en-US" w:eastAsia="zh-CN"/>
        </w:rPr>
        <w:t>积不得</w:t>
      </w:r>
      <w:r>
        <w:rPr>
          <w:rFonts w:asciiTheme="minorEastAsia" w:eastAsiaTheme="minorEastAsia" w:hAnsiTheme="minorEastAsia" w:hint="eastAsia"/>
          <w:sz w:val="21"/>
          <w:szCs w:val="21"/>
          <w:lang w:val="en-US" w:eastAsia="zh-CN"/>
        </w:rPr>
        <w:t xml:space="preserve">小于 </w:t>
      </w:r>
      <w:r>
        <w:rPr>
          <w:rFonts w:asciiTheme="minorEastAsia" w:eastAsiaTheme="minorEastAsia" w:hAnsiTheme="minorEastAsia"/>
          <w:sz w:val="21"/>
          <w:szCs w:val="21"/>
          <w:lang w:val="en-US" w:eastAsia="zh-CN"/>
        </w:rPr>
        <w:t>2.5mm2</w:t>
      </w:r>
      <w:r>
        <w:rPr>
          <w:rFonts w:asciiTheme="minorEastAsia" w:eastAsiaTheme="minorEastAsia" w:hAnsiTheme="minorEastAsia" w:hint="eastAsia"/>
          <w:sz w:val="21"/>
          <w:szCs w:val="21"/>
          <w:lang w:val="en-US" w:eastAsia="zh-CN"/>
        </w:rPr>
        <w:t xml:space="preserve">。 </w:t>
      </w:r>
    </w:p>
    <w:p w:rsidR="00E34CE8" w:rsidP="00561FC5" w14:paraId="2AAE9D23"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接地母线和柜体之间的所有连接应避开（或穿透绝缘层）喷漆层，以保证有效的电气连接。 </w:t>
      </w:r>
    </w:p>
    <w:p w:rsidR="00E34CE8" w:rsidP="00561FC5" w14:paraId="07CF01A3"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现场验收试验的时间和条件由业主根据现场安装和调试的进度确定。 </w:t>
      </w:r>
    </w:p>
    <w:p w:rsidR="00E34CE8" w:rsidP="00561FC5" w14:paraId="2B7E8D5A"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现场验收试验主要目的是检验系统的各项功能是否实现，系统的性能指标是否达到。 </w:t>
      </w:r>
    </w:p>
    <w:p w:rsidR="00E34CE8" w:rsidP="00561FC5" w14:paraId="310185F2"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现场验收结束后，进行 </w:t>
      </w:r>
      <w:r>
        <w:rPr>
          <w:rFonts w:asciiTheme="minorEastAsia" w:eastAsiaTheme="minorEastAsia" w:hAnsiTheme="minorEastAsia"/>
          <w:sz w:val="21"/>
          <w:szCs w:val="21"/>
          <w:lang w:val="en-US" w:eastAsia="zh-CN"/>
        </w:rPr>
        <w:t xml:space="preserve">72 </w:t>
      </w:r>
      <w:r>
        <w:rPr>
          <w:rFonts w:asciiTheme="minorEastAsia" w:eastAsiaTheme="minorEastAsia" w:hAnsiTheme="minorEastAsia" w:hint="eastAsia"/>
          <w:sz w:val="21"/>
          <w:szCs w:val="21"/>
          <w:lang w:val="en-US" w:eastAsia="zh-CN"/>
        </w:rPr>
        <w:t xml:space="preserve">小时的稳定性试验，试验要求同工厂验收试验。 </w:t>
      </w:r>
    </w:p>
    <w:p w:rsidR="00E34CE8" w:rsidP="00561FC5" w14:paraId="227C5CFF"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 xml:space="preserve">72 </w:t>
      </w:r>
      <w:r>
        <w:rPr>
          <w:rFonts w:asciiTheme="minorEastAsia" w:eastAsiaTheme="minorEastAsia" w:hAnsiTheme="minorEastAsia" w:hint="eastAsia"/>
          <w:sz w:val="21"/>
          <w:szCs w:val="21"/>
          <w:lang w:val="en-US" w:eastAsia="zh-CN"/>
        </w:rPr>
        <w:t xml:space="preserve">小时稳定性试验结束后，标志现场验收试验结束，双方将签字确认试验结果。 </w:t>
      </w:r>
    </w:p>
    <w:p w:rsidR="00E34CE8" w:rsidP="00561FC5" w14:paraId="18087270"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在试验和调试期间所有损坏的供货范围内设备，充电桩装置承包单位应免费予以更换。 </w:t>
      </w:r>
    </w:p>
    <w:p w:rsidR="00E34CE8" w:rsidP="00561FC5" w14:paraId="171AF753" w14:textId="77777777">
      <w:pPr>
        <w:numPr>
          <w:ilvl w:val="0"/>
          <w:numId w:val="41"/>
        </w:numPr>
        <w:spacing w:before="120" w:beforeLines="50" w:after="120" w:afterLines="50"/>
        <w:ind w:left="1655" w:hanging="578"/>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 xml:space="preserve">验收试验结束后，充电桩装置承包单位的现场技术人员应负责完整备份系统软件，并提供给业主。 </w:t>
      </w:r>
    </w:p>
    <w:p w:rsidR="00E34CE8" w:rsidRPr="00F36428" w:rsidP="00F36428" w14:paraId="008EED51"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F36428">
        <w:rPr>
          <w:rFonts w:asciiTheme="minorEastAsia" w:eastAsiaTheme="minorEastAsia" w:hAnsiTheme="minorEastAsia" w:hint="eastAsia"/>
          <w:sz w:val="21"/>
          <w:szCs w:val="21"/>
          <w:lang w:val="en-US" w:eastAsia="zh-CN"/>
        </w:rPr>
        <w:t xml:space="preserve">运营需求 </w:t>
      </w:r>
    </w:p>
    <w:p w:rsidR="00E34CE8" w14:paraId="0632FED1" w14:textId="38B80FF2">
      <w:pPr>
        <w:spacing w:before="120" w:beforeLines="50" w:after="120" w:afterLines="50"/>
        <w:ind w:left="1077"/>
        <w:jc w:val="both"/>
        <w:outlineLvl w:val="3"/>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充电</w:t>
      </w:r>
      <w:r>
        <w:rPr>
          <w:rFonts w:asciiTheme="minorEastAsia" w:eastAsiaTheme="minorEastAsia" w:hAnsiTheme="minorEastAsia" w:hint="eastAsia"/>
          <w:sz w:val="21"/>
          <w:szCs w:val="21"/>
          <w:lang w:val="en-US" w:eastAsia="zh-CN"/>
        </w:rPr>
        <w:t>桩设备</w:t>
      </w:r>
      <w:r w:rsidR="00F36428">
        <w:rPr>
          <w:rFonts w:asciiTheme="minorEastAsia" w:eastAsiaTheme="minorEastAsia" w:hAnsiTheme="minorEastAsia" w:hint="eastAsia"/>
          <w:sz w:val="21"/>
          <w:szCs w:val="21"/>
          <w:lang w:val="en-US" w:eastAsia="zh-CN"/>
        </w:rPr>
        <w:t>预留</w:t>
      </w:r>
      <w:r>
        <w:rPr>
          <w:rFonts w:asciiTheme="minorEastAsia" w:eastAsiaTheme="minorEastAsia" w:hAnsiTheme="minorEastAsia" w:hint="eastAsia"/>
          <w:sz w:val="21"/>
          <w:szCs w:val="21"/>
          <w:lang w:val="en-US" w:eastAsia="zh-CN"/>
        </w:rPr>
        <w:t>满足项目物业及后期运营（自建系统）的使用要求。</w:t>
      </w:r>
    </w:p>
    <w:p w:rsidR="00F36428" w:rsidRPr="00F36428" w:rsidP="00F36428" w14:paraId="3559E2DE" w14:textId="19DB3D9D">
      <w:pPr>
        <w:pStyle w:val="ReportLevel2"/>
        <w:spacing w:before="240" w:beforeLines="100" w:after="240" w:afterLines="100"/>
        <w:rPr>
          <w:rFonts w:asciiTheme="minorEastAsia" w:eastAsiaTheme="minorEastAsia" w:hAnsiTheme="minorEastAsia"/>
          <w:b/>
          <w:bCs/>
          <w:sz w:val="21"/>
          <w:szCs w:val="21"/>
          <w:lang w:val="en-US" w:eastAsia="zh-CN"/>
        </w:rPr>
      </w:pPr>
      <w:r w:rsidRPr="00F36428">
        <w:rPr>
          <w:rFonts w:asciiTheme="minorEastAsia" w:eastAsiaTheme="minorEastAsia" w:hAnsiTheme="minorEastAsia" w:hint="eastAsia"/>
          <w:b/>
          <w:bCs/>
          <w:sz w:val="21"/>
          <w:szCs w:val="21"/>
          <w:lang w:val="en-US" w:eastAsia="zh-CN"/>
        </w:rPr>
        <w:t>运营管理平台系统</w:t>
      </w:r>
    </w:p>
    <w:p w:rsidR="00F36428" w:rsidRPr="00F36428" w:rsidP="000A031E" w14:paraId="2295F8D9" w14:textId="714B0F6B">
      <w:pPr>
        <w:pStyle w:val="ListParagraph"/>
        <w:numPr>
          <w:ilvl w:val="1"/>
          <w:numId w:val="75"/>
        </w:numPr>
        <w:tabs>
          <w:tab w:val="num" w:pos="360"/>
        </w:tabs>
        <w:spacing w:before="120" w:beforeLines="50" w:after="120" w:afterLines="50"/>
        <w:jc w:val="both"/>
        <w:outlineLvl w:val="3"/>
        <w:rPr>
          <w:rFonts w:ascii="宋体" w:eastAsia="宋体" w:hAnsi="宋体" w:cs="宋体"/>
          <w:color w:val="000000"/>
          <w:sz w:val="21"/>
          <w:szCs w:val="21"/>
          <w:lang w:val="en-US" w:eastAsia="zh-CN" w:bidi="ar"/>
        </w:rPr>
      </w:pPr>
      <w:r w:rsidRPr="004914A1">
        <w:rPr>
          <w:rFonts w:ascii="宋体" w:eastAsia="宋体" w:hAnsi="宋体" w:cs="宋体" w:hint="eastAsia"/>
          <w:color w:val="000000"/>
          <w:sz w:val="21"/>
          <w:szCs w:val="21"/>
          <w:lang w:val="en-US" w:eastAsia="zh-CN" w:bidi="ar"/>
        </w:rPr>
        <w:t>提供接入的充电桩运营管理平台系统满足充电桩日常运营管理、用户管理、财务管理、安全合</w:t>
      </w:r>
      <w:r w:rsidRPr="004914A1">
        <w:rPr>
          <w:rFonts w:ascii="宋体" w:eastAsia="宋体" w:hAnsi="宋体" w:cs="宋体" w:hint="eastAsia"/>
          <w:color w:val="000000"/>
          <w:sz w:val="21"/>
          <w:szCs w:val="21"/>
          <w:lang w:val="en-US" w:eastAsia="zh-CN" w:bidi="ar"/>
        </w:rPr>
        <w:t>规</w:t>
      </w:r>
      <w:r w:rsidRPr="004914A1">
        <w:rPr>
          <w:rFonts w:ascii="宋体" w:eastAsia="宋体" w:hAnsi="宋体" w:cs="宋体" w:hint="eastAsia"/>
          <w:color w:val="000000"/>
          <w:sz w:val="21"/>
          <w:szCs w:val="21"/>
          <w:lang w:val="en-US" w:eastAsia="zh-CN" w:bidi="ar"/>
        </w:rPr>
        <w:t>管理、服务管理、报表分析等功能。</w:t>
      </w:r>
    </w:p>
    <w:p w:rsidR="00F36428" w:rsidP="000A031E" w14:paraId="4B73779F" w14:textId="59CB010E">
      <w:pPr>
        <w:pStyle w:val="ListParagraph"/>
        <w:numPr>
          <w:ilvl w:val="1"/>
          <w:numId w:val="75"/>
        </w:numPr>
        <w:tabs>
          <w:tab w:val="num" w:pos="360"/>
        </w:tabs>
        <w:spacing w:before="120" w:beforeLines="50" w:after="120" w:afterLines="50"/>
        <w:jc w:val="both"/>
        <w:outlineLvl w:val="3"/>
        <w:rPr>
          <w:rFonts w:ascii="宋体" w:eastAsia="宋体" w:hAnsi="宋体" w:cs="宋体"/>
          <w:color w:val="000000"/>
          <w:sz w:val="21"/>
          <w:szCs w:val="21"/>
          <w:lang w:val="en-US" w:eastAsia="zh-CN" w:bidi="ar"/>
        </w:rPr>
      </w:pPr>
      <w:r w:rsidRPr="00F36428">
        <w:rPr>
          <w:rFonts w:ascii="宋体" w:eastAsia="宋体" w:hAnsi="宋体" w:cs="宋体" w:hint="eastAsia"/>
          <w:color w:val="000000"/>
          <w:sz w:val="21"/>
          <w:szCs w:val="21"/>
          <w:lang w:val="en-US" w:eastAsia="zh-CN" w:bidi="ar"/>
        </w:rPr>
        <w:t>平台所有数据包括客户数据产权</w:t>
      </w:r>
      <w:r w:rsidRPr="00F36428">
        <w:rPr>
          <w:rFonts w:ascii="宋体" w:eastAsia="宋体" w:hAnsi="宋体" w:cs="宋体" w:hint="eastAsia"/>
          <w:color w:val="000000"/>
          <w:sz w:val="21"/>
          <w:szCs w:val="21"/>
          <w:lang w:val="en-US" w:eastAsia="zh-CN" w:bidi="ar"/>
        </w:rPr>
        <w:t>归</w:t>
      </w:r>
      <w:r>
        <w:rPr>
          <w:rFonts w:ascii="宋体" w:eastAsia="宋体" w:hAnsi="宋体" w:cs="宋体" w:hint="eastAsia"/>
          <w:color w:val="000000"/>
          <w:sz w:val="21"/>
          <w:szCs w:val="21"/>
          <w:lang w:val="en-US" w:eastAsia="zh-CN" w:bidi="ar"/>
        </w:rPr>
        <w:t>建设</w:t>
      </w:r>
      <w:r>
        <w:rPr>
          <w:rFonts w:ascii="宋体" w:eastAsia="宋体" w:hAnsi="宋体" w:cs="宋体" w:hint="eastAsia"/>
          <w:color w:val="000000"/>
          <w:sz w:val="21"/>
          <w:szCs w:val="21"/>
          <w:lang w:val="en-US" w:eastAsia="zh-CN" w:bidi="ar"/>
        </w:rPr>
        <w:t>方</w:t>
      </w:r>
      <w:r w:rsidRPr="00F36428">
        <w:rPr>
          <w:rFonts w:ascii="宋体" w:eastAsia="宋体" w:hAnsi="宋体" w:cs="宋体" w:hint="eastAsia"/>
          <w:color w:val="000000"/>
          <w:sz w:val="21"/>
          <w:szCs w:val="21"/>
          <w:lang w:val="en-US" w:eastAsia="zh-CN" w:bidi="ar"/>
        </w:rPr>
        <w:t>所有。</w:t>
      </w:r>
    </w:p>
    <w:p w:rsidR="00F36428" w:rsidP="000A031E" w14:paraId="00D7FA1F" w14:textId="4CD4B7E5">
      <w:pPr>
        <w:pStyle w:val="ListParagraph"/>
        <w:numPr>
          <w:ilvl w:val="1"/>
          <w:numId w:val="75"/>
        </w:numPr>
        <w:tabs>
          <w:tab w:val="num" w:pos="360"/>
        </w:tabs>
        <w:spacing w:before="120" w:beforeLines="50" w:after="120" w:afterLines="50"/>
        <w:jc w:val="both"/>
        <w:outlineLvl w:val="3"/>
        <w:rPr>
          <w:rFonts w:ascii="宋体" w:eastAsia="宋体" w:hAnsi="宋体" w:cs="宋体"/>
          <w:color w:val="000000"/>
          <w:sz w:val="21"/>
          <w:szCs w:val="21"/>
          <w:lang w:val="en-US" w:eastAsia="zh-CN" w:bidi="ar"/>
        </w:rPr>
      </w:pPr>
      <w:r w:rsidRPr="00F36428">
        <w:rPr>
          <w:rFonts w:ascii="宋体" w:eastAsia="宋体" w:hAnsi="宋体" w:cs="宋体" w:hint="eastAsia"/>
          <w:color w:val="000000"/>
          <w:sz w:val="21"/>
          <w:szCs w:val="21"/>
          <w:lang w:val="en-US" w:eastAsia="zh-CN" w:bidi="ar"/>
        </w:rPr>
        <w:t>如投标人产品发生功能升级，需向招标人提供同步升级服务。</w:t>
      </w:r>
    </w:p>
    <w:p w:rsidR="00F36428" w:rsidP="000A031E" w14:paraId="60C2E8D2" w14:textId="5E0CF138">
      <w:pPr>
        <w:pStyle w:val="ListParagraph"/>
        <w:numPr>
          <w:ilvl w:val="1"/>
          <w:numId w:val="75"/>
        </w:numPr>
        <w:tabs>
          <w:tab w:val="num" w:pos="360"/>
        </w:tabs>
        <w:spacing w:before="120" w:beforeLines="50" w:after="120" w:afterLines="50"/>
        <w:jc w:val="both"/>
        <w:outlineLvl w:val="3"/>
        <w:rPr>
          <w:rFonts w:ascii="宋体" w:eastAsia="宋体" w:hAnsi="宋体" w:cs="宋体"/>
          <w:color w:val="000000"/>
          <w:sz w:val="21"/>
          <w:szCs w:val="21"/>
          <w:lang w:val="en-US" w:eastAsia="zh-CN" w:bidi="ar"/>
        </w:rPr>
      </w:pPr>
      <w:r w:rsidRPr="00F36428">
        <w:rPr>
          <w:rFonts w:ascii="宋体" w:eastAsia="宋体" w:hAnsi="宋体" w:cs="宋体" w:hint="eastAsia"/>
          <w:color w:val="000000"/>
          <w:sz w:val="21"/>
          <w:szCs w:val="21"/>
          <w:lang w:val="en-US" w:eastAsia="zh-CN" w:bidi="ar"/>
        </w:rPr>
        <w:t>运</w:t>
      </w:r>
      <w:r w:rsidRPr="00F36428">
        <w:rPr>
          <w:rFonts w:ascii="宋体" w:eastAsia="宋体" w:hAnsi="宋体" w:cs="宋体" w:hint="eastAsia"/>
          <w:color w:val="000000"/>
          <w:sz w:val="21"/>
          <w:szCs w:val="21"/>
          <w:lang w:val="en-US" w:eastAsia="zh-CN" w:bidi="ar"/>
        </w:rPr>
        <w:t>维期间</w:t>
      </w:r>
      <w:r w:rsidRPr="00F36428">
        <w:rPr>
          <w:rFonts w:ascii="宋体" w:eastAsia="宋体" w:hAnsi="宋体" w:cs="宋体" w:hint="eastAsia"/>
          <w:color w:val="000000"/>
          <w:sz w:val="21"/>
          <w:szCs w:val="21"/>
          <w:lang w:val="en-US" w:eastAsia="zh-CN" w:bidi="ar"/>
        </w:rPr>
        <w:t>投标人需重点做好对接入系统的各软、硬件的工作状态的稳定性、业务数据正确性的监控、分析工作，随时做好故障的分析和排查工作</w:t>
      </w:r>
      <w:r>
        <w:rPr>
          <w:rFonts w:ascii="宋体" w:eastAsia="宋体" w:hAnsi="宋体" w:cs="宋体" w:hint="eastAsia"/>
          <w:color w:val="000000"/>
          <w:sz w:val="21"/>
          <w:szCs w:val="21"/>
          <w:lang w:val="en-US" w:eastAsia="zh-CN" w:bidi="ar"/>
        </w:rPr>
        <w:t>。</w:t>
      </w:r>
    </w:p>
    <w:p w:rsidR="00413614" w:rsidP="000A031E" w14:paraId="318EE449" w14:textId="524FBF7A">
      <w:pPr>
        <w:pStyle w:val="ListParagraph"/>
        <w:numPr>
          <w:ilvl w:val="1"/>
          <w:numId w:val="75"/>
        </w:numPr>
        <w:tabs>
          <w:tab w:val="num" w:pos="360"/>
        </w:tabs>
        <w:spacing w:before="120" w:beforeLines="50" w:after="120" w:afterLines="50"/>
        <w:jc w:val="both"/>
        <w:outlineLvl w:val="3"/>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运维期间，厂家的充电桩运营管理平台应免费提供给充电桩业主方使用。</w:t>
      </w:r>
    </w:p>
    <w:p w:rsidR="00064A7E" w:rsidP="000A031E" w14:paraId="2EE3EFE1" w14:textId="4C767A83">
      <w:pPr>
        <w:pStyle w:val="ListParagraph"/>
        <w:numPr>
          <w:ilvl w:val="1"/>
          <w:numId w:val="75"/>
        </w:numPr>
        <w:tabs>
          <w:tab w:val="num" w:pos="360"/>
        </w:tabs>
        <w:spacing w:before="120" w:beforeLines="50" w:after="120" w:afterLines="50"/>
        <w:jc w:val="both"/>
        <w:outlineLvl w:val="3"/>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运维期间，投标人应为充电桩业主方建立业主方管理账户，通过管理账户，业主方可以查询每台充电桩的状态、充电时长、收入情况等内容。</w:t>
      </w:r>
    </w:p>
    <w:p w:rsidR="00064A7E" w:rsidRPr="00F36428" w:rsidP="000A031E" w14:paraId="0DC389E9" w14:textId="5472A3B4">
      <w:pPr>
        <w:pStyle w:val="ListParagraph"/>
        <w:numPr>
          <w:ilvl w:val="1"/>
          <w:numId w:val="75"/>
        </w:numPr>
        <w:tabs>
          <w:tab w:val="num" w:pos="360"/>
        </w:tabs>
        <w:spacing w:before="120" w:beforeLines="50" w:after="120" w:afterLines="50"/>
        <w:jc w:val="both"/>
        <w:outlineLvl w:val="3"/>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运维期间，投标人应为充电桩业主方的收入关联银行账户、</w:t>
      </w:r>
      <w:r>
        <w:rPr>
          <w:rFonts w:ascii="宋体" w:eastAsia="宋体" w:hAnsi="宋体" w:cs="宋体" w:hint="eastAsia"/>
          <w:color w:val="000000"/>
          <w:sz w:val="21"/>
          <w:szCs w:val="21"/>
          <w:lang w:val="en-US" w:eastAsia="zh-CN" w:bidi="ar"/>
        </w:rPr>
        <w:t>微信及</w:t>
      </w:r>
      <w:r>
        <w:rPr>
          <w:rFonts w:ascii="宋体" w:eastAsia="宋体" w:hAnsi="宋体" w:cs="宋体" w:hint="eastAsia"/>
          <w:color w:val="000000"/>
          <w:sz w:val="21"/>
          <w:szCs w:val="21"/>
          <w:lang w:val="en-US" w:eastAsia="zh-CN" w:bidi="ar"/>
        </w:rPr>
        <w:t>支付宝账户，实行T</w:t>
      </w:r>
      <w:r>
        <w:rPr>
          <w:rFonts w:ascii="宋体" w:eastAsia="宋体" w:hAnsi="宋体" w:cs="宋体"/>
          <w:color w:val="000000"/>
          <w:sz w:val="21"/>
          <w:szCs w:val="21"/>
          <w:lang w:val="en-US" w:eastAsia="zh-CN" w:bidi="ar"/>
        </w:rPr>
        <w:t>+0</w:t>
      </w:r>
      <w:r>
        <w:rPr>
          <w:rFonts w:ascii="宋体" w:eastAsia="宋体" w:hAnsi="宋体" w:cs="宋体" w:hint="eastAsia"/>
          <w:color w:val="000000"/>
          <w:sz w:val="21"/>
          <w:szCs w:val="21"/>
          <w:lang w:val="en-US" w:eastAsia="zh-CN" w:bidi="ar"/>
        </w:rPr>
        <w:t>或其他合同约定的到账时效方式，以合同要求为准。</w:t>
      </w:r>
    </w:p>
    <w:p w:rsidR="00F36428" w:rsidP="000A031E" w14:paraId="52A33A45" w14:textId="21956F39">
      <w:pPr>
        <w:pStyle w:val="ListParagraph"/>
        <w:numPr>
          <w:ilvl w:val="1"/>
          <w:numId w:val="75"/>
        </w:numPr>
        <w:tabs>
          <w:tab w:val="num" w:pos="360"/>
        </w:tabs>
        <w:spacing w:before="120" w:beforeLines="50" w:after="120" w:afterLines="50"/>
        <w:jc w:val="both"/>
        <w:outlineLvl w:val="3"/>
        <w:rPr>
          <w:rFonts w:ascii="宋体" w:eastAsia="宋体" w:hAnsi="宋体" w:cs="宋体"/>
          <w:color w:val="000000"/>
          <w:sz w:val="21"/>
          <w:szCs w:val="21"/>
          <w:lang w:val="en-US" w:eastAsia="zh-CN" w:bidi="ar"/>
        </w:rPr>
      </w:pPr>
      <w:r>
        <w:rPr>
          <w:rFonts w:ascii="宋体" w:eastAsia="宋体" w:hAnsi="宋体" w:cs="宋体" w:hint="eastAsia"/>
          <w:color w:val="000000"/>
          <w:sz w:val="21"/>
          <w:szCs w:val="21"/>
          <w:lang w:val="en-US" w:eastAsia="zh-CN" w:bidi="ar"/>
        </w:rPr>
        <w:t>安全要求</w:t>
      </w:r>
    </w:p>
    <w:p w:rsidR="00F36428" w:rsidRPr="00F36428" w:rsidP="000A031E" w14:paraId="1980668F" w14:textId="77777777">
      <w:pPr>
        <w:numPr>
          <w:ilvl w:val="0"/>
          <w:numId w:val="75"/>
        </w:numPr>
        <w:tabs>
          <w:tab w:val="num" w:pos="360"/>
        </w:tabs>
        <w:spacing w:before="120" w:beforeLines="50" w:after="120" w:afterLines="50"/>
        <w:jc w:val="both"/>
        <w:outlineLvl w:val="3"/>
        <w:rPr>
          <w:rFonts w:asciiTheme="minorEastAsia" w:eastAsiaTheme="minorEastAsia" w:hAnsiTheme="minorEastAsia"/>
          <w:sz w:val="21"/>
          <w:szCs w:val="21"/>
          <w:lang w:val="en-US" w:eastAsia="zh-CN"/>
        </w:rPr>
      </w:pPr>
      <w:r w:rsidRPr="00F36428">
        <w:rPr>
          <w:rFonts w:asciiTheme="minorEastAsia" w:eastAsiaTheme="minorEastAsia" w:hAnsiTheme="minorEastAsia" w:hint="eastAsia"/>
          <w:sz w:val="21"/>
          <w:szCs w:val="21"/>
          <w:lang w:val="en-US" w:eastAsia="zh-CN"/>
        </w:rPr>
        <w:t>系统需保证提供7天×24小时连续运行，平均年故障时间&lt;12小时，平均故障修复时间&lt;30分钟；</w:t>
      </w:r>
    </w:p>
    <w:p w:rsidR="00F36428" w:rsidRPr="00F36428" w:rsidP="000A031E" w14:paraId="6DEB4A9F" w14:textId="77777777">
      <w:pPr>
        <w:numPr>
          <w:ilvl w:val="0"/>
          <w:numId w:val="75"/>
        </w:numPr>
        <w:tabs>
          <w:tab w:val="num" w:pos="360"/>
        </w:tabs>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F36428">
        <w:rPr>
          <w:rFonts w:asciiTheme="minorEastAsia" w:eastAsiaTheme="minorEastAsia" w:hAnsiTheme="minorEastAsia" w:hint="eastAsia"/>
          <w:sz w:val="21"/>
          <w:szCs w:val="21"/>
          <w:lang w:val="en-US" w:eastAsia="zh-CN"/>
        </w:rPr>
        <w:t>系统具有操作授权及权限控制，防止非法入侵；</w:t>
      </w:r>
    </w:p>
    <w:p w:rsidR="00F36428" w:rsidRPr="00F36428" w:rsidP="000A031E" w14:paraId="769AAB52" w14:textId="77777777">
      <w:pPr>
        <w:numPr>
          <w:ilvl w:val="0"/>
          <w:numId w:val="75"/>
        </w:numPr>
        <w:tabs>
          <w:tab w:val="num" w:pos="360"/>
        </w:tabs>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F36428">
        <w:rPr>
          <w:rFonts w:asciiTheme="minorEastAsia" w:eastAsiaTheme="minorEastAsia" w:hAnsiTheme="minorEastAsia" w:hint="eastAsia"/>
          <w:sz w:val="21"/>
          <w:szCs w:val="21"/>
          <w:lang w:val="en-US" w:eastAsia="zh-CN"/>
        </w:rPr>
        <w:t>提供运行日志管理及审计功能；</w:t>
      </w:r>
    </w:p>
    <w:p w:rsidR="00F36428" w:rsidRPr="00F36428" w:rsidP="000A031E" w14:paraId="26AB68D8" w14:textId="77777777">
      <w:pPr>
        <w:numPr>
          <w:ilvl w:val="0"/>
          <w:numId w:val="75"/>
        </w:numPr>
        <w:tabs>
          <w:tab w:val="num" w:pos="360"/>
        </w:tabs>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F36428">
        <w:rPr>
          <w:rFonts w:asciiTheme="minorEastAsia" w:eastAsiaTheme="minorEastAsia" w:hAnsiTheme="minorEastAsia" w:hint="eastAsia"/>
          <w:sz w:val="21"/>
          <w:szCs w:val="21"/>
          <w:lang w:val="en-US" w:eastAsia="zh-CN"/>
        </w:rPr>
        <w:t>要求系统具备数据在线和离线备份及数据恢复能力，确保数据安全可靠；</w:t>
      </w:r>
    </w:p>
    <w:p w:rsidR="00F36428" w:rsidRPr="00F36428" w:rsidP="000A031E" w14:paraId="18E1EA48" w14:textId="77777777">
      <w:pPr>
        <w:numPr>
          <w:ilvl w:val="0"/>
          <w:numId w:val="75"/>
        </w:numPr>
        <w:tabs>
          <w:tab w:val="num" w:pos="360"/>
        </w:tabs>
        <w:spacing w:before="120" w:beforeLines="50" w:after="120" w:afterLines="50"/>
        <w:ind w:left="1655" w:hanging="578"/>
        <w:jc w:val="both"/>
        <w:outlineLvl w:val="3"/>
        <w:rPr>
          <w:rFonts w:asciiTheme="minorEastAsia" w:eastAsiaTheme="minorEastAsia" w:hAnsiTheme="minorEastAsia"/>
          <w:sz w:val="21"/>
          <w:szCs w:val="21"/>
          <w:lang w:val="en-US" w:eastAsia="zh-CN"/>
        </w:rPr>
        <w:sectPr w:rsidSect="00143DB7">
          <w:headerReference w:type="default" r:id="rId20"/>
          <w:footerReference w:type="default" r:id="rId21"/>
          <w:type w:val="nextPage"/>
          <w:pgSz w:w="11906" w:h="16838"/>
          <w:pgMar w:top="1814" w:right="1418" w:bottom="1418" w:left="1701" w:header="851" w:footer="992" w:gutter="0"/>
          <w:pgNumType w:start="7"/>
          <w:cols w:space="425"/>
          <w:titlePg w:val="0"/>
          <w:docGrid w:linePitch="312"/>
        </w:sectPr>
      </w:pPr>
      <w:r w:rsidRPr="00F36428">
        <w:rPr>
          <w:rFonts w:asciiTheme="minorEastAsia" w:eastAsiaTheme="minorEastAsia" w:hAnsiTheme="minorEastAsia" w:hint="eastAsia"/>
          <w:sz w:val="21"/>
          <w:szCs w:val="21"/>
          <w:lang w:val="en-US" w:eastAsia="zh-CN"/>
        </w:rPr>
        <w:t>系统须通过第三方进行的系统漏洞扫描与信息安全相关检测；</w:t>
      </w:r>
    </w:p>
    <w:p w:rsidR="00F36428" w:rsidRPr="00F36428" w:rsidP="000A031E" w14:paraId="2DE58E65" w14:textId="77777777">
      <w:pPr>
        <w:numPr>
          <w:ilvl w:val="0"/>
          <w:numId w:val="75"/>
        </w:numPr>
        <w:tabs>
          <w:tab w:val="num" w:pos="360"/>
        </w:tabs>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F36428">
        <w:rPr>
          <w:rFonts w:asciiTheme="minorEastAsia" w:eastAsiaTheme="minorEastAsia" w:hAnsiTheme="minorEastAsia" w:hint="eastAsia"/>
          <w:sz w:val="21"/>
          <w:szCs w:val="21"/>
          <w:lang w:val="en-US" w:eastAsia="zh-CN"/>
        </w:rPr>
        <w:t>提供较强的系统安全性和灾难恢复能力，系统具有安全审计功能及其他强有力的安全保障措施；</w:t>
      </w:r>
    </w:p>
    <w:p w:rsidR="00F36428" w:rsidP="000A031E" w14:paraId="1C3ADEC2" w14:textId="63168F10">
      <w:pPr>
        <w:numPr>
          <w:ilvl w:val="0"/>
          <w:numId w:val="75"/>
        </w:numPr>
        <w:tabs>
          <w:tab w:val="num" w:pos="360"/>
        </w:tabs>
        <w:spacing w:before="120" w:beforeLines="50" w:after="120" w:afterLines="50"/>
        <w:ind w:left="1655" w:hanging="578"/>
        <w:jc w:val="both"/>
        <w:outlineLvl w:val="3"/>
        <w:rPr>
          <w:rFonts w:asciiTheme="minorEastAsia" w:eastAsiaTheme="minorEastAsia" w:hAnsiTheme="minorEastAsia"/>
          <w:sz w:val="21"/>
          <w:szCs w:val="21"/>
          <w:lang w:val="en-US" w:eastAsia="zh-CN"/>
        </w:rPr>
      </w:pPr>
      <w:r w:rsidRPr="00F36428">
        <w:rPr>
          <w:rFonts w:asciiTheme="minorEastAsia" w:eastAsiaTheme="minorEastAsia" w:hAnsiTheme="minorEastAsia" w:hint="eastAsia"/>
          <w:sz w:val="21"/>
          <w:szCs w:val="21"/>
          <w:lang w:val="en-US" w:eastAsia="zh-CN"/>
        </w:rPr>
        <w:t>保证终端上下载的业务数据下载前在服务器端有合法性审核记录并记录操作过程必要信息。</w:t>
      </w:r>
    </w:p>
    <w:p w:rsidR="00EA2F1B" w:rsidRPr="004914A1" w:rsidP="000A031E" w14:paraId="68CC3A4C" w14:textId="0EE3EBCE">
      <w:pPr>
        <w:pStyle w:val="ListParagraph"/>
        <w:numPr>
          <w:ilvl w:val="1"/>
          <w:numId w:val="75"/>
        </w:numPr>
        <w:tabs>
          <w:tab w:val="num" w:pos="360"/>
        </w:tabs>
        <w:spacing w:before="120" w:beforeLines="50" w:after="120" w:afterLines="50"/>
        <w:jc w:val="both"/>
        <w:outlineLvl w:val="3"/>
        <w:rPr>
          <w:rFonts w:ascii="宋体" w:eastAsia="宋体" w:hAnsi="宋体" w:cs="宋体"/>
          <w:color w:val="000000"/>
          <w:sz w:val="21"/>
          <w:szCs w:val="21"/>
          <w:lang w:val="en-US" w:eastAsia="zh-CN" w:bidi="ar"/>
        </w:rPr>
      </w:pPr>
      <w:r w:rsidRPr="00F36428">
        <w:rPr>
          <w:rFonts w:ascii="宋体" w:eastAsia="宋体" w:hAnsi="宋体" w:cs="宋体" w:hint="eastAsia"/>
          <w:color w:val="000000"/>
          <w:sz w:val="21"/>
          <w:szCs w:val="21"/>
          <w:lang w:val="en-US" w:eastAsia="zh-CN" w:bidi="ar"/>
        </w:rPr>
        <w:t>充电小程序</w:t>
      </w:r>
      <w:r>
        <w:rPr>
          <w:rFonts w:ascii="宋体" w:eastAsia="宋体" w:hAnsi="宋体" w:cs="宋体" w:hint="eastAsia"/>
          <w:color w:val="000000"/>
          <w:sz w:val="21"/>
          <w:szCs w:val="21"/>
          <w:lang w:val="en-US" w:eastAsia="zh-CN" w:bidi="ar"/>
        </w:rPr>
        <w:t>具备定制功能要求，例如，我的充电、我的钱包、客服中心、个人信息等，满足运营方需求。</w:t>
      </w:r>
      <w:bookmarkStart w:id="20" w:name="_Toc40335840"/>
    </w:p>
    <w:p w:rsidR="00E34CE8" w14:paraId="6AE9CED1" w14:textId="11E712E3">
      <w:pPr>
        <w:pStyle w:val="ReportLevel1"/>
        <w:numPr>
          <w:ilvl w:val="0"/>
          <w:numId w:val="24"/>
        </w:numPr>
        <w:spacing w:before="240" w:beforeLines="100" w:after="240" w:afterLines="100"/>
        <w:rPr>
          <w:rFonts w:asciiTheme="minorEastAsia" w:eastAsiaTheme="minorEastAsia" w:hAnsiTheme="minorEastAsia"/>
          <w:sz w:val="21"/>
          <w:szCs w:val="21"/>
          <w:lang w:val="en-US" w:eastAsia="zh-CN"/>
        </w:rPr>
      </w:pPr>
      <w:bookmarkStart w:id="21" w:name="_Toc148691211"/>
      <w:r>
        <w:rPr>
          <w:rFonts w:asciiTheme="minorEastAsia" w:eastAsiaTheme="minorEastAsia" w:hAnsiTheme="minorEastAsia" w:hint="eastAsia"/>
          <w:sz w:val="21"/>
          <w:szCs w:val="21"/>
          <w:lang w:val="en-US" w:eastAsia="zh-CN"/>
        </w:rPr>
        <w:t>低压配电线缆</w:t>
      </w:r>
      <w:bookmarkEnd w:id="20"/>
      <w:bookmarkEnd w:id="21"/>
    </w:p>
    <w:p w:rsidR="00E34CE8" w14:paraId="26B017CC" w14:textId="77777777">
      <w:pPr>
        <w:pStyle w:val="ReportLevel2"/>
        <w:spacing w:before="240" w:beforeLines="100" w:after="240" w:afterLines="100"/>
        <w:rPr>
          <w:rFonts w:asciiTheme="minorEastAsia" w:eastAsiaTheme="minorEastAsia" w:hAnsiTheme="minorEastAsia"/>
          <w:b/>
          <w:bCs/>
          <w:sz w:val="21"/>
          <w:szCs w:val="21"/>
        </w:rPr>
      </w:pPr>
      <w:bookmarkStart w:id="22" w:name="_Toc502860827"/>
      <w:bookmarkStart w:id="23" w:name="_Toc502857856"/>
      <w:bookmarkStart w:id="24" w:name="_Toc502859843"/>
      <w:bookmarkStart w:id="25" w:name="_Toc502853804"/>
      <w:r>
        <w:rPr>
          <w:rFonts w:asciiTheme="minorEastAsia" w:eastAsiaTheme="minorEastAsia" w:hAnsiTheme="minorEastAsia"/>
          <w:b/>
          <w:bCs/>
          <w:sz w:val="21"/>
          <w:szCs w:val="21"/>
        </w:rPr>
        <w:t>一般要求</w:t>
      </w:r>
      <w:bookmarkEnd w:id="22"/>
      <w:bookmarkEnd w:id="23"/>
      <w:bookmarkEnd w:id="24"/>
      <w:bookmarkEnd w:id="25"/>
    </w:p>
    <w:p w:rsidR="00E34CE8" w14:paraId="4C8DA7ED"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eastAsia="zh-CN"/>
        </w:rPr>
        <w:t>线路</w:t>
      </w:r>
      <w:r>
        <w:rPr>
          <w:rFonts w:asciiTheme="minorEastAsia" w:eastAsiaTheme="minorEastAsia" w:hAnsiTheme="minorEastAsia"/>
          <w:sz w:val="21"/>
          <w:szCs w:val="21"/>
          <w:lang w:val="en-US" w:eastAsia="zh-CN"/>
        </w:rPr>
        <w:t>及安装须符合BS7671及GB50217-2007之有关规范的要求。</w:t>
      </w:r>
    </w:p>
    <w:p w:rsidR="00E34CE8" w14:paraId="71701F7D"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eastAsia="zh-CN"/>
        </w:rPr>
        <w:t>所有</w:t>
      </w:r>
      <w:r>
        <w:rPr>
          <w:rFonts w:asciiTheme="minorEastAsia" w:eastAsiaTheme="minorEastAsia" w:hAnsiTheme="minorEastAsia"/>
          <w:sz w:val="21"/>
          <w:szCs w:val="21"/>
          <w:lang w:val="en-US" w:eastAsia="zh-CN"/>
        </w:rPr>
        <w:t>电缆须得到BASEC保证。</w:t>
      </w:r>
    </w:p>
    <w:p w:rsidR="00E34CE8" w14:paraId="7574E9EE" w14:textId="77777777">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所有电缆安装须根据制造商建议。</w:t>
      </w:r>
    </w:p>
    <w:p w:rsidR="00E34CE8" w14:paraId="213F427A" w14:textId="77777777">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由线盘引出的电缆不可长期放在地上，须在布线电缆桥上。</w:t>
      </w:r>
    </w:p>
    <w:p w:rsidR="00E34CE8" w14:paraId="12E61545" w14:textId="77777777">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电缆的可转曲的弯度不可多于制造商建议。</w:t>
      </w:r>
    </w:p>
    <w:p w:rsidR="00E34CE8" w14:paraId="1FCAAE77" w14:textId="77777777">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图样上电缆长度只作参考，实际长度须由投标者提供。</w:t>
      </w:r>
    </w:p>
    <w:p w:rsidR="00E34CE8" w14:paraId="3D93E020" w14:textId="77777777">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如特别声明外，否则所有地下电缆须安装于保护管内。</w:t>
      </w:r>
    </w:p>
    <w:p w:rsidR="00E34CE8" w14:paraId="6D09FDBE" w14:textId="77777777">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若电缆安装于危险场所须符合BS4066及IEC60332测试要求或国家规范要求。</w:t>
      </w:r>
    </w:p>
    <w:p w:rsidR="00E34CE8" w14:paraId="33586539" w14:textId="77777777">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导体须为符合BS6360及IEC60228</w:t>
      </w:r>
      <w:r>
        <w:rPr>
          <w:rFonts w:asciiTheme="minorEastAsia" w:eastAsiaTheme="minorEastAsia" w:hAnsiTheme="minorEastAsia"/>
          <w:sz w:val="21"/>
          <w:szCs w:val="21"/>
          <w:lang w:eastAsia="zh-CN"/>
        </w:rPr>
        <w:t>之裸软</w:t>
      </w:r>
      <w:r>
        <w:rPr>
          <w:rFonts w:asciiTheme="minorEastAsia" w:eastAsiaTheme="minorEastAsia" w:hAnsiTheme="minorEastAsia"/>
          <w:sz w:val="21"/>
          <w:szCs w:val="21"/>
          <w:lang w:eastAsia="zh-CN"/>
        </w:rPr>
        <w:t>铜线。</w:t>
      </w:r>
    </w:p>
    <w:p w:rsidR="00E34CE8" w14:paraId="613017A4" w14:textId="77777777">
      <w:pPr>
        <w:pStyle w:val="ReportLevel2"/>
        <w:spacing w:before="240" w:beforeLines="100" w:after="240" w:afterLines="100"/>
        <w:rPr>
          <w:rFonts w:asciiTheme="minorEastAsia" w:eastAsiaTheme="minorEastAsia" w:hAnsiTheme="minorEastAsia"/>
          <w:b/>
          <w:bCs/>
          <w:sz w:val="21"/>
          <w:szCs w:val="21"/>
          <w:lang w:eastAsia="zh-CN"/>
        </w:rPr>
      </w:pPr>
      <w:bookmarkStart w:id="26" w:name="_Toc502853805"/>
      <w:bookmarkStart w:id="27" w:name="_Toc502860828"/>
      <w:bookmarkStart w:id="28" w:name="_Toc502857857"/>
      <w:bookmarkStart w:id="29" w:name="_Toc502859844"/>
      <w:r>
        <w:rPr>
          <w:rFonts w:asciiTheme="minorEastAsia" w:eastAsiaTheme="minorEastAsia" w:hAnsiTheme="minorEastAsia"/>
          <w:b/>
          <w:bCs/>
          <w:sz w:val="21"/>
          <w:szCs w:val="21"/>
          <w:lang w:eastAsia="zh-CN"/>
        </w:rPr>
        <w:t>低烟无卤</w:t>
      </w:r>
      <w:r>
        <w:rPr>
          <w:rFonts w:asciiTheme="minorEastAsia" w:eastAsiaTheme="minorEastAsia" w:hAnsiTheme="minorEastAsia"/>
          <w:b/>
          <w:bCs/>
          <w:sz w:val="21"/>
          <w:szCs w:val="21"/>
          <w:lang w:eastAsia="zh-CN"/>
        </w:rPr>
        <w:t>交联聚乙烯绝缘阻燃电缆</w:t>
      </w:r>
      <w:bookmarkEnd w:id="26"/>
      <w:bookmarkEnd w:id="27"/>
      <w:bookmarkEnd w:id="28"/>
      <w:bookmarkEnd w:id="29"/>
    </w:p>
    <w:p w:rsidR="00E34CE8" w14:paraId="0D07E9EA"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耐压600/1000V，符合GB/T12706.1-2008、 GB/T18380.31-2008规范标准的要求。</w:t>
      </w:r>
    </w:p>
    <w:p w:rsidR="00E34CE8" w14:paraId="03A568BD"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eastAsia="zh-CN"/>
        </w:rPr>
        <w:t>导线</w:t>
      </w:r>
      <w:r>
        <w:rPr>
          <w:rFonts w:asciiTheme="minorEastAsia" w:eastAsiaTheme="minorEastAsia" w:hAnsiTheme="minorEastAsia"/>
          <w:sz w:val="21"/>
          <w:szCs w:val="21"/>
          <w:lang w:val="en-US" w:eastAsia="zh-CN"/>
        </w:rPr>
        <w:t>须为符合国标之祼软铜线。</w:t>
      </w:r>
    </w:p>
    <w:p w:rsidR="00E34CE8" w14:paraId="7BAFCD02"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eastAsia="zh-CN"/>
        </w:rPr>
        <w:t>所有</w:t>
      </w:r>
      <w:r>
        <w:rPr>
          <w:rFonts w:asciiTheme="minorEastAsia" w:eastAsiaTheme="minorEastAsia" w:hAnsiTheme="minorEastAsia"/>
          <w:sz w:val="21"/>
          <w:szCs w:val="21"/>
          <w:lang w:val="en-US" w:eastAsia="zh-CN"/>
        </w:rPr>
        <w:t>电缆芯线须符合GB/T3956-2008及深圳市政府部门之规定，其全部绝缘用适当的颜色以作鉴别。</w:t>
      </w:r>
    </w:p>
    <w:p w:rsidR="00E34CE8" w14:paraId="2258C854"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环保要求须符合GB/T17650.2-1998及GB/T17651-1998的要求。</w:t>
      </w:r>
    </w:p>
    <w:p w:rsidR="00E34CE8" w14:paraId="430A0912" w14:textId="77777777">
      <w:pPr>
        <w:pStyle w:val="ReportLevel2"/>
        <w:spacing w:before="240" w:beforeLines="100" w:after="240" w:afterLines="100"/>
        <w:rPr>
          <w:rFonts w:asciiTheme="minorEastAsia" w:eastAsiaTheme="minorEastAsia" w:hAnsiTheme="minorEastAsia"/>
          <w:b/>
          <w:bCs/>
          <w:sz w:val="21"/>
          <w:szCs w:val="21"/>
        </w:rPr>
      </w:pPr>
      <w:bookmarkStart w:id="30" w:name="_Toc502853809"/>
      <w:bookmarkStart w:id="31" w:name="_Toc502857861"/>
      <w:bookmarkStart w:id="32" w:name="_Toc502860832"/>
      <w:bookmarkStart w:id="33" w:name="_Toc502859848"/>
      <w:r>
        <w:rPr>
          <w:rFonts w:asciiTheme="minorEastAsia" w:eastAsiaTheme="minorEastAsia" w:hAnsiTheme="minorEastAsia"/>
          <w:b/>
          <w:bCs/>
          <w:sz w:val="21"/>
          <w:szCs w:val="21"/>
        </w:rPr>
        <w:t>交联聚烯烃绝缘电线</w:t>
      </w:r>
      <w:bookmarkEnd w:id="30"/>
      <w:bookmarkEnd w:id="31"/>
      <w:bookmarkEnd w:id="32"/>
      <w:bookmarkEnd w:id="33"/>
    </w:p>
    <w:p w:rsidR="00E34CE8" w14:paraId="730AC71C"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除另有规定外，最终回路及控制回路均须敷设于电线管及电线槽中。</w:t>
      </w:r>
    </w:p>
    <w:p w:rsidR="00E34CE8" w14:paraId="7F8579A0"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eastAsia="zh-CN"/>
        </w:rPr>
        <w:t>上述</w:t>
      </w:r>
      <w:r>
        <w:rPr>
          <w:rFonts w:asciiTheme="minorEastAsia" w:eastAsiaTheme="minorEastAsia" w:hAnsiTheme="minorEastAsia"/>
          <w:sz w:val="21"/>
          <w:szCs w:val="21"/>
          <w:lang w:val="en-US" w:eastAsia="zh-CN"/>
        </w:rPr>
        <w:t>敷设的电缆须符合JB/T10491-1《额定电压450/750 V及以下交联聚烯烃绝缘电线和电缆 第一部分：一般要求》铜芯，交联聚烯烃绝缘。</w:t>
      </w:r>
    </w:p>
    <w:p w:rsidR="00E34CE8" w14:paraId="3E97E417"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eastAsia="zh-CN"/>
        </w:rPr>
        <w:t>导线</w:t>
      </w:r>
      <w:r>
        <w:rPr>
          <w:rFonts w:asciiTheme="minorEastAsia" w:eastAsiaTheme="minorEastAsia" w:hAnsiTheme="minorEastAsia"/>
          <w:sz w:val="21"/>
          <w:szCs w:val="21"/>
          <w:lang w:val="en-US" w:eastAsia="zh-CN"/>
        </w:rPr>
        <w:t>须为符合国标</w:t>
      </w:r>
      <w:r>
        <w:rPr>
          <w:rFonts w:asciiTheme="minorEastAsia" w:eastAsiaTheme="minorEastAsia" w:hAnsiTheme="minorEastAsia"/>
          <w:sz w:val="21"/>
          <w:szCs w:val="21"/>
          <w:lang w:val="en-US" w:eastAsia="zh-CN"/>
        </w:rPr>
        <w:t>之裸软铜</w:t>
      </w:r>
      <w:r>
        <w:rPr>
          <w:rFonts w:asciiTheme="minorEastAsia" w:eastAsiaTheme="minorEastAsia" w:hAnsiTheme="minorEastAsia"/>
          <w:sz w:val="21"/>
          <w:szCs w:val="21"/>
          <w:lang w:val="en-US" w:eastAsia="zh-CN"/>
        </w:rPr>
        <w:t>。</w:t>
      </w:r>
    </w:p>
    <w:p w:rsidR="00E34CE8" w14:paraId="64160EA9"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eastAsia="zh-CN"/>
        </w:rPr>
        <w:t>电缆</w:t>
      </w:r>
      <w:r>
        <w:rPr>
          <w:rFonts w:asciiTheme="minorEastAsia" w:eastAsiaTheme="minorEastAsia" w:hAnsiTheme="minorEastAsia"/>
          <w:sz w:val="21"/>
          <w:szCs w:val="21"/>
          <w:lang w:val="en-US" w:eastAsia="zh-CN"/>
        </w:rPr>
        <w:t>芯线须按JGJ16-2008《民用建筑电气设计规范》之规定，其全部绝缘</w:t>
      </w:r>
      <w:r>
        <w:rPr>
          <w:rFonts w:asciiTheme="minorEastAsia" w:eastAsiaTheme="minorEastAsia" w:hAnsiTheme="minorEastAsia"/>
          <w:sz w:val="21"/>
          <w:szCs w:val="21"/>
          <w:lang w:val="en-US" w:eastAsia="zh-CN"/>
        </w:rPr>
        <w:tab/>
        <w:t>以颜色以作鉴别：</w:t>
      </w:r>
    </w:p>
    <w:p w:rsidR="00E34CE8" w14:paraId="3D3D4E19" w14:textId="323ED457">
      <w:pPr>
        <w:pStyle w:val="P5"/>
        <w:spacing w:before="120" w:beforeLines="50" w:after="120"/>
        <w:ind w:left="1353" w:leftChars="615"/>
        <w:jc w:val="left"/>
        <w:rPr>
          <w:rFonts w:asciiTheme="minorEastAsia" w:eastAsiaTheme="minorEastAsia" w:hAnsiTheme="minorEastAsia"/>
          <w:spacing w:val="0"/>
          <w:sz w:val="21"/>
          <w:szCs w:val="21"/>
          <w:lang w:val="en-US" w:eastAsia="zh-CN"/>
        </w:rPr>
      </w:pPr>
      <w:r>
        <w:rPr>
          <w:rFonts w:asciiTheme="minorEastAsia" w:eastAsiaTheme="minorEastAsia" w:hAnsiTheme="minorEastAsia"/>
          <w:spacing w:val="0"/>
          <w:sz w:val="21"/>
          <w:szCs w:val="21"/>
          <w:lang w:val="en-US" w:eastAsia="zh-CN"/>
        </w:rPr>
        <w:t>相线</w:t>
      </w:r>
      <w:r w:rsidR="00EA2F1B">
        <w:rPr>
          <w:rFonts w:asciiTheme="minorEastAsia" w:eastAsiaTheme="minorEastAsia" w:hAnsiTheme="minorEastAsia" w:hint="eastAsia"/>
          <w:spacing w:val="0"/>
          <w:sz w:val="21"/>
          <w:szCs w:val="21"/>
          <w:lang w:val="en-US" w:eastAsia="zh-CN"/>
        </w:rPr>
        <w:t xml:space="preserve"> </w:t>
      </w:r>
      <w:r w:rsidR="00EA2F1B">
        <w:rPr>
          <w:rFonts w:asciiTheme="minorEastAsia" w:eastAsiaTheme="minorEastAsia" w:hAnsiTheme="minorEastAsia"/>
          <w:spacing w:val="0"/>
          <w:sz w:val="21"/>
          <w:szCs w:val="21"/>
          <w:lang w:val="en-US" w:eastAsia="zh-CN"/>
        </w:rPr>
        <w:t xml:space="preserve">  </w:t>
      </w:r>
      <w:r>
        <w:rPr>
          <w:rFonts w:asciiTheme="minorEastAsia" w:eastAsiaTheme="minorEastAsia" w:hAnsiTheme="minorEastAsia"/>
          <w:spacing w:val="0"/>
          <w:sz w:val="21"/>
          <w:szCs w:val="21"/>
          <w:lang w:val="en-US" w:eastAsia="zh-CN"/>
        </w:rPr>
        <w:tab/>
        <w:t>：</w:t>
      </w:r>
      <w:r>
        <w:rPr>
          <w:rFonts w:asciiTheme="minorEastAsia" w:eastAsiaTheme="minorEastAsia" w:hAnsiTheme="minorEastAsia"/>
          <w:spacing w:val="0"/>
          <w:sz w:val="21"/>
          <w:szCs w:val="21"/>
          <w:lang w:val="en-US" w:eastAsia="zh-CN"/>
        </w:rPr>
        <w:tab/>
        <w:t>A相黄色，B相绿色，C相红色</w:t>
      </w:r>
    </w:p>
    <w:p w:rsidR="00E34CE8" w14:paraId="73E9F3B7" w14:textId="55B44FFB">
      <w:pPr>
        <w:pStyle w:val="P5"/>
        <w:spacing w:before="120" w:beforeLines="50" w:after="120"/>
        <w:ind w:left="1353" w:leftChars="615"/>
        <w:jc w:val="left"/>
        <w:rPr>
          <w:rFonts w:asciiTheme="minorEastAsia" w:eastAsiaTheme="minorEastAsia" w:hAnsiTheme="minorEastAsia"/>
          <w:spacing w:val="0"/>
          <w:sz w:val="21"/>
          <w:szCs w:val="21"/>
          <w:lang w:val="en-US" w:eastAsia="zh-CN"/>
        </w:rPr>
      </w:pPr>
      <w:r>
        <w:rPr>
          <w:rFonts w:asciiTheme="minorEastAsia" w:eastAsiaTheme="minorEastAsia" w:hAnsiTheme="minorEastAsia"/>
          <w:spacing w:val="0"/>
          <w:sz w:val="21"/>
          <w:szCs w:val="21"/>
          <w:lang w:val="en-US" w:eastAsia="zh-CN"/>
        </w:rPr>
        <w:t>中线</w:t>
      </w:r>
      <w:r w:rsidR="00EA2F1B">
        <w:rPr>
          <w:rFonts w:asciiTheme="minorEastAsia" w:eastAsiaTheme="minorEastAsia" w:hAnsiTheme="minorEastAsia" w:hint="eastAsia"/>
          <w:spacing w:val="0"/>
          <w:sz w:val="21"/>
          <w:szCs w:val="21"/>
          <w:lang w:val="en-US" w:eastAsia="zh-CN"/>
        </w:rPr>
        <w:t xml:space="preserve"> </w:t>
      </w:r>
      <w:r w:rsidR="00EA2F1B">
        <w:rPr>
          <w:rFonts w:asciiTheme="minorEastAsia" w:eastAsiaTheme="minorEastAsia" w:hAnsiTheme="minorEastAsia"/>
          <w:spacing w:val="0"/>
          <w:sz w:val="21"/>
          <w:szCs w:val="21"/>
          <w:lang w:val="en-US" w:eastAsia="zh-CN"/>
        </w:rPr>
        <w:t xml:space="preserve">   </w:t>
      </w:r>
      <w:r>
        <w:rPr>
          <w:rFonts w:asciiTheme="minorEastAsia" w:eastAsiaTheme="minorEastAsia" w:hAnsiTheme="minorEastAsia"/>
          <w:spacing w:val="0"/>
          <w:sz w:val="21"/>
          <w:szCs w:val="21"/>
          <w:lang w:val="en-US" w:eastAsia="zh-CN"/>
        </w:rPr>
        <w:tab/>
        <w:t>：</w:t>
      </w:r>
      <w:r>
        <w:rPr>
          <w:rFonts w:asciiTheme="minorEastAsia" w:eastAsiaTheme="minorEastAsia" w:hAnsiTheme="minorEastAsia"/>
          <w:spacing w:val="0"/>
          <w:sz w:val="21"/>
          <w:szCs w:val="21"/>
          <w:lang w:val="en-US" w:eastAsia="zh-CN"/>
        </w:rPr>
        <w:tab/>
        <w:t>淡蓝色</w:t>
      </w:r>
    </w:p>
    <w:p w:rsidR="00E34CE8" w14:paraId="71379D20" w14:textId="2496093B">
      <w:pPr>
        <w:pStyle w:val="P5"/>
        <w:spacing w:before="120" w:beforeLines="50" w:after="120"/>
        <w:ind w:left="1353" w:leftChars="615"/>
        <w:jc w:val="left"/>
        <w:rPr>
          <w:rFonts w:asciiTheme="minorEastAsia" w:eastAsiaTheme="minorEastAsia" w:hAnsiTheme="minorEastAsia"/>
          <w:spacing w:val="0"/>
          <w:sz w:val="21"/>
          <w:szCs w:val="21"/>
          <w:lang w:val="en-US" w:eastAsia="zh-CN"/>
        </w:rPr>
        <w:sectPr w:rsidSect="00143DB7">
          <w:headerReference w:type="default" r:id="rId22"/>
          <w:footerReference w:type="default" r:id="rId23"/>
          <w:type w:val="nextPage"/>
          <w:pgSz w:w="11906" w:h="16838"/>
          <w:pgMar w:top="1814" w:right="1418" w:bottom="1418" w:left="1701" w:header="851" w:footer="992" w:gutter="0"/>
          <w:pgNumType w:start="8"/>
          <w:cols w:space="425"/>
          <w:titlePg w:val="0"/>
          <w:docGrid w:linePitch="312"/>
        </w:sectPr>
      </w:pPr>
      <w:r>
        <w:rPr>
          <w:rFonts w:asciiTheme="minorEastAsia" w:eastAsiaTheme="minorEastAsia" w:hAnsiTheme="minorEastAsia"/>
          <w:spacing w:val="0"/>
          <w:sz w:val="21"/>
          <w:szCs w:val="21"/>
          <w:lang w:val="en-US" w:eastAsia="zh-CN"/>
        </w:rPr>
        <w:t>地线</w:t>
      </w:r>
      <w:r>
        <w:rPr>
          <w:rFonts w:asciiTheme="minorEastAsia" w:eastAsiaTheme="minorEastAsia" w:hAnsiTheme="minorEastAsia"/>
          <w:spacing w:val="0"/>
          <w:sz w:val="21"/>
          <w:szCs w:val="21"/>
          <w:lang w:val="en-US" w:eastAsia="zh-CN"/>
        </w:rPr>
        <w:tab/>
      </w:r>
      <w:r w:rsidR="00EA2F1B">
        <w:rPr>
          <w:rFonts w:asciiTheme="minorEastAsia" w:eastAsiaTheme="minorEastAsia" w:hAnsiTheme="minorEastAsia"/>
          <w:spacing w:val="0"/>
          <w:sz w:val="21"/>
          <w:szCs w:val="21"/>
          <w:lang w:val="en-US" w:eastAsia="zh-CN"/>
        </w:rPr>
        <w:t xml:space="preserve">      </w:t>
      </w:r>
      <w:r>
        <w:rPr>
          <w:rFonts w:asciiTheme="minorEastAsia" w:eastAsiaTheme="minorEastAsia" w:hAnsiTheme="minorEastAsia"/>
          <w:spacing w:val="0"/>
          <w:sz w:val="21"/>
          <w:szCs w:val="21"/>
          <w:lang w:val="en-US" w:eastAsia="zh-CN"/>
        </w:rPr>
        <w:t>：</w:t>
      </w:r>
      <w:r>
        <w:rPr>
          <w:rFonts w:asciiTheme="minorEastAsia" w:eastAsiaTheme="minorEastAsia" w:hAnsiTheme="minorEastAsia"/>
          <w:spacing w:val="0"/>
          <w:sz w:val="21"/>
          <w:szCs w:val="21"/>
          <w:lang w:val="en-US" w:eastAsia="zh-CN"/>
        </w:rPr>
        <w:tab/>
        <w:t>绿／黄色</w:t>
      </w:r>
    </w:p>
    <w:p w:rsidR="00E34CE8" w14:paraId="7D93D952" w14:textId="77777777">
      <w:pPr>
        <w:pStyle w:val="P5"/>
        <w:spacing w:before="120" w:beforeLines="50" w:after="120"/>
        <w:ind w:left="1353" w:leftChars="615"/>
        <w:jc w:val="left"/>
        <w:rPr>
          <w:rFonts w:asciiTheme="minorEastAsia" w:eastAsiaTheme="minorEastAsia" w:hAnsiTheme="minorEastAsia"/>
          <w:spacing w:val="0"/>
          <w:sz w:val="21"/>
          <w:szCs w:val="21"/>
          <w:lang w:val="en-US" w:eastAsia="zh-CN"/>
        </w:rPr>
      </w:pPr>
      <w:r>
        <w:rPr>
          <w:rFonts w:asciiTheme="minorEastAsia" w:eastAsiaTheme="minorEastAsia" w:hAnsiTheme="minorEastAsia"/>
          <w:spacing w:val="0"/>
          <w:sz w:val="21"/>
          <w:szCs w:val="21"/>
          <w:lang w:val="en-US" w:eastAsia="zh-CN"/>
        </w:rPr>
        <w:t>控制线路</w:t>
      </w:r>
      <w:r>
        <w:rPr>
          <w:rFonts w:asciiTheme="minorEastAsia" w:eastAsiaTheme="minorEastAsia" w:hAnsiTheme="minorEastAsia"/>
          <w:spacing w:val="0"/>
          <w:sz w:val="21"/>
          <w:szCs w:val="21"/>
          <w:lang w:val="en-US" w:eastAsia="zh-CN"/>
        </w:rPr>
        <w:tab/>
        <w:t>：</w:t>
      </w:r>
      <w:r>
        <w:rPr>
          <w:rFonts w:asciiTheme="minorEastAsia" w:eastAsiaTheme="minorEastAsia" w:hAnsiTheme="minorEastAsia"/>
          <w:spacing w:val="0"/>
          <w:sz w:val="21"/>
          <w:szCs w:val="21"/>
          <w:lang w:val="en-US" w:eastAsia="zh-CN"/>
        </w:rPr>
        <w:tab/>
        <w:t>白色</w:t>
      </w:r>
    </w:p>
    <w:p w:rsidR="00E34CE8" w14:paraId="2C051301"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阻燃测试须符合GB/T19216.21-2008《电缆在火焰条件下的燃烧试验 第二部分：单根铜芯细电线或电缆的垂直燃烧试验方法》规定的标准。</w:t>
      </w:r>
    </w:p>
    <w:p w:rsidR="00E34CE8" w14:paraId="59B6DCB6"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eastAsia="zh-CN"/>
        </w:rPr>
        <w:t>耐火电缆</w:t>
      </w:r>
      <w:r>
        <w:rPr>
          <w:rFonts w:asciiTheme="minorEastAsia" w:eastAsiaTheme="minorEastAsia" w:hAnsiTheme="minorEastAsia"/>
          <w:sz w:val="21"/>
          <w:szCs w:val="21"/>
          <w:lang w:val="en-US" w:eastAsia="zh-CN"/>
        </w:rPr>
        <w:t>须符合GB/T19216.11-2003《在火焰条件下电缆或光缆的线路完整性试验   第十一部分：试验装置、火焰温度不低于750ºC摄氏度的单独供火》、GB/T19216.21-2003《在火焰条件下电缆或光缆的线路完整性试验第二十一部分：试验步骤和要求，额定电压0.6/1.0kV及以下电缆》耐火测试要求。</w:t>
      </w:r>
    </w:p>
    <w:p w:rsidR="00E34CE8" w14:paraId="573E19AB"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须通过GB/T17651.2规定的烟密度试验。</w:t>
      </w:r>
    </w:p>
    <w:p w:rsidR="00E34CE8" w14:paraId="046B9003"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须通过GB/T17650.2规定</w:t>
      </w:r>
      <w:r>
        <w:rPr>
          <w:rFonts w:asciiTheme="minorEastAsia" w:eastAsiaTheme="minorEastAsia" w:hAnsiTheme="minorEastAsia"/>
          <w:sz w:val="21"/>
          <w:szCs w:val="21"/>
          <w:lang w:val="en-US" w:eastAsia="zh-CN"/>
        </w:rPr>
        <w:t>的卤酸气体含量</w:t>
      </w:r>
      <w:r>
        <w:rPr>
          <w:rFonts w:asciiTheme="minorEastAsia" w:eastAsiaTheme="minorEastAsia" w:hAnsiTheme="minorEastAsia"/>
          <w:sz w:val="21"/>
          <w:szCs w:val="21"/>
          <w:lang w:val="en-US" w:eastAsia="zh-CN"/>
        </w:rPr>
        <w:t>测定。</w:t>
      </w:r>
    </w:p>
    <w:p w:rsidR="00E34CE8" w14:paraId="2D80833B"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eastAsia="zh-CN"/>
        </w:rPr>
        <w:t>电缆</w:t>
      </w:r>
      <w:r>
        <w:rPr>
          <w:rFonts w:asciiTheme="minorEastAsia" w:eastAsiaTheme="minorEastAsia" w:hAnsiTheme="minorEastAsia"/>
          <w:sz w:val="21"/>
          <w:szCs w:val="21"/>
          <w:lang w:val="en-US" w:eastAsia="zh-CN"/>
        </w:rPr>
        <w:t>的载流量和电压降须按照JGJ16-2008《民用建筑电气设计规范》之要</w:t>
      </w:r>
      <w:r>
        <w:rPr>
          <w:rFonts w:asciiTheme="minorEastAsia" w:eastAsiaTheme="minorEastAsia" w:hAnsiTheme="minorEastAsia"/>
          <w:sz w:val="21"/>
          <w:szCs w:val="21"/>
          <w:lang w:val="en-US" w:eastAsia="zh-CN"/>
        </w:rPr>
        <w:tab/>
        <w:t>求和生产厂商之要求及按深圳市的条件调整其额定值。</w:t>
      </w:r>
    </w:p>
    <w:p w:rsidR="00E34CE8" w14:paraId="3637347E"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除另有规定外，电缆之最小截面须按下列规定：</w:t>
      </w:r>
    </w:p>
    <w:p w:rsidR="00E34CE8" w14:paraId="7EE5993D" w14:textId="77777777">
      <w:pPr>
        <w:pStyle w:val="P5"/>
        <w:spacing w:before="120" w:beforeLines="50" w:after="120"/>
        <w:ind w:left="1134"/>
        <w:jc w:val="left"/>
        <w:rPr>
          <w:rFonts w:asciiTheme="minorEastAsia" w:eastAsiaTheme="minorEastAsia" w:hAnsiTheme="minorEastAsia"/>
          <w:spacing w:val="0"/>
          <w:sz w:val="21"/>
          <w:szCs w:val="21"/>
          <w:lang w:val="en-US" w:eastAsia="zh-CN"/>
        </w:rPr>
      </w:pPr>
      <w:r>
        <w:rPr>
          <w:rFonts w:asciiTheme="minorEastAsia" w:eastAsiaTheme="minorEastAsia" w:hAnsiTheme="minorEastAsia"/>
          <w:spacing w:val="0"/>
          <w:sz w:val="21"/>
          <w:szCs w:val="21"/>
          <w:lang w:val="en-US" w:eastAsia="zh-CN"/>
        </w:rPr>
        <w:t xml:space="preserve"> 照明： 2.5 mm</w:t>
      </w:r>
      <w:r>
        <w:rPr>
          <w:rFonts w:asciiTheme="minorEastAsia" w:eastAsiaTheme="minorEastAsia" w:hAnsiTheme="minorEastAsia"/>
          <w:spacing w:val="0"/>
          <w:sz w:val="21"/>
          <w:szCs w:val="21"/>
          <w:vertAlign w:val="superscript"/>
          <w:lang w:val="en-US" w:eastAsia="zh-CN"/>
        </w:rPr>
        <w:t>2</w:t>
      </w:r>
    </w:p>
    <w:p w:rsidR="00E34CE8" w14:paraId="4934C6B3" w14:textId="77777777">
      <w:pPr>
        <w:pStyle w:val="P5"/>
        <w:spacing w:before="120" w:beforeLines="50" w:after="120"/>
        <w:ind w:left="1134"/>
        <w:jc w:val="left"/>
        <w:rPr>
          <w:rFonts w:asciiTheme="minorEastAsia" w:eastAsiaTheme="minorEastAsia" w:hAnsiTheme="minorEastAsia"/>
          <w:spacing w:val="0"/>
          <w:sz w:val="21"/>
          <w:szCs w:val="21"/>
          <w:lang w:val="en-US" w:eastAsia="zh-CN"/>
        </w:rPr>
      </w:pPr>
      <w:r>
        <w:rPr>
          <w:rFonts w:asciiTheme="minorEastAsia" w:eastAsiaTheme="minorEastAsia" w:hAnsiTheme="minorEastAsia"/>
          <w:spacing w:val="0"/>
          <w:sz w:val="21"/>
          <w:szCs w:val="21"/>
          <w:lang w:val="en-US" w:eastAsia="zh-CN"/>
        </w:rPr>
        <w:t xml:space="preserve"> 插座： 2.5 mm</w:t>
      </w:r>
      <w:r>
        <w:rPr>
          <w:rFonts w:asciiTheme="minorEastAsia" w:eastAsiaTheme="minorEastAsia" w:hAnsiTheme="minorEastAsia"/>
          <w:spacing w:val="0"/>
          <w:sz w:val="21"/>
          <w:szCs w:val="21"/>
          <w:vertAlign w:val="superscript"/>
          <w:lang w:val="en-US" w:eastAsia="zh-CN"/>
        </w:rPr>
        <w:t>2</w:t>
      </w:r>
    </w:p>
    <w:p w:rsidR="00E34CE8" w14:paraId="08B79F84" w14:textId="77777777">
      <w:pPr>
        <w:pStyle w:val="ReportLevel2"/>
        <w:spacing w:before="240" w:beforeLines="100" w:after="240" w:afterLines="100"/>
        <w:rPr>
          <w:rFonts w:asciiTheme="minorEastAsia" w:eastAsiaTheme="minorEastAsia" w:hAnsiTheme="minorEastAsia"/>
          <w:b/>
          <w:bCs/>
          <w:sz w:val="21"/>
          <w:szCs w:val="21"/>
        </w:rPr>
      </w:pPr>
      <w:bookmarkStart w:id="34" w:name="_Toc390712917"/>
      <w:bookmarkStart w:id="35" w:name="_Toc390714951"/>
      <w:bookmarkStart w:id="36" w:name="_Toc502860833"/>
      <w:bookmarkStart w:id="37" w:name="_Toc502857862"/>
      <w:bookmarkStart w:id="38" w:name="_Toc502853810"/>
      <w:bookmarkStart w:id="39" w:name="_Toc502859849"/>
      <w:bookmarkStart w:id="40" w:name="_Toc390705444"/>
      <w:r>
        <w:rPr>
          <w:rFonts w:asciiTheme="minorEastAsia" w:eastAsiaTheme="minorEastAsia" w:hAnsiTheme="minorEastAsia"/>
          <w:b/>
          <w:bCs/>
          <w:sz w:val="21"/>
          <w:szCs w:val="21"/>
        </w:rPr>
        <w:t>控制用电线和电缆</w:t>
      </w:r>
      <w:bookmarkEnd w:id="34"/>
      <w:bookmarkEnd w:id="35"/>
      <w:bookmarkEnd w:id="36"/>
      <w:bookmarkEnd w:id="37"/>
      <w:bookmarkEnd w:id="38"/>
      <w:bookmarkEnd w:id="39"/>
      <w:bookmarkEnd w:id="40"/>
    </w:p>
    <w:p w:rsidR="00E34CE8" w14:paraId="076F404E"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控制用电线和电缆须满足GB及IEC标准之要求。</w:t>
      </w:r>
    </w:p>
    <w:p w:rsidR="00E34CE8" w14:paraId="5202B066"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控制用电线和电缆须</w:t>
      </w:r>
      <w:r>
        <w:rPr>
          <w:rFonts w:asciiTheme="minorEastAsia" w:eastAsiaTheme="minorEastAsia" w:hAnsiTheme="minorEastAsia"/>
          <w:sz w:val="21"/>
          <w:szCs w:val="21"/>
          <w:lang w:val="en-US" w:eastAsia="zh-CN"/>
        </w:rPr>
        <w:t>满足低烟无卤</w:t>
      </w:r>
      <w:r>
        <w:rPr>
          <w:rFonts w:asciiTheme="minorEastAsia" w:eastAsiaTheme="minorEastAsia" w:hAnsiTheme="minorEastAsia"/>
          <w:sz w:val="21"/>
          <w:szCs w:val="21"/>
          <w:lang w:val="en-US" w:eastAsia="zh-CN"/>
        </w:rPr>
        <w:t>之要求。</w:t>
      </w:r>
    </w:p>
    <w:p w:rsidR="00E34CE8" w14:paraId="4C361E82"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变频器控制用电线和电缆须采用屏蔽型。</w:t>
      </w:r>
    </w:p>
    <w:p w:rsidR="00E34CE8" w14:paraId="533D38D1"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控制用电线和电缆应根据实际控制、工作环境要求进行选型。</w:t>
      </w:r>
    </w:p>
    <w:p w:rsidR="00E34CE8" w14:paraId="6EB990BA"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控制用电线和电缆的最小截面不应小于1.5mm</w:t>
      </w:r>
      <w:r>
        <w:rPr>
          <w:rFonts w:asciiTheme="minorEastAsia" w:eastAsiaTheme="minorEastAsia" w:hAnsiTheme="minorEastAsia"/>
          <w:sz w:val="21"/>
          <w:szCs w:val="21"/>
          <w:vertAlign w:val="superscript"/>
          <w:lang w:val="en-US" w:eastAsia="zh-CN"/>
        </w:rPr>
        <w:t>2</w:t>
      </w:r>
      <w:r>
        <w:rPr>
          <w:rFonts w:asciiTheme="minorEastAsia" w:eastAsiaTheme="minorEastAsia" w:hAnsiTheme="minorEastAsia"/>
          <w:sz w:val="21"/>
          <w:szCs w:val="21"/>
          <w:lang w:val="en-US" w:eastAsia="zh-CN"/>
        </w:rPr>
        <w:t xml:space="preserve"> 。</w:t>
      </w:r>
    </w:p>
    <w:p w:rsidR="00E34CE8" w14:paraId="5FF21180" w14:textId="77777777">
      <w:pPr>
        <w:pStyle w:val="ReportLevel2"/>
        <w:spacing w:before="240" w:beforeLines="100" w:after="240" w:afterLines="100"/>
        <w:rPr>
          <w:rFonts w:asciiTheme="minorEastAsia" w:eastAsiaTheme="minorEastAsia" w:hAnsiTheme="minorEastAsia"/>
          <w:b/>
          <w:bCs/>
          <w:sz w:val="21"/>
          <w:szCs w:val="21"/>
        </w:rPr>
      </w:pPr>
      <w:bookmarkStart w:id="41" w:name="_Toc502853811"/>
      <w:bookmarkStart w:id="42" w:name="_Toc502860834"/>
      <w:bookmarkStart w:id="43" w:name="_Toc502857863"/>
      <w:bookmarkStart w:id="44" w:name="_Toc502859850"/>
      <w:r>
        <w:rPr>
          <w:rFonts w:asciiTheme="minorEastAsia" w:eastAsiaTheme="minorEastAsia" w:hAnsiTheme="minorEastAsia"/>
          <w:b/>
          <w:bCs/>
          <w:sz w:val="21"/>
          <w:szCs w:val="21"/>
        </w:rPr>
        <w:t>软线</w:t>
      </w:r>
      <w:r>
        <w:rPr>
          <w:rFonts w:asciiTheme="minorEastAsia" w:eastAsiaTheme="minorEastAsia" w:hAnsiTheme="minorEastAsia"/>
          <w:b/>
          <w:bCs/>
          <w:sz w:val="21"/>
          <w:szCs w:val="21"/>
        </w:rPr>
        <w:t>（RVVB）</w:t>
      </w:r>
      <w:bookmarkEnd w:id="41"/>
      <w:bookmarkEnd w:id="42"/>
      <w:bookmarkEnd w:id="43"/>
      <w:bookmarkEnd w:id="44"/>
    </w:p>
    <w:p w:rsidR="00E34CE8" w14:paraId="649644EC"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软线须</w:t>
      </w:r>
      <w:r>
        <w:rPr>
          <w:rFonts w:asciiTheme="minorEastAsia" w:eastAsiaTheme="minorEastAsia" w:hAnsiTheme="minorEastAsia"/>
          <w:sz w:val="21"/>
          <w:szCs w:val="21"/>
          <w:lang w:val="en-US" w:eastAsia="zh-CN"/>
        </w:rPr>
        <w:t>符合GB5023.5-2008《额定电压450/750V 及以下聚氯乙烯绝缘电缆 第5部分：软电缆（软线）》之规定，铜导线，聚氯乙烯绝缘。</w:t>
      </w:r>
    </w:p>
    <w:p w:rsidR="00E34CE8" w14:paraId="73DF0160"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耐高温</w:t>
      </w:r>
      <w:r>
        <w:rPr>
          <w:rFonts w:asciiTheme="minorEastAsia" w:eastAsiaTheme="minorEastAsia" w:hAnsiTheme="minorEastAsia"/>
          <w:sz w:val="21"/>
          <w:szCs w:val="21"/>
          <w:lang w:eastAsia="zh-CN"/>
        </w:rPr>
        <w:t>软线</w:t>
      </w:r>
      <w:r>
        <w:rPr>
          <w:rFonts w:asciiTheme="minorEastAsia" w:eastAsiaTheme="minorEastAsia" w:hAnsiTheme="minorEastAsia"/>
          <w:sz w:val="21"/>
          <w:szCs w:val="21"/>
          <w:lang w:val="en-US" w:eastAsia="zh-CN"/>
        </w:rPr>
        <w:t>须</w:t>
      </w:r>
      <w:r>
        <w:rPr>
          <w:rFonts w:asciiTheme="minorEastAsia" w:eastAsiaTheme="minorEastAsia" w:hAnsiTheme="minorEastAsia"/>
          <w:sz w:val="21"/>
          <w:szCs w:val="21"/>
          <w:lang w:val="en-US" w:eastAsia="zh-CN"/>
        </w:rPr>
        <w:t>符合GB5013.7-2008《额定电压450/750V 及以下橡皮绝缘电缆 第7部分：耐热乙烯-乙酸乙烯酯橡皮绝缘电缆》之规定，多股铜导线，耐热乙烯-乙酸乙烯</w:t>
      </w:r>
      <w:r>
        <w:rPr>
          <w:rFonts w:asciiTheme="minorEastAsia" w:eastAsiaTheme="minorEastAsia" w:hAnsiTheme="minorEastAsia"/>
          <w:sz w:val="21"/>
          <w:szCs w:val="21"/>
          <w:lang w:val="en-US" w:eastAsia="zh-CN"/>
        </w:rPr>
        <w:t>酯</w:t>
      </w:r>
      <w:r>
        <w:rPr>
          <w:rFonts w:asciiTheme="minorEastAsia" w:eastAsiaTheme="minorEastAsia" w:hAnsiTheme="minorEastAsia"/>
          <w:sz w:val="21"/>
          <w:szCs w:val="21"/>
          <w:lang w:val="en-US" w:eastAsia="zh-CN"/>
        </w:rPr>
        <w:t>橡皮绝缘带白色阻燃聚氯乙烯外护套。</w:t>
      </w:r>
    </w:p>
    <w:p w:rsidR="00E34CE8" w14:paraId="4D44B271" w14:textId="77777777">
      <w:pPr>
        <w:rPr>
          <w:rFonts w:asciiTheme="minorEastAsia" w:eastAsiaTheme="minorEastAsia" w:hAnsiTheme="minorEastAsia"/>
          <w:b/>
          <w:caps/>
          <w:sz w:val="21"/>
          <w:szCs w:val="21"/>
          <w:lang w:eastAsia="zh-CN"/>
        </w:rPr>
        <w:sectPr w:rsidSect="00143DB7">
          <w:headerReference w:type="default" r:id="rId24"/>
          <w:footerReference w:type="default" r:id="rId25"/>
          <w:type w:val="nextPage"/>
          <w:pgSz w:w="11906" w:h="16838"/>
          <w:pgMar w:top="1814" w:right="1418" w:bottom="1418" w:left="1701" w:header="851" w:footer="992" w:gutter="0"/>
          <w:pgNumType w:start="9"/>
          <w:cols w:space="425"/>
          <w:titlePg w:val="0"/>
          <w:docGrid w:linePitch="312"/>
        </w:sectPr>
      </w:pPr>
      <w:bookmarkStart w:id="45" w:name="_Toc502859851"/>
      <w:bookmarkStart w:id="46" w:name="_Toc505082064"/>
      <w:bookmarkStart w:id="47" w:name="_Toc502853812"/>
      <w:bookmarkStart w:id="48" w:name="_Toc502857864"/>
      <w:bookmarkStart w:id="49" w:name="_Toc502860835"/>
    </w:p>
    <w:p w:rsidR="00E34CE8" w14:paraId="5F7E688C" w14:textId="77777777">
      <w:pPr>
        <w:pStyle w:val="ReportLevel1"/>
        <w:numPr>
          <w:ilvl w:val="0"/>
          <w:numId w:val="24"/>
        </w:numPr>
        <w:spacing w:before="240" w:beforeLines="100" w:after="240" w:afterLines="100"/>
        <w:rPr>
          <w:rFonts w:asciiTheme="minorEastAsia" w:eastAsiaTheme="minorEastAsia" w:hAnsiTheme="minorEastAsia"/>
          <w:sz w:val="21"/>
          <w:szCs w:val="21"/>
          <w:lang w:val="en-US" w:eastAsia="zh-CN"/>
        </w:rPr>
      </w:pPr>
      <w:bookmarkStart w:id="50" w:name="_Toc40335841"/>
      <w:bookmarkStart w:id="51" w:name="_Toc148691212"/>
      <w:r>
        <w:rPr>
          <w:rFonts w:asciiTheme="minorEastAsia" w:eastAsiaTheme="minorEastAsia" w:hAnsiTheme="minorEastAsia" w:hint="eastAsia"/>
          <w:sz w:val="21"/>
          <w:szCs w:val="21"/>
          <w:lang w:val="en-US" w:eastAsia="zh-CN"/>
        </w:rPr>
        <w:t>线路配件及其他电气设备</w:t>
      </w:r>
      <w:bookmarkEnd w:id="45"/>
      <w:bookmarkEnd w:id="46"/>
      <w:bookmarkEnd w:id="47"/>
      <w:bookmarkEnd w:id="48"/>
      <w:bookmarkEnd w:id="49"/>
      <w:bookmarkEnd w:id="50"/>
      <w:bookmarkEnd w:id="51"/>
    </w:p>
    <w:p w:rsidR="00E34CE8" w14:paraId="0F7DB85A" w14:textId="77777777">
      <w:pPr>
        <w:pStyle w:val="ReportLevel2"/>
        <w:spacing w:before="240" w:beforeLines="100" w:after="240" w:afterLines="100"/>
        <w:rPr>
          <w:rFonts w:asciiTheme="minorEastAsia" w:eastAsiaTheme="minorEastAsia" w:hAnsiTheme="minorEastAsia"/>
          <w:b/>
          <w:bCs/>
          <w:sz w:val="21"/>
          <w:szCs w:val="21"/>
          <w:lang w:eastAsia="zh-CN"/>
        </w:rPr>
      </w:pPr>
      <w:bookmarkStart w:id="52" w:name="_Toc502853813"/>
      <w:bookmarkStart w:id="53" w:name="_Toc502860836"/>
      <w:bookmarkStart w:id="54" w:name="_Toc502857865"/>
      <w:bookmarkStart w:id="55" w:name="_Toc502859852"/>
      <w:r>
        <w:rPr>
          <w:rFonts w:asciiTheme="minorEastAsia" w:eastAsiaTheme="minorEastAsia" w:hAnsiTheme="minorEastAsia"/>
          <w:b/>
          <w:bCs/>
          <w:sz w:val="21"/>
          <w:szCs w:val="21"/>
          <w:lang w:eastAsia="zh-CN"/>
        </w:rPr>
        <w:t>桥架</w:t>
      </w:r>
      <w:bookmarkEnd w:id="52"/>
      <w:bookmarkEnd w:id="53"/>
      <w:bookmarkEnd w:id="54"/>
      <w:bookmarkEnd w:id="55"/>
      <w:r>
        <w:rPr>
          <w:rFonts w:asciiTheme="minorEastAsia" w:eastAsiaTheme="minorEastAsia" w:hAnsiTheme="minorEastAsia" w:hint="eastAsia"/>
          <w:b/>
          <w:bCs/>
          <w:sz w:val="21"/>
          <w:szCs w:val="21"/>
          <w:lang w:eastAsia="zh-CN"/>
        </w:rPr>
        <w:t>、</w:t>
      </w:r>
      <w:r>
        <w:rPr>
          <w:rFonts w:asciiTheme="minorEastAsia" w:eastAsiaTheme="minorEastAsia" w:hAnsiTheme="minorEastAsia" w:hint="eastAsia"/>
          <w:b/>
          <w:bCs/>
          <w:sz w:val="21"/>
          <w:szCs w:val="21"/>
          <w:lang w:val="en-US" w:eastAsia="zh-CN"/>
        </w:rPr>
        <w:t>线槽</w:t>
      </w:r>
    </w:p>
    <w:p w:rsidR="00E34CE8" w14:paraId="651600FA" w14:textId="77777777">
      <w:pPr>
        <w:pStyle w:val="ReportLevel3"/>
        <w:keepNext w:val="0"/>
        <w:spacing w:before="240" w:beforeLines="100" w:after="240" w:afterLines="100"/>
        <w:rPr>
          <w:rFonts w:eastAsia="宋体"/>
          <w:lang w:val="en-US" w:eastAsia="zh-CN"/>
        </w:rPr>
      </w:pPr>
      <w:r>
        <w:rPr>
          <w:rFonts w:asciiTheme="minorEastAsia" w:eastAsiaTheme="minorEastAsia" w:hAnsiTheme="minorEastAsia" w:hint="eastAsia"/>
          <w:sz w:val="21"/>
          <w:szCs w:val="21"/>
          <w:lang w:val="en-US" w:eastAsia="zh-CN"/>
        </w:rPr>
        <w:t>托盘桥架、</w:t>
      </w:r>
      <w:r>
        <w:rPr>
          <w:rFonts w:asciiTheme="minorEastAsia" w:eastAsiaTheme="minorEastAsia" w:hAnsiTheme="minorEastAsia"/>
          <w:sz w:val="21"/>
          <w:szCs w:val="21"/>
          <w:lang w:val="en-US" w:eastAsia="zh-CN"/>
        </w:rPr>
        <w:t>梯式桥架</w:t>
      </w:r>
    </w:p>
    <w:p w:rsidR="00E34CE8" w14:paraId="18305E13"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托盘、梯架采用标准产品及工厂预制件，并须尽量减少在工地切断的可能。</w:t>
      </w:r>
    </w:p>
    <w:p w:rsidR="00E34CE8" w14:paraId="1295BDEC" w14:textId="77777777">
      <w:pPr>
        <w:pStyle w:val="ReportLevel4"/>
        <w:keepNext w:val="0"/>
        <w:spacing w:before="120" w:after="120"/>
        <w:rPr>
          <w:lang w:val="en-US" w:eastAsia="zh-CN"/>
        </w:rPr>
      </w:pPr>
      <w:r>
        <w:rPr>
          <w:rFonts w:asciiTheme="minorEastAsia" w:eastAsiaTheme="minorEastAsia" w:hAnsiTheme="minorEastAsia" w:hint="eastAsia"/>
          <w:sz w:val="21"/>
          <w:szCs w:val="21"/>
          <w:lang w:val="en-US" w:eastAsia="zh-CN"/>
        </w:rPr>
        <w:t>托盘桥架采用有孔托盘桥架结构类型，其</w:t>
      </w:r>
      <w:r>
        <w:rPr>
          <w:rFonts w:asciiTheme="minorEastAsia" w:eastAsiaTheme="minorEastAsia" w:hAnsiTheme="minorEastAsia"/>
          <w:sz w:val="21"/>
          <w:szCs w:val="21"/>
          <w:lang w:val="en-US" w:eastAsia="zh-CN"/>
        </w:rPr>
        <w:t>底部通风</w:t>
      </w:r>
      <w:r>
        <w:rPr>
          <w:rFonts w:asciiTheme="minorEastAsia" w:eastAsiaTheme="minorEastAsia" w:hAnsiTheme="minorEastAsia"/>
          <w:sz w:val="21"/>
          <w:szCs w:val="21"/>
          <w:lang w:val="en-US" w:eastAsia="zh-CN"/>
        </w:rPr>
        <w:t>孔面积</w:t>
      </w:r>
      <w:r>
        <w:rPr>
          <w:rFonts w:asciiTheme="minorEastAsia" w:eastAsiaTheme="minorEastAsia" w:hAnsiTheme="minorEastAsia"/>
          <w:sz w:val="21"/>
          <w:szCs w:val="21"/>
          <w:lang w:val="en-US" w:eastAsia="zh-CN"/>
        </w:rPr>
        <w:t>应在托盘底部总面积的30％～40％范围内</w:t>
      </w:r>
      <w:r>
        <w:rPr>
          <w:rFonts w:asciiTheme="minorEastAsia" w:eastAsiaTheme="minorEastAsia" w:hAnsiTheme="minorEastAsia" w:hint="eastAsia"/>
          <w:sz w:val="21"/>
          <w:szCs w:val="21"/>
          <w:lang w:val="en-US" w:eastAsia="zh-CN"/>
        </w:rPr>
        <w:t>。</w:t>
      </w:r>
    </w:p>
    <w:p w:rsidR="00E34CE8" w14:paraId="15A3B0FF"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托盘、梯架</w:t>
      </w:r>
      <w:r>
        <w:rPr>
          <w:rFonts w:asciiTheme="minorEastAsia" w:eastAsiaTheme="minorEastAsia" w:hAnsiTheme="minorEastAsia"/>
          <w:sz w:val="21"/>
          <w:szCs w:val="21"/>
          <w:lang w:val="en-US" w:eastAsia="zh-CN"/>
        </w:rPr>
        <w:t>应满足《钢制电缆桥架工程技术规程》 T/CECS 31-2017</w:t>
      </w:r>
      <w:r>
        <w:rPr>
          <w:rFonts w:asciiTheme="minorEastAsia" w:eastAsiaTheme="minorEastAsia" w:hAnsiTheme="minorEastAsia" w:hint="eastAsia"/>
          <w:sz w:val="21"/>
          <w:szCs w:val="21"/>
          <w:lang w:val="en-US" w:eastAsia="zh-CN"/>
        </w:rPr>
        <w:t>、《电控配电用电缆桥架》JB/T 10216-2013</w:t>
      </w:r>
      <w:r>
        <w:rPr>
          <w:rFonts w:asciiTheme="minorEastAsia" w:eastAsiaTheme="minorEastAsia" w:hAnsiTheme="minorEastAsia"/>
          <w:sz w:val="21"/>
          <w:szCs w:val="21"/>
          <w:lang w:val="en-US" w:eastAsia="zh-CN"/>
        </w:rPr>
        <w:t>的要求。</w:t>
      </w:r>
    </w:p>
    <w:p w:rsidR="00E34CE8" w14:paraId="43C9EB32"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托盘、梯架及附件所用材质应符合GB/T 700-2006、GB 912-2008、GB/T 11253-2007、GB/T3280-2015中的规定。</w:t>
      </w:r>
    </w:p>
    <w:p w:rsidR="00E34CE8" w14:paraId="3450BEB9"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螺栓、螺母、平垫圈、弹簧垫圈等紧固件，应分别符合GB/T 5780-2016、GB/T 6170-2015、GB/T 97.1-2002、GB/T 93-1987、GB/T 12-2013的规定。</w:t>
      </w:r>
    </w:p>
    <w:p w:rsidR="00E34CE8" w14:paraId="18B185B8"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托盘、梯架的允许最小板材厚度应满足《电控配电用电缆桥架》JB/T 10216-2013</w:t>
      </w:r>
      <w:r>
        <w:rPr>
          <w:rFonts w:asciiTheme="minorEastAsia" w:eastAsiaTheme="minorEastAsia" w:hAnsiTheme="minorEastAsia"/>
          <w:sz w:val="21"/>
          <w:szCs w:val="21"/>
          <w:lang w:val="en-US" w:eastAsia="zh-CN"/>
        </w:rPr>
        <w:t>的要求</w:t>
      </w:r>
      <w:r>
        <w:rPr>
          <w:rFonts w:asciiTheme="minorEastAsia" w:eastAsiaTheme="minorEastAsia" w:hAnsiTheme="minorEastAsia" w:hint="eastAsia"/>
          <w:sz w:val="21"/>
          <w:szCs w:val="21"/>
          <w:lang w:val="en-US" w:eastAsia="zh-CN"/>
        </w:rPr>
        <w:t>。</w:t>
      </w:r>
    </w:p>
    <w:p w:rsidR="00E34CE8" w14:paraId="6D639465"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托盘、梯架的材质采用冷轧钢板，当板材厚度大于2mm时可采用热轧钢板。其材质应符合现行国家标准《碳素结构钢》GB/T 700中Q235钢的要求及《碳素结构钢冷轧钢带》GB/T 716、《碳素结构钢和低合金结构钢热轧薄钢板及钢带》GB 912和《连续热镀锌钢板及钢带》GB/T 2518的有关规定。</w:t>
      </w:r>
    </w:p>
    <w:p w:rsidR="00E34CE8" w14:paraId="2040DB82"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托盘、梯架及其附件的表面防护层采用热浸镀锌，热浸镀锌层厚度应符合现行国家标准《连续热镀锌钢板及钢带》GB/T 2518中的规定。</w:t>
      </w:r>
    </w:p>
    <w:p w:rsidR="00E34CE8" w14:paraId="7331C498"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托盘、梯架转弯、分支处采用专用连接配件，其弯曲半径应满足</w:t>
      </w:r>
      <w:r>
        <w:rPr>
          <w:rFonts w:asciiTheme="minorEastAsia" w:eastAsiaTheme="minorEastAsia" w:hAnsiTheme="minorEastAsia"/>
          <w:sz w:val="21"/>
          <w:szCs w:val="21"/>
          <w:lang w:val="en-US" w:eastAsia="zh-CN"/>
        </w:rPr>
        <w:t>《钢制电缆桥架工程技术规程》 T/CECS 31-2017</w:t>
      </w:r>
      <w:r>
        <w:rPr>
          <w:rFonts w:asciiTheme="minorEastAsia" w:eastAsiaTheme="minorEastAsia" w:hAnsiTheme="minorEastAsia" w:hint="eastAsia"/>
          <w:sz w:val="21"/>
          <w:szCs w:val="21"/>
          <w:lang w:val="en-US" w:eastAsia="zh-CN"/>
        </w:rPr>
        <w:t>的规定。</w:t>
      </w:r>
    </w:p>
    <w:p w:rsidR="00E34CE8" w14:paraId="574FE82A" w14:textId="77777777">
      <w:pPr>
        <w:pStyle w:val="ReportLevel4"/>
        <w:keepNext w:val="0"/>
        <w:spacing w:before="120" w:after="120"/>
        <w:rPr>
          <w:lang w:val="en-US" w:eastAsia="zh-CN"/>
        </w:rPr>
      </w:pPr>
      <w:r>
        <w:rPr>
          <w:rFonts w:asciiTheme="minorEastAsia" w:eastAsiaTheme="minorEastAsia" w:hAnsiTheme="minorEastAsia" w:hint="eastAsia"/>
          <w:sz w:val="21"/>
          <w:szCs w:val="21"/>
          <w:lang w:val="en-US" w:eastAsia="zh-CN"/>
        </w:rPr>
        <w:t>支吊架所选用的材料用符合自身标准的要求。</w:t>
      </w:r>
    </w:p>
    <w:p w:rsidR="00E34CE8" w14:paraId="2F8A714B"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支吊架应进行防腐处理，位于室外及潮湿场所的应按设计要求做处理。</w:t>
      </w:r>
    </w:p>
    <w:p w:rsidR="00E34CE8" w14:paraId="6D292282"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托盘、梯架系统应有可靠的电气连接并接地。</w:t>
      </w:r>
    </w:p>
    <w:p w:rsidR="00E34CE8" w14:paraId="5E1DD461" w14:textId="77777777">
      <w:pPr>
        <w:pStyle w:val="ReportLevel3"/>
        <w:keepNext w:val="0"/>
        <w:spacing w:before="240" w:beforeLines="100" w:after="240" w:afterLines="1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金属线槽</w:t>
      </w:r>
    </w:p>
    <w:p w:rsidR="00E34CE8" w14:paraId="39697085" w14:textId="77777777">
      <w:pPr>
        <w:pStyle w:val="ReportLevel4"/>
        <w:keepNext w:val="0"/>
        <w:keepLines/>
        <w:spacing w:before="120" w:after="12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金属电线</w:t>
      </w:r>
      <w:r>
        <w:rPr>
          <w:rFonts w:asciiTheme="minorEastAsia" w:eastAsiaTheme="minorEastAsia" w:hAnsiTheme="minorEastAsia"/>
          <w:sz w:val="21"/>
          <w:szCs w:val="21"/>
          <w:lang w:eastAsia="zh-CN"/>
        </w:rPr>
        <w:t>槽及其</w:t>
      </w:r>
      <w:r>
        <w:rPr>
          <w:rFonts w:asciiTheme="minorEastAsia" w:eastAsiaTheme="minorEastAsia" w:hAnsiTheme="minorEastAsia"/>
          <w:sz w:val="21"/>
          <w:szCs w:val="21"/>
          <w:lang w:eastAsia="zh-CN"/>
        </w:rPr>
        <w:t>配件须符合有关GB/T</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sz w:val="21"/>
          <w:szCs w:val="21"/>
          <w:lang w:eastAsia="zh-CN"/>
        </w:rPr>
        <w:t>19215.1-2003 《电气安装用电缆槽管系统 第一部分：通用要求》及GB/T</w:t>
      </w:r>
      <w:r>
        <w:rPr>
          <w:rFonts w:asciiTheme="minorEastAsia" w:eastAsiaTheme="minorEastAsia" w:hAnsiTheme="minorEastAsia" w:hint="eastAsia"/>
          <w:sz w:val="21"/>
          <w:szCs w:val="21"/>
          <w:lang w:val="en-US" w:eastAsia="zh-CN"/>
        </w:rPr>
        <w:t xml:space="preserve"> </w:t>
      </w:r>
      <w:r>
        <w:rPr>
          <w:rFonts w:asciiTheme="minorEastAsia" w:eastAsiaTheme="minorEastAsia" w:hAnsiTheme="minorEastAsia"/>
          <w:sz w:val="21"/>
          <w:szCs w:val="21"/>
          <w:lang w:eastAsia="zh-CN"/>
        </w:rPr>
        <w:t>19215.2-2003 《电气安装用电缆槽管系统 第二部分：特殊要求》的要求。</w:t>
      </w:r>
    </w:p>
    <w:p w:rsidR="00E34CE8" w14:paraId="1D0E6BA5" w14:textId="77777777">
      <w:pPr>
        <w:pStyle w:val="ReportLevel4"/>
        <w:keepNext w:val="0"/>
        <w:keepLines/>
        <w:spacing w:before="120" w:after="12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金属</w:t>
      </w:r>
      <w:r>
        <w:rPr>
          <w:rFonts w:asciiTheme="minorEastAsia" w:eastAsiaTheme="minorEastAsia" w:hAnsiTheme="minorEastAsia"/>
          <w:sz w:val="21"/>
          <w:szCs w:val="21"/>
          <w:lang w:eastAsia="zh-CN"/>
        </w:rPr>
        <w:t>电线槽须用</w:t>
      </w:r>
      <w:r>
        <w:rPr>
          <w:rFonts w:asciiTheme="minorEastAsia" w:eastAsiaTheme="minorEastAsia" w:hAnsiTheme="minorEastAsia"/>
          <w:sz w:val="21"/>
          <w:szCs w:val="21"/>
          <w:lang w:eastAsia="zh-CN"/>
        </w:rPr>
        <w:t>镀锌钢板制作，其最小长度为2 m。金属电线槽金属材料的厚度须</w:t>
      </w:r>
      <w:r>
        <w:rPr>
          <w:rFonts w:asciiTheme="minorEastAsia" w:eastAsiaTheme="minorEastAsia" w:hAnsiTheme="minorEastAsia" w:hint="eastAsia"/>
          <w:sz w:val="21"/>
          <w:szCs w:val="21"/>
          <w:lang w:val="en-US" w:eastAsia="zh-CN"/>
        </w:rPr>
        <w:t>满足国家规范要求。</w:t>
      </w:r>
    </w:p>
    <w:p w:rsidR="00E34CE8" w14:paraId="4D445DCD" w14:textId="77777777">
      <w:pPr>
        <w:pStyle w:val="ReportLevel4"/>
        <w:keepNext w:val="0"/>
        <w:keepLines/>
        <w:spacing w:before="120" w:after="12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金属电线槽盖须为带中心系紧螺栓的快装彈夾蓋型。不接受其它固定方式。</w:t>
      </w:r>
    </w:p>
    <w:p w:rsidR="00E34CE8" w14:paraId="52CF588A" w14:textId="77777777">
      <w:pPr>
        <w:pStyle w:val="ReportLevel4"/>
        <w:keepNext w:val="0"/>
        <w:keepLines/>
        <w:spacing w:before="120" w:after="12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须提供内部</w:t>
      </w:r>
      <w:r>
        <w:rPr>
          <w:rFonts w:asciiTheme="minorEastAsia" w:eastAsiaTheme="minorEastAsia" w:hAnsiTheme="minorEastAsia"/>
          <w:sz w:val="21"/>
          <w:szCs w:val="21"/>
          <w:lang w:eastAsia="zh-CN"/>
        </w:rPr>
        <w:t>带针型架</w:t>
      </w:r>
      <w:r>
        <w:rPr>
          <w:rFonts w:asciiTheme="minorEastAsia" w:eastAsiaTheme="minorEastAsia" w:hAnsiTheme="minorEastAsia"/>
          <w:sz w:val="21"/>
          <w:szCs w:val="21"/>
          <w:lang w:eastAsia="zh-CN"/>
        </w:rPr>
        <w:t>以支持电缆重量及安装</w:t>
      </w:r>
      <w:r>
        <w:rPr>
          <w:rFonts w:asciiTheme="minorEastAsia" w:eastAsiaTheme="minorEastAsia" w:hAnsiTheme="minorEastAsia"/>
          <w:sz w:val="21"/>
          <w:szCs w:val="21"/>
          <w:lang w:eastAsia="zh-CN"/>
        </w:rPr>
        <w:t>时固定</w:t>
      </w:r>
      <w:r>
        <w:rPr>
          <w:rFonts w:asciiTheme="minorEastAsia" w:eastAsiaTheme="minorEastAsia" w:hAnsiTheme="minorEastAsia"/>
          <w:sz w:val="21"/>
          <w:szCs w:val="21"/>
          <w:lang w:eastAsia="zh-CN"/>
        </w:rPr>
        <w:t>电缆的垂直电线槽。</w:t>
      </w:r>
      <w:r>
        <w:rPr>
          <w:rFonts w:asciiTheme="minorEastAsia" w:eastAsiaTheme="minorEastAsia" w:hAnsiTheme="minorEastAsia"/>
          <w:sz w:val="21"/>
          <w:szCs w:val="21"/>
          <w:lang w:eastAsia="zh-CN"/>
        </w:rPr>
        <w:t>针型架为</w:t>
      </w:r>
      <w:r>
        <w:rPr>
          <w:rFonts w:asciiTheme="minorEastAsia" w:eastAsiaTheme="minorEastAsia" w:hAnsiTheme="minorEastAsia"/>
          <w:sz w:val="21"/>
          <w:szCs w:val="21"/>
          <w:lang w:eastAsia="zh-CN"/>
        </w:rPr>
        <w:t>钢针柱外包绝缘护套固定于电线槽的背板上间距为３米。金属电线槽垂直敷设时，须采取措施防止电线在线槽内移动。</w:t>
      </w:r>
    </w:p>
    <w:p w:rsidR="00E34CE8" w14:paraId="77848284" w14:textId="77777777">
      <w:pPr>
        <w:pStyle w:val="ReportLevel4"/>
        <w:keepNext w:val="0"/>
        <w:keepLines/>
        <w:spacing w:before="120" w:after="120"/>
        <w:rPr>
          <w:rFonts w:asciiTheme="minorEastAsia" w:eastAsiaTheme="minorEastAsia" w:hAnsiTheme="minorEastAsia"/>
          <w:sz w:val="21"/>
          <w:szCs w:val="21"/>
          <w:lang w:eastAsia="zh-CN"/>
        </w:rPr>
        <w:sectPr w:rsidSect="00143DB7">
          <w:headerReference w:type="default" r:id="rId26"/>
          <w:footerReference w:type="default" r:id="rId27"/>
          <w:type w:val="nextPage"/>
          <w:pgSz w:w="11906" w:h="16838"/>
          <w:pgMar w:top="1814" w:right="1418" w:bottom="1418" w:left="1701" w:header="851" w:footer="992" w:gutter="0"/>
          <w:pgNumType w:start="10"/>
          <w:cols w:space="425"/>
          <w:titlePg w:val="0"/>
          <w:docGrid w:linePitch="312"/>
        </w:sectPr>
      </w:pPr>
      <w:r>
        <w:rPr>
          <w:rFonts w:asciiTheme="minorEastAsia" w:eastAsiaTheme="minorEastAsia" w:hAnsiTheme="minorEastAsia"/>
          <w:sz w:val="21"/>
          <w:szCs w:val="21"/>
          <w:lang w:eastAsia="zh-CN"/>
        </w:rPr>
        <w:t>终端</w:t>
      </w:r>
      <w:r>
        <w:rPr>
          <w:rFonts w:asciiTheme="minorEastAsia" w:eastAsiaTheme="minorEastAsia" w:hAnsiTheme="minorEastAsia"/>
          <w:sz w:val="21"/>
          <w:szCs w:val="21"/>
          <w:lang w:eastAsia="zh-CN"/>
        </w:rPr>
        <w:t>电线槽须装设</w:t>
      </w:r>
      <w:r>
        <w:rPr>
          <w:rFonts w:asciiTheme="minorEastAsia" w:eastAsiaTheme="minorEastAsia" w:hAnsiTheme="minorEastAsia"/>
          <w:sz w:val="21"/>
          <w:szCs w:val="21"/>
          <w:lang w:eastAsia="zh-CN"/>
        </w:rPr>
        <w:t>终端法兰板用以直接与配电箱或装置用螺栓连接。使用连接片并以镀镉菌形螺栓，螺帽及防震的弹簧垫圈固定。</w:t>
      </w:r>
    </w:p>
    <w:p w:rsidR="00E34CE8" w14:paraId="319000BC" w14:textId="77777777">
      <w:pPr>
        <w:pStyle w:val="ReportLevel4"/>
        <w:keepNext w:val="0"/>
        <w:keepLines/>
        <w:spacing w:before="120" w:after="12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金属电线槽之接头处须有一条镀锡铜带以螺栓与相邻的电线槽连接以保证电气上的连续性。</w:t>
      </w:r>
    </w:p>
    <w:p w:rsidR="00E34CE8" w14:paraId="7C78ECA8" w14:textId="77777777">
      <w:pPr>
        <w:pStyle w:val="ReportLevel4"/>
        <w:spacing w:before="120" w:after="12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有防火要求之场所，可在钢制托盘、梯架添加具有耐火或难燃性的板、</w:t>
      </w:r>
      <w:r>
        <w:rPr>
          <w:rFonts w:asciiTheme="minorEastAsia" w:eastAsiaTheme="minorEastAsia" w:hAnsiTheme="minorEastAsia"/>
          <w:sz w:val="21"/>
          <w:szCs w:val="21"/>
          <w:lang w:eastAsia="zh-CN"/>
        </w:rPr>
        <w:t>网材料</w:t>
      </w:r>
      <w:r>
        <w:rPr>
          <w:rFonts w:asciiTheme="minorEastAsia" w:eastAsiaTheme="minorEastAsia" w:hAnsiTheme="minorEastAsia"/>
          <w:sz w:val="21"/>
          <w:szCs w:val="21"/>
          <w:lang w:eastAsia="zh-CN"/>
        </w:rPr>
        <w:t>构成封闭或半封闭式结构，并在桥架表面涂刷符合《钢结构防火涂料应用技术规范》CECS24:90(中国工程建设标准化协会标准)的防火涂层等措施，其整体耐火性还应符合国家有关规范或标准的要求。铝制电缆桥架应按《电力工程电缆设计规范》GB50217及相关标准的有关规定执行。</w:t>
      </w:r>
    </w:p>
    <w:p w:rsidR="00E34CE8" w14:paraId="461BEA5C" w14:textId="77777777">
      <w:pPr>
        <w:pStyle w:val="ReportLevel4"/>
        <w:spacing w:before="120" w:after="120"/>
        <w:rPr>
          <w:lang w:eastAsia="zh-CN"/>
        </w:rPr>
      </w:pPr>
      <w:r>
        <w:rPr>
          <w:rFonts w:asciiTheme="minorEastAsia" w:eastAsiaTheme="minorEastAsia" w:hAnsiTheme="minorEastAsia"/>
          <w:sz w:val="21"/>
          <w:szCs w:val="21"/>
          <w:lang w:eastAsia="zh-CN"/>
        </w:rPr>
        <w:t>金属电线槽进出线口应在厂家一次完成。</w:t>
      </w:r>
    </w:p>
    <w:p w:rsidR="00E34CE8" w14:paraId="37FA92AE" w14:textId="77777777">
      <w:pPr>
        <w:pStyle w:val="ReportLevel3"/>
        <w:keepNext w:val="0"/>
        <w:spacing w:before="240" w:beforeLines="100" w:after="240" w:afterLines="100"/>
        <w:rPr>
          <w:rFonts w:asciiTheme="minorEastAsia" w:eastAsiaTheme="minorEastAsia" w:hAnsiTheme="minorEastAsia"/>
          <w:sz w:val="21"/>
          <w:szCs w:val="21"/>
          <w:lang w:val="en-US" w:eastAsia="zh-CN"/>
        </w:rPr>
      </w:pPr>
      <w:bookmarkStart w:id="56" w:name="_Toc502857866"/>
      <w:bookmarkStart w:id="57" w:name="_Toc502859853"/>
      <w:bookmarkStart w:id="58" w:name="_Toc502860837"/>
      <w:bookmarkStart w:id="59" w:name="_Toc502853814"/>
      <w:r>
        <w:rPr>
          <w:rFonts w:asciiTheme="minorEastAsia" w:eastAsiaTheme="minorEastAsia" w:hAnsiTheme="minorEastAsia" w:hint="eastAsia"/>
          <w:sz w:val="21"/>
          <w:szCs w:val="21"/>
          <w:lang w:val="en-US" w:eastAsia="zh-CN"/>
        </w:rPr>
        <w:t>安装</w:t>
      </w:r>
    </w:p>
    <w:p w:rsidR="00E34CE8" w14:paraId="22D9ED16"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桥架、</w:t>
      </w:r>
      <w:r>
        <w:rPr>
          <w:rFonts w:asciiTheme="minorEastAsia" w:eastAsiaTheme="minorEastAsia" w:hAnsiTheme="minorEastAsia"/>
          <w:sz w:val="21"/>
          <w:szCs w:val="21"/>
          <w:lang w:eastAsia="zh-CN"/>
        </w:rPr>
        <w:t>线槽</w:t>
      </w:r>
      <w:r>
        <w:rPr>
          <w:rFonts w:asciiTheme="minorEastAsia" w:eastAsiaTheme="minorEastAsia" w:hAnsiTheme="minorEastAsia" w:hint="eastAsia"/>
          <w:sz w:val="21"/>
          <w:szCs w:val="21"/>
          <w:lang w:val="en-US" w:eastAsia="zh-CN"/>
        </w:rPr>
        <w:t>与支架间及与连接板的固定螺栓应紧固无遗漏，螺母应位于桥架外侧。</w:t>
      </w:r>
    </w:p>
    <w:p w:rsidR="00E34CE8" w14:paraId="1D693099"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桥架、</w:t>
      </w:r>
      <w:r>
        <w:rPr>
          <w:rFonts w:asciiTheme="minorEastAsia" w:eastAsiaTheme="minorEastAsia" w:hAnsiTheme="minorEastAsia"/>
          <w:sz w:val="21"/>
          <w:szCs w:val="21"/>
          <w:lang w:eastAsia="zh-CN"/>
        </w:rPr>
        <w:t>线槽</w:t>
      </w:r>
      <w:r>
        <w:rPr>
          <w:rFonts w:asciiTheme="minorEastAsia" w:eastAsiaTheme="minorEastAsia" w:hAnsiTheme="minorEastAsia" w:hint="eastAsia"/>
          <w:sz w:val="21"/>
          <w:szCs w:val="21"/>
          <w:lang w:val="en-US" w:eastAsia="zh-CN"/>
        </w:rPr>
        <w:t>的安装应牢固，横平竖直，沿桥架水平走向的支架左右偏差不应大于10mm，其高低偏差不应大于5mm。</w:t>
      </w:r>
    </w:p>
    <w:p w:rsidR="00E34CE8" w14:paraId="677A1B9F" w14:textId="77777777">
      <w:pPr>
        <w:pStyle w:val="ReportLevel4"/>
        <w:keepNext w:val="0"/>
        <w:spacing w:before="120" w:after="120"/>
        <w:rPr>
          <w:lang w:val="en-US" w:eastAsia="zh-CN"/>
        </w:rPr>
      </w:pPr>
      <w:r>
        <w:rPr>
          <w:rFonts w:asciiTheme="minorEastAsia" w:eastAsiaTheme="minorEastAsia" w:hAnsiTheme="minorEastAsia" w:hint="eastAsia"/>
          <w:sz w:val="21"/>
          <w:szCs w:val="21"/>
          <w:lang w:val="en-US" w:eastAsia="zh-CN"/>
        </w:rPr>
        <w:t>桥架、</w:t>
      </w:r>
      <w:r>
        <w:rPr>
          <w:rFonts w:asciiTheme="minorEastAsia" w:eastAsiaTheme="minorEastAsia" w:hAnsiTheme="minorEastAsia"/>
          <w:sz w:val="21"/>
          <w:szCs w:val="21"/>
          <w:lang w:eastAsia="zh-CN"/>
        </w:rPr>
        <w:t>线槽</w:t>
      </w:r>
      <w:r>
        <w:rPr>
          <w:rFonts w:asciiTheme="minorEastAsia" w:eastAsiaTheme="minorEastAsia" w:hAnsiTheme="minorEastAsia" w:hint="eastAsia"/>
          <w:sz w:val="21"/>
          <w:szCs w:val="21"/>
          <w:lang w:val="en-US" w:eastAsia="zh-CN"/>
        </w:rPr>
        <w:t>的分段应合理，连接部位不应置于穿墙、楼板孔洞内。</w:t>
      </w:r>
    </w:p>
    <w:p w:rsidR="00E34CE8" w14:paraId="52828BE3" w14:textId="77777777">
      <w:pPr>
        <w:pStyle w:val="ReportLevel4"/>
        <w:keepNext w:val="0"/>
        <w:spacing w:before="120" w:after="120"/>
        <w:rPr>
          <w:lang w:val="en-US" w:eastAsia="zh-CN"/>
        </w:rPr>
      </w:pPr>
      <w:r>
        <w:rPr>
          <w:rFonts w:asciiTheme="minorEastAsia" w:eastAsiaTheme="minorEastAsia" w:hAnsiTheme="minorEastAsia" w:hint="eastAsia"/>
          <w:sz w:val="21"/>
          <w:szCs w:val="21"/>
          <w:lang w:val="en-US" w:eastAsia="zh-CN"/>
        </w:rPr>
        <w:t>当直线段桥架、</w:t>
      </w:r>
      <w:r>
        <w:rPr>
          <w:rFonts w:asciiTheme="minorEastAsia" w:eastAsiaTheme="minorEastAsia" w:hAnsiTheme="minorEastAsia"/>
          <w:sz w:val="21"/>
          <w:szCs w:val="21"/>
          <w:lang w:eastAsia="zh-CN"/>
        </w:rPr>
        <w:t>线槽</w:t>
      </w:r>
      <w:r>
        <w:rPr>
          <w:rFonts w:asciiTheme="minorEastAsia" w:eastAsiaTheme="minorEastAsia" w:hAnsiTheme="minorEastAsia" w:hint="eastAsia"/>
          <w:sz w:val="21"/>
          <w:szCs w:val="21"/>
          <w:lang w:val="en-US" w:eastAsia="zh-CN"/>
        </w:rPr>
        <w:t>直线段长度超过30m时，应设置伸缩装置；当桥架跨越建筑物变形缝处时，应设置补偿装置。</w:t>
      </w:r>
    </w:p>
    <w:p w:rsidR="00E34CE8" w14:paraId="753D573B"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敷设在电气竖井内穿楼板处和穿越不同防火区的桥架、</w:t>
      </w:r>
      <w:r>
        <w:rPr>
          <w:rFonts w:asciiTheme="minorEastAsia" w:eastAsiaTheme="minorEastAsia" w:hAnsiTheme="minorEastAsia"/>
          <w:sz w:val="21"/>
          <w:szCs w:val="21"/>
          <w:lang w:eastAsia="zh-CN"/>
        </w:rPr>
        <w:t>线槽</w:t>
      </w:r>
      <w:r>
        <w:rPr>
          <w:rFonts w:asciiTheme="minorEastAsia" w:eastAsiaTheme="minorEastAsia" w:hAnsiTheme="minorEastAsia" w:hint="eastAsia"/>
          <w:sz w:val="21"/>
          <w:szCs w:val="21"/>
          <w:lang w:val="en-US" w:eastAsia="zh-CN"/>
        </w:rPr>
        <w:t>，应有防火封堵措施。</w:t>
      </w:r>
    </w:p>
    <w:p w:rsidR="00E34CE8" w14:paraId="4D48757C"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对于敷设在室外的桥架、</w:t>
      </w:r>
      <w:r>
        <w:rPr>
          <w:rFonts w:asciiTheme="minorEastAsia" w:eastAsiaTheme="minorEastAsia" w:hAnsiTheme="minorEastAsia"/>
          <w:sz w:val="21"/>
          <w:szCs w:val="21"/>
          <w:lang w:eastAsia="zh-CN"/>
        </w:rPr>
        <w:t>线槽</w:t>
      </w:r>
      <w:r>
        <w:rPr>
          <w:rFonts w:asciiTheme="minorEastAsia" w:eastAsiaTheme="minorEastAsia" w:hAnsiTheme="minorEastAsia" w:hint="eastAsia"/>
          <w:sz w:val="21"/>
          <w:szCs w:val="21"/>
          <w:lang w:val="en-US" w:eastAsia="zh-CN"/>
        </w:rPr>
        <w:t>，当进入室内或配电箱(柜)时应有防雨水措施。   </w:t>
      </w:r>
    </w:p>
    <w:p w:rsidR="00E34CE8" w14:paraId="6FCFE40B"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水平安装的支架间距为1500mm～2000mm，转角安装的支架间距宜为300mm～600mm；垂直安装的支架间距不应大于2000mm。</w:t>
      </w:r>
    </w:p>
    <w:p w:rsidR="00E34CE8" w14:paraId="156C7D93" w14:textId="77777777">
      <w:pPr>
        <w:pStyle w:val="ReportLevel4"/>
        <w:keepNext w:val="0"/>
        <w:spacing w:before="120" w:after="120"/>
        <w:rPr>
          <w:lang w:val="en-US" w:eastAsia="zh-CN"/>
        </w:rPr>
      </w:pPr>
      <w:r>
        <w:rPr>
          <w:rFonts w:asciiTheme="minorEastAsia" w:eastAsiaTheme="minorEastAsia" w:hAnsiTheme="minorEastAsia" w:hint="eastAsia"/>
          <w:sz w:val="21"/>
          <w:szCs w:val="21"/>
          <w:lang w:val="en-US" w:eastAsia="zh-CN"/>
        </w:rPr>
        <w:t>采用圆钢吊架时，圆钢直径不得小于10mm，并</w:t>
      </w:r>
      <w:r>
        <w:rPr>
          <w:rFonts w:asciiTheme="minorEastAsia" w:eastAsiaTheme="minorEastAsia" w:hAnsiTheme="minorEastAsia" w:hint="eastAsia"/>
          <w:sz w:val="21"/>
          <w:szCs w:val="21"/>
          <w:lang w:val="en-US" w:eastAsia="zh-CN"/>
        </w:rPr>
        <w:t>应有防晃措施</w:t>
      </w:r>
      <w:r>
        <w:rPr>
          <w:rFonts w:asciiTheme="minorEastAsia" w:eastAsiaTheme="minorEastAsia" w:hAnsiTheme="minorEastAsia" w:hint="eastAsia"/>
          <w:sz w:val="21"/>
          <w:szCs w:val="21"/>
          <w:lang w:val="en-US" w:eastAsia="zh-CN"/>
        </w:rPr>
        <w:t>，在分支处或端部300mm～500mm处应有固定措施。</w:t>
      </w:r>
    </w:p>
    <w:p w:rsidR="00E34CE8" w14:paraId="7E1A2260" w14:textId="77777777">
      <w:pPr>
        <w:pStyle w:val="ReportLevel3"/>
        <w:keepNext w:val="0"/>
        <w:spacing w:before="240" w:beforeLines="100" w:after="240" w:afterLines="1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接地</w:t>
      </w:r>
    </w:p>
    <w:p w:rsidR="00E34CE8" w14:paraId="4BA5C2FF"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桥架、</w:t>
      </w:r>
      <w:r>
        <w:rPr>
          <w:rFonts w:asciiTheme="minorEastAsia" w:eastAsiaTheme="minorEastAsia" w:hAnsiTheme="minorEastAsia"/>
          <w:sz w:val="21"/>
          <w:szCs w:val="21"/>
          <w:lang w:eastAsia="zh-CN"/>
        </w:rPr>
        <w:t>线槽</w:t>
      </w:r>
      <w:r>
        <w:rPr>
          <w:rFonts w:asciiTheme="minorEastAsia" w:eastAsiaTheme="minorEastAsia" w:hAnsiTheme="minorEastAsia" w:hint="eastAsia"/>
          <w:sz w:val="21"/>
          <w:szCs w:val="21"/>
          <w:lang w:val="en-US" w:eastAsia="zh-CN"/>
        </w:rPr>
        <w:t>的全长不大于30m时，不应少于2处与保护导体可靠连接；全长大于30m时，每隔20m～30m应增加一个连接点，起始端和终点端均应可靠接地。</w:t>
      </w:r>
    </w:p>
    <w:p w:rsidR="00E34CE8" w14:paraId="31368FDF"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非镀锌桥架、</w:t>
      </w:r>
      <w:r>
        <w:rPr>
          <w:rFonts w:asciiTheme="minorEastAsia" w:eastAsiaTheme="minorEastAsia" w:hAnsiTheme="minorEastAsia"/>
          <w:sz w:val="21"/>
          <w:szCs w:val="21"/>
          <w:lang w:eastAsia="zh-CN"/>
        </w:rPr>
        <w:t>线槽</w:t>
      </w:r>
      <w:r>
        <w:rPr>
          <w:rFonts w:asciiTheme="minorEastAsia" w:eastAsiaTheme="minorEastAsia" w:hAnsiTheme="minorEastAsia" w:hint="eastAsia"/>
          <w:sz w:val="21"/>
          <w:szCs w:val="21"/>
          <w:lang w:val="en-US" w:eastAsia="zh-CN"/>
        </w:rPr>
        <w:t>本体之间连接板的两端应采用截面不小于4mm2的铜芯跨接线跨接。</w:t>
      </w:r>
    </w:p>
    <w:p w:rsidR="00E34CE8" w14:paraId="153A32AF"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镀锌桥架、</w:t>
      </w:r>
      <w:r>
        <w:rPr>
          <w:rFonts w:asciiTheme="minorEastAsia" w:eastAsiaTheme="minorEastAsia" w:hAnsiTheme="minorEastAsia"/>
          <w:sz w:val="21"/>
          <w:szCs w:val="21"/>
          <w:lang w:eastAsia="zh-CN"/>
        </w:rPr>
        <w:t>线槽</w:t>
      </w:r>
      <w:r>
        <w:rPr>
          <w:rFonts w:asciiTheme="minorEastAsia" w:eastAsiaTheme="minorEastAsia" w:hAnsiTheme="minorEastAsia" w:hint="eastAsia"/>
          <w:sz w:val="21"/>
          <w:szCs w:val="21"/>
          <w:lang w:val="en-US" w:eastAsia="zh-CN"/>
        </w:rPr>
        <w:t>之间</w:t>
      </w:r>
      <w:r>
        <w:rPr>
          <w:rFonts w:asciiTheme="minorEastAsia" w:eastAsiaTheme="minorEastAsia" w:hAnsiTheme="minorEastAsia" w:hint="eastAsia"/>
          <w:sz w:val="21"/>
          <w:szCs w:val="21"/>
          <w:lang w:val="en-US" w:eastAsia="zh-CN"/>
        </w:rPr>
        <w:t>不</w:t>
      </w:r>
      <w:r>
        <w:rPr>
          <w:rFonts w:asciiTheme="minorEastAsia" w:eastAsiaTheme="minorEastAsia" w:hAnsiTheme="minorEastAsia" w:hint="eastAsia"/>
          <w:sz w:val="21"/>
          <w:szCs w:val="21"/>
          <w:lang w:val="en-US" w:eastAsia="zh-CN"/>
        </w:rPr>
        <w:t>跨接保护联结导体时，连接</w:t>
      </w:r>
      <w:r>
        <w:rPr>
          <w:rFonts w:asciiTheme="minorEastAsia" w:eastAsiaTheme="minorEastAsia" w:hAnsiTheme="minorEastAsia" w:hint="eastAsia"/>
          <w:sz w:val="21"/>
          <w:szCs w:val="21"/>
          <w:lang w:val="en-US" w:eastAsia="zh-CN"/>
        </w:rPr>
        <w:t>板每端</w:t>
      </w:r>
      <w:r>
        <w:rPr>
          <w:rFonts w:asciiTheme="minorEastAsia" w:eastAsiaTheme="minorEastAsia" w:hAnsiTheme="minorEastAsia" w:hint="eastAsia"/>
          <w:sz w:val="21"/>
          <w:szCs w:val="21"/>
          <w:lang w:val="en-US" w:eastAsia="zh-CN"/>
        </w:rPr>
        <w:t>不应少于2个有防松螺帽或防松垫圈的连接固定螺栓。</w:t>
      </w:r>
    </w:p>
    <w:p w:rsidR="00E34CE8" w14:paraId="74B720CA" w14:textId="77777777">
      <w:pPr>
        <w:pStyle w:val="ReportLevel4"/>
        <w:keepNext w:val="0"/>
        <w:spacing w:before="120" w:after="120"/>
        <w:rPr>
          <w:lang w:val="en-US" w:eastAsia="zh-CN"/>
        </w:rPr>
      </w:pPr>
      <w:r>
        <w:rPr>
          <w:rFonts w:asciiTheme="minorEastAsia" w:eastAsiaTheme="minorEastAsia" w:hAnsiTheme="minorEastAsia" w:hint="eastAsia"/>
          <w:sz w:val="21"/>
          <w:szCs w:val="21"/>
          <w:lang w:val="en-US" w:eastAsia="zh-CN"/>
        </w:rPr>
        <w:t>当桥架、</w:t>
      </w:r>
      <w:r>
        <w:rPr>
          <w:rFonts w:asciiTheme="minorEastAsia" w:eastAsiaTheme="minorEastAsia" w:hAnsiTheme="minorEastAsia"/>
          <w:sz w:val="21"/>
          <w:szCs w:val="21"/>
          <w:lang w:eastAsia="zh-CN"/>
        </w:rPr>
        <w:t>线槽</w:t>
      </w:r>
      <w:r>
        <w:rPr>
          <w:rFonts w:asciiTheme="minorEastAsia" w:eastAsiaTheme="minorEastAsia" w:hAnsiTheme="minorEastAsia" w:hint="eastAsia"/>
          <w:sz w:val="21"/>
          <w:szCs w:val="21"/>
          <w:lang w:val="en-US" w:eastAsia="zh-CN"/>
        </w:rPr>
        <w:t>表面有绝缘涂层时，应将接地点或需要电气连接处的绝缘涂层清理干净或其他确保电气连接的措施。</w:t>
      </w:r>
    </w:p>
    <w:p w:rsidR="00E34CE8" w14:paraId="3071CE95" w14:textId="77777777">
      <w:pPr>
        <w:pStyle w:val="ReportLevel4"/>
        <w:keepNext w:val="0"/>
        <w:spacing w:before="120" w:after="12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桥架、</w:t>
      </w:r>
      <w:r>
        <w:rPr>
          <w:rFonts w:asciiTheme="minorEastAsia" w:eastAsiaTheme="minorEastAsia" w:hAnsiTheme="minorEastAsia"/>
          <w:sz w:val="21"/>
          <w:szCs w:val="21"/>
          <w:lang w:eastAsia="zh-CN"/>
        </w:rPr>
        <w:t>线槽</w:t>
      </w:r>
      <w:r>
        <w:rPr>
          <w:rFonts w:asciiTheme="minorEastAsia" w:eastAsiaTheme="minorEastAsia" w:hAnsiTheme="minorEastAsia" w:hint="eastAsia"/>
          <w:sz w:val="21"/>
          <w:szCs w:val="21"/>
          <w:lang w:val="en-US" w:eastAsia="zh-CN"/>
        </w:rPr>
        <w:t>在出入建筑物时，应就近与总等电位接地装置进行联结。</w:t>
      </w:r>
    </w:p>
    <w:p w:rsidR="00E34CE8" w14:paraId="190F04DF" w14:textId="77777777">
      <w:pPr>
        <w:pStyle w:val="ReportLevel2"/>
        <w:spacing w:before="240" w:beforeLines="100" w:after="240" w:afterLines="100"/>
        <w:rPr>
          <w:rFonts w:asciiTheme="minorEastAsia" w:eastAsiaTheme="minorEastAsia" w:hAnsiTheme="minorEastAsia"/>
          <w:b/>
          <w:bCs/>
          <w:sz w:val="21"/>
          <w:szCs w:val="21"/>
          <w:lang w:eastAsia="zh-CN"/>
        </w:rPr>
      </w:pPr>
      <w:r>
        <w:rPr>
          <w:rFonts w:asciiTheme="minorEastAsia" w:eastAsiaTheme="minorEastAsia" w:hAnsiTheme="minorEastAsia"/>
          <w:b/>
          <w:bCs/>
          <w:sz w:val="21"/>
          <w:szCs w:val="21"/>
          <w:lang w:eastAsia="zh-CN"/>
        </w:rPr>
        <w:t>金属电线管及其配件</w:t>
      </w:r>
      <w:bookmarkEnd w:id="56"/>
      <w:bookmarkEnd w:id="57"/>
      <w:bookmarkEnd w:id="58"/>
      <w:bookmarkEnd w:id="59"/>
    </w:p>
    <w:p w:rsidR="00E34CE8" w14:paraId="703A9136" w14:textId="77777777">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配线系统须符合GB50303-2015之要求。电线管必须为符合BS4568：第1部分，热浸镀锌焊接钢管。电线管配件须符合BS4568：第2部分之要求。所有电线管采用螺纹丝扣连接。</w:t>
      </w:r>
    </w:p>
    <w:p w:rsidR="00E34CE8" w14:paraId="11E1B949" w14:textId="77777777">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挠性电线管及配件必须符合BS731：第1部分，须为镀锌防水型，阻燃PVC外护套并内附一条单独的接地。</w:t>
      </w:r>
    </w:p>
    <w:p w:rsidR="00E34CE8" w14:paraId="1B8DD1F4" w14:textId="77777777">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电线管的最小直径为20毫米。</w:t>
      </w:r>
      <w:r>
        <w:rPr>
          <w:rFonts w:asciiTheme="minorEastAsia" w:eastAsiaTheme="minorEastAsia" w:hAnsiTheme="minorEastAsia"/>
          <w:sz w:val="21"/>
          <w:szCs w:val="21"/>
          <w:lang w:eastAsia="zh-CN"/>
        </w:rPr>
        <w:br/>
      </w:r>
      <w:r>
        <w:rPr>
          <w:rFonts w:asciiTheme="minorEastAsia" w:eastAsiaTheme="minorEastAsia" w:hAnsiTheme="minorEastAsia"/>
          <w:sz w:val="21"/>
          <w:szCs w:val="21"/>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8" w:history="1">
        <w:r>
          <w:rPr>
            <w:rFonts w:ascii="SimSun" w:eastAsia="SimSun" w:hAnsi="SimSun" w:cs="SimSun"/>
            <w:b/>
            <w:bCs/>
            <w:color w:val="0000EE"/>
            <w:sz w:val="30"/>
            <w:szCs w:val="30"/>
            <w:u w:val="single" w:color="0000EE"/>
          </w:rPr>
          <w:t>https://d.book118.com/068006075002006043</w:t>
        </w:r>
      </w:hyperlink>
    </w:p>
    <w:p w:rsidR="00E34CE8">
      <w:pPr>
        <w:pStyle w:val="ReportLevel3"/>
        <w:keepNext w:val="0"/>
        <w:spacing w:before="120" w:beforeLines="50" w:after="120" w:afterLines="50"/>
        <w:rPr>
          <w:rFonts w:asciiTheme="minorEastAsia" w:eastAsiaTheme="minorEastAsia" w:hAnsiTheme="minorEastAsia"/>
          <w:sz w:val="21"/>
          <w:szCs w:val="21"/>
          <w:lang w:eastAsia="zh-CN"/>
        </w:rPr>
      </w:pPr>
    </w:p>
    <w:sectPr w:rsidSect="00143DB7">
      <w:headerReference w:type="default" r:id="rId29"/>
      <w:footerReference w:type="default" r:id="rId30"/>
      <w:type w:val="nextPage"/>
      <w:pgSz w:w="11906" w:h="16838"/>
      <w:pgMar w:top="1814" w:right="1418" w:bottom="1418" w:left="1701" w:header="851" w:footer="992" w:gutter="0"/>
      <w:pgNumType w:start="11"/>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Bold">
    <w:altName w:val="Arial"/>
    <w:panose1 w:val="020B0704020202020204"/>
    <w:charset w:val="00"/>
    <w:family w:val="roman"/>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Frutiger 45 Light">
    <w:altName w:val="新宋体"/>
    <w:charset w:val="86"/>
    <w:family w:val="swiss"/>
    <w:pitch w:val="default"/>
    <w:sig w:usb0="00000000" w:usb1="00000000" w:usb2="00000010" w:usb3="00000000" w:csb0="00040000" w:csb1="00000000"/>
  </w:font>
  <w:font w:name="Arial Black">
    <w:panose1 w:val="020B0A04020102020204"/>
    <w:charset w:val="00"/>
    <w:family w:val="swiss"/>
    <w:pitch w:val="variable"/>
    <w:sig w:usb0="A00002AF" w:usb1="400078FB" w:usb2="00000000" w:usb3="00000000" w:csb0="0000009F" w:csb1="00000000"/>
  </w:font>
  <w:font w:name="PMingLiU">
    <w:altName w:val="Arial Unicode MS"/>
    <w:panose1 w:val="02010601000101010101"/>
    <w:charset w:val="88"/>
    <w:family w:val="roman"/>
    <w:pitch w:val="variable"/>
    <w:sig w:usb0="00000000"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金梅簡中明">
    <w:altName w:val="MingLiU-ExtB"/>
    <w:charset w:val="88"/>
    <w:family w:val="modern"/>
    <w:pitch w:val="default"/>
    <w:sig w:usb0="00000000" w:usb1="00000000" w:usb2="00000010" w:usb3="00000000" w:csb0="00100000" w:csb1="00000000"/>
  </w:font>
  <w:font w:name="全真中明體">
    <w:altName w:val="MingLiU-ExtB"/>
    <w:charset w:val="88"/>
    <w:family w:val="auto"/>
    <w:pitch w:val="default"/>
    <w:sig w:usb0="00000000" w:usb1="0000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14:paraId="1057788F"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413614" w14:paraId="06B8AD37" w14:textId="1F553D57">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充电</w:t>
    </w:r>
    <w:r>
      <w:rPr>
        <w:rFonts w:eastAsia="宋体" w:hint="eastAsia"/>
        <w:sz w:val="18"/>
        <w:lang w:eastAsia="zh-CN"/>
      </w:rPr>
      <w:t>桩系统</w:t>
    </w:r>
    <w:r>
      <w:rPr>
        <w:rFonts w:eastAsia="宋体" w:hint="eastAsia"/>
        <w:sz w:val="18"/>
        <w:lang w:eastAsia="zh-CN"/>
      </w:rPr>
      <w:t>装置工程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w:t>
    </w:r>
    <w:r>
      <w:rPr>
        <w:rStyle w:val="PageNumber"/>
        <w:rFonts w:eastAsia="宋体"/>
        <w:sz w:val="18"/>
      </w:rPr>
      <w:fldChar w:fldCharType="end"/>
    </w:r>
    <w:r>
      <w:rPr>
        <w:rStyle w:val="PageNumber"/>
        <w:rFonts w:eastAsia="宋体" w:hint="eastAsia"/>
        <w:sz w:val="18"/>
        <w:lang w:eastAsia="zh-CN"/>
      </w:rPr>
      <w:t>页</w:t>
    </w:r>
  </w:p>
  <w:p w:rsidR="00413614" w14:paraId="75D9D15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413614" w14:paraId="40413047" w14:textId="77777777">
    <w:pPr>
      <w:pStyle w:val="BodyText"/>
      <w:spacing w:line="14" w:lineRule="auto"/>
      <w:rPr>
        <w:sz w:val="20"/>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413614" w14:textId="1F553D57">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充电</w:t>
    </w:r>
    <w:r>
      <w:rPr>
        <w:rFonts w:eastAsia="宋体" w:hint="eastAsia"/>
        <w:sz w:val="18"/>
        <w:lang w:eastAsia="zh-CN"/>
      </w:rPr>
      <w:t>桩系统</w:t>
    </w:r>
    <w:r>
      <w:rPr>
        <w:rFonts w:eastAsia="宋体" w:hint="eastAsia"/>
        <w:sz w:val="18"/>
        <w:lang w:eastAsia="zh-CN"/>
      </w:rPr>
      <w:t>装置工程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w:t>
    </w:r>
    <w:r>
      <w:rPr>
        <w:rStyle w:val="PageNumber"/>
        <w:rFonts w:eastAsia="宋体"/>
        <w:sz w:val="18"/>
      </w:rPr>
      <w:fldChar w:fldCharType="end"/>
    </w:r>
    <w:r>
      <w:rPr>
        <w:rStyle w:val="PageNumber"/>
        <w:rFonts w:eastAsia="宋体" w:hint="eastAsia"/>
        <w:sz w:val="18"/>
        <w:lang w:eastAsia="zh-CN"/>
      </w:rPr>
      <w:t>页</w:t>
    </w:r>
  </w:p>
  <w:p w:rsidR="00413614"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413614" w14:textId="77777777">
    <w:pPr>
      <w:pStyle w:val="BodyText"/>
      <w:spacing w:line="14" w:lineRule="auto"/>
      <w:rPr>
        <w:sz w:val="20"/>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413614" w14:textId="1F553D57">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充电</w:t>
    </w:r>
    <w:r>
      <w:rPr>
        <w:rFonts w:eastAsia="宋体" w:hint="eastAsia"/>
        <w:sz w:val="18"/>
        <w:lang w:eastAsia="zh-CN"/>
      </w:rPr>
      <w:t>桩系统</w:t>
    </w:r>
    <w:r>
      <w:rPr>
        <w:rFonts w:eastAsia="宋体" w:hint="eastAsia"/>
        <w:sz w:val="18"/>
        <w:lang w:eastAsia="zh-CN"/>
      </w:rPr>
      <w:t>装置工程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3</w:t>
    </w:r>
    <w:r>
      <w:rPr>
        <w:rStyle w:val="PageNumber"/>
        <w:rFonts w:eastAsia="宋体"/>
        <w:sz w:val="18"/>
      </w:rPr>
      <w:fldChar w:fldCharType="end"/>
    </w:r>
    <w:r>
      <w:rPr>
        <w:rStyle w:val="PageNumber"/>
        <w:rFonts w:eastAsia="宋体" w:hint="eastAsia"/>
        <w:sz w:val="18"/>
        <w:lang w:eastAsia="zh-CN"/>
      </w:rPr>
      <w:t>页</w:t>
    </w:r>
  </w:p>
  <w:p w:rsidR="00413614"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413614" w14:textId="77777777">
    <w:pPr>
      <w:pStyle w:val="BodyText"/>
      <w:spacing w:line="14" w:lineRule="auto"/>
      <w:rPr>
        <w:sz w:val="20"/>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413614" w14:textId="1F553D57">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充电</w:t>
    </w:r>
    <w:r>
      <w:rPr>
        <w:rFonts w:eastAsia="宋体" w:hint="eastAsia"/>
        <w:sz w:val="18"/>
        <w:lang w:eastAsia="zh-CN"/>
      </w:rPr>
      <w:t>桩系统</w:t>
    </w:r>
    <w:r>
      <w:rPr>
        <w:rFonts w:eastAsia="宋体" w:hint="eastAsia"/>
        <w:sz w:val="18"/>
        <w:lang w:eastAsia="zh-CN"/>
      </w:rPr>
      <w:t>装置工程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4</w:t>
    </w:r>
    <w:r>
      <w:rPr>
        <w:rStyle w:val="PageNumber"/>
        <w:rFonts w:eastAsia="宋体"/>
        <w:sz w:val="18"/>
      </w:rPr>
      <w:fldChar w:fldCharType="end"/>
    </w:r>
    <w:r>
      <w:rPr>
        <w:rStyle w:val="PageNumber"/>
        <w:rFonts w:eastAsia="宋体" w:hint="eastAsia"/>
        <w:sz w:val="18"/>
        <w:lang w:eastAsia="zh-CN"/>
      </w:rPr>
      <w:t>页</w:t>
    </w:r>
  </w:p>
  <w:p w:rsidR="00413614"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413614" w14:textId="77777777">
    <w:pPr>
      <w:pStyle w:val="BodyText"/>
      <w:spacing w:line="14" w:lineRule="auto"/>
      <w:rPr>
        <w:sz w:val="20"/>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413614" w14:textId="1F553D57">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充电</w:t>
    </w:r>
    <w:r>
      <w:rPr>
        <w:rFonts w:eastAsia="宋体" w:hint="eastAsia"/>
        <w:sz w:val="18"/>
        <w:lang w:eastAsia="zh-CN"/>
      </w:rPr>
      <w:t>桩系统</w:t>
    </w:r>
    <w:r>
      <w:rPr>
        <w:rFonts w:eastAsia="宋体" w:hint="eastAsia"/>
        <w:sz w:val="18"/>
        <w:lang w:eastAsia="zh-CN"/>
      </w:rPr>
      <w:t>装置工程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5</w:t>
    </w:r>
    <w:r>
      <w:rPr>
        <w:rStyle w:val="PageNumber"/>
        <w:rFonts w:eastAsia="宋体"/>
        <w:sz w:val="18"/>
      </w:rPr>
      <w:fldChar w:fldCharType="end"/>
    </w:r>
    <w:r>
      <w:rPr>
        <w:rStyle w:val="PageNumber"/>
        <w:rFonts w:eastAsia="宋体" w:hint="eastAsia"/>
        <w:sz w:val="18"/>
        <w:lang w:eastAsia="zh-CN"/>
      </w:rPr>
      <w:t>页</w:t>
    </w:r>
  </w:p>
  <w:p w:rsidR="00413614"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413614" w14:textId="77777777">
    <w:pPr>
      <w:pStyle w:val="BodyText"/>
      <w:spacing w:line="14" w:lineRule="auto"/>
      <w:rPr>
        <w:sz w:val="20"/>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413614" w14:textId="1F553D57">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充电</w:t>
    </w:r>
    <w:r>
      <w:rPr>
        <w:rFonts w:eastAsia="宋体" w:hint="eastAsia"/>
        <w:sz w:val="18"/>
        <w:lang w:eastAsia="zh-CN"/>
      </w:rPr>
      <w:t>桩系统</w:t>
    </w:r>
    <w:r>
      <w:rPr>
        <w:rFonts w:eastAsia="宋体" w:hint="eastAsia"/>
        <w:sz w:val="18"/>
        <w:lang w:eastAsia="zh-CN"/>
      </w:rPr>
      <w:t>装置工程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6</w:t>
    </w:r>
    <w:r>
      <w:rPr>
        <w:rStyle w:val="PageNumber"/>
        <w:rFonts w:eastAsia="宋体"/>
        <w:sz w:val="18"/>
      </w:rPr>
      <w:fldChar w:fldCharType="end"/>
    </w:r>
    <w:r>
      <w:rPr>
        <w:rStyle w:val="PageNumber"/>
        <w:rFonts w:eastAsia="宋体" w:hint="eastAsia"/>
        <w:sz w:val="18"/>
        <w:lang w:eastAsia="zh-CN"/>
      </w:rPr>
      <w:t>页</w:t>
    </w:r>
  </w:p>
  <w:p w:rsidR="00413614"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413614" w14:textId="77777777">
    <w:pPr>
      <w:pStyle w:val="BodyText"/>
      <w:spacing w:line="14" w:lineRule="auto"/>
      <w:rPr>
        <w:sz w:val="20"/>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413614" w14:textId="1F553D57">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充电</w:t>
    </w:r>
    <w:r>
      <w:rPr>
        <w:rFonts w:eastAsia="宋体" w:hint="eastAsia"/>
        <w:sz w:val="18"/>
        <w:lang w:eastAsia="zh-CN"/>
      </w:rPr>
      <w:t>桩系统</w:t>
    </w:r>
    <w:r>
      <w:rPr>
        <w:rFonts w:eastAsia="宋体" w:hint="eastAsia"/>
        <w:sz w:val="18"/>
        <w:lang w:eastAsia="zh-CN"/>
      </w:rPr>
      <w:t>装置工程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7</w:t>
    </w:r>
    <w:r>
      <w:rPr>
        <w:rStyle w:val="PageNumber"/>
        <w:rFonts w:eastAsia="宋体"/>
        <w:sz w:val="18"/>
      </w:rPr>
      <w:fldChar w:fldCharType="end"/>
    </w:r>
    <w:r>
      <w:rPr>
        <w:rStyle w:val="PageNumber"/>
        <w:rFonts w:eastAsia="宋体" w:hint="eastAsia"/>
        <w:sz w:val="18"/>
        <w:lang w:eastAsia="zh-CN"/>
      </w:rPr>
      <w:t>页</w:t>
    </w:r>
  </w:p>
  <w:p w:rsidR="00413614"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413614" w14:textId="77777777">
    <w:pPr>
      <w:pStyle w:val="BodyText"/>
      <w:spacing w:line="14" w:lineRule="auto"/>
      <w:rPr>
        <w:sz w:val="20"/>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413614" w14:textId="1F553D57">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充电</w:t>
    </w:r>
    <w:r>
      <w:rPr>
        <w:rFonts w:eastAsia="宋体" w:hint="eastAsia"/>
        <w:sz w:val="18"/>
        <w:lang w:eastAsia="zh-CN"/>
      </w:rPr>
      <w:t>桩系统</w:t>
    </w:r>
    <w:r>
      <w:rPr>
        <w:rFonts w:eastAsia="宋体" w:hint="eastAsia"/>
        <w:sz w:val="18"/>
        <w:lang w:eastAsia="zh-CN"/>
      </w:rPr>
      <w:t>装置工程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8</w:t>
    </w:r>
    <w:r>
      <w:rPr>
        <w:rStyle w:val="PageNumber"/>
        <w:rFonts w:eastAsia="宋体"/>
        <w:sz w:val="18"/>
      </w:rPr>
      <w:fldChar w:fldCharType="end"/>
    </w:r>
    <w:r>
      <w:rPr>
        <w:rStyle w:val="PageNumber"/>
        <w:rFonts w:eastAsia="宋体" w:hint="eastAsia"/>
        <w:sz w:val="18"/>
        <w:lang w:eastAsia="zh-CN"/>
      </w:rPr>
      <w:t>页</w:t>
    </w:r>
  </w:p>
  <w:p w:rsidR="00413614"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413614" w14:textId="77777777">
    <w:pPr>
      <w:pStyle w:val="BodyText"/>
      <w:spacing w:line="14" w:lineRule="auto"/>
      <w:rPr>
        <w:sz w:val="20"/>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413614" w14:textId="1F553D57">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充电</w:t>
    </w:r>
    <w:r>
      <w:rPr>
        <w:rFonts w:eastAsia="宋体" w:hint="eastAsia"/>
        <w:sz w:val="18"/>
        <w:lang w:eastAsia="zh-CN"/>
      </w:rPr>
      <w:t>桩系统</w:t>
    </w:r>
    <w:r>
      <w:rPr>
        <w:rFonts w:eastAsia="宋体" w:hint="eastAsia"/>
        <w:sz w:val="18"/>
        <w:lang w:eastAsia="zh-CN"/>
      </w:rPr>
      <w:t>装置工程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9</w:t>
    </w:r>
    <w:r>
      <w:rPr>
        <w:rStyle w:val="PageNumber"/>
        <w:rFonts w:eastAsia="宋体"/>
        <w:sz w:val="18"/>
      </w:rPr>
      <w:fldChar w:fldCharType="end"/>
    </w:r>
    <w:r>
      <w:rPr>
        <w:rStyle w:val="PageNumber"/>
        <w:rFonts w:eastAsia="宋体" w:hint="eastAsia"/>
        <w:sz w:val="18"/>
        <w:lang w:eastAsia="zh-CN"/>
      </w:rPr>
      <w:t>页</w:t>
    </w:r>
  </w:p>
  <w:p w:rsidR="00413614"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413614" w14:textId="77777777">
    <w:pPr>
      <w:pStyle w:val="BodyText"/>
      <w:spacing w:line="14" w:lineRule="auto"/>
      <w:rPr>
        <w:sz w:val="20"/>
        <w:lang w:eastAsia="zh-C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413614" w14:textId="1F553D57">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充电</w:t>
    </w:r>
    <w:r>
      <w:rPr>
        <w:rFonts w:eastAsia="宋体" w:hint="eastAsia"/>
        <w:sz w:val="18"/>
        <w:lang w:eastAsia="zh-CN"/>
      </w:rPr>
      <w:t>桩系统</w:t>
    </w:r>
    <w:r>
      <w:rPr>
        <w:rFonts w:eastAsia="宋体" w:hint="eastAsia"/>
        <w:sz w:val="18"/>
        <w:lang w:eastAsia="zh-CN"/>
      </w:rPr>
      <w:t>装置工程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10</w:t>
    </w:r>
    <w:r>
      <w:rPr>
        <w:rStyle w:val="PageNumber"/>
        <w:rFonts w:eastAsia="宋体"/>
        <w:sz w:val="18"/>
      </w:rPr>
      <w:fldChar w:fldCharType="end"/>
    </w:r>
    <w:r>
      <w:rPr>
        <w:rStyle w:val="PageNumber"/>
        <w:rFonts w:eastAsia="宋体" w:hint="eastAsia"/>
        <w:sz w:val="18"/>
        <w:lang w:eastAsia="zh-CN"/>
      </w:rPr>
      <w:t>页</w:t>
    </w:r>
  </w:p>
  <w:p w:rsidR="00413614"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413614" w14:textId="77777777">
    <w:pPr>
      <w:pStyle w:val="BodyText"/>
      <w:spacing w:line="14" w:lineRule="auto"/>
      <w:rPr>
        <w:sz w:val="20"/>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413614" w14:textId="1F553D57">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充电</w:t>
    </w:r>
    <w:r>
      <w:rPr>
        <w:rFonts w:eastAsia="宋体" w:hint="eastAsia"/>
        <w:sz w:val="18"/>
        <w:lang w:eastAsia="zh-CN"/>
      </w:rPr>
      <w:t>桩系统</w:t>
    </w:r>
    <w:r>
      <w:rPr>
        <w:rFonts w:eastAsia="宋体" w:hint="eastAsia"/>
        <w:sz w:val="18"/>
        <w:lang w:eastAsia="zh-CN"/>
      </w:rPr>
      <w:t>装置工程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11</w:t>
    </w:r>
    <w:r>
      <w:rPr>
        <w:rStyle w:val="PageNumber"/>
        <w:rFonts w:eastAsia="宋体"/>
        <w:sz w:val="18"/>
      </w:rPr>
      <w:fldChar w:fldCharType="end"/>
    </w:r>
    <w:r>
      <w:rPr>
        <w:rStyle w:val="PageNumber"/>
        <w:rFonts w:eastAsia="宋体" w:hint="eastAsia"/>
        <w:sz w:val="18"/>
        <w:lang w:eastAsia="zh-CN"/>
      </w:rPr>
      <w:t>页</w:t>
    </w:r>
  </w:p>
  <w:p w:rsidR="00413614"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413614" w14:textId="77777777">
    <w:pPr>
      <w:pStyle w:val="BodyText"/>
      <w:spacing w:line="14" w:lineRule="auto"/>
      <w:rPr>
        <w:sz w:val="20"/>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rsidP="002200CF" w14:paraId="60B2D57F" w14:textId="0764952F">
    <w:pPr>
      <w:pStyle w:val="Header"/>
      <w:pBdr>
        <w:bottom w:val="single" w:sz="4" w:space="1" w:color="auto"/>
      </w:pBdr>
      <w:tabs>
        <w:tab w:val="clear" w:pos="4153"/>
        <w:tab w:val="clear" w:pos="8306"/>
        <w:tab w:val="right" w:pos="8647"/>
      </w:tabs>
      <w:ind w:firstLine="180" w:firstLineChars="100"/>
      <w:rPr>
        <w:sz w:val="18"/>
        <w:lang w:eastAsia="zh-CN"/>
      </w:rPr>
    </w:pPr>
    <w:r>
      <w:rPr>
        <w:sz w:val="18"/>
        <w:lang w:eastAsia="zh-CN"/>
      </w:rPr>
      <w:tab/>
    </w:r>
    <w:r>
      <w:rPr>
        <w:rFonts w:eastAsia="宋体" w:hint="eastAsia"/>
        <w:sz w:val="18"/>
        <w:lang w:eastAsia="zh-CN"/>
      </w:rPr>
      <w:t>项目编号﹕</w:t>
    </w:r>
    <w:r w:rsidR="002200CF">
      <w:rPr>
        <w:rFonts w:eastAsia="宋体"/>
        <w:sz w:val="18"/>
        <w:lang w:eastAsia="zh-CN"/>
      </w:rPr>
      <w:t xml:space="preserve"> </w:t>
    </w:r>
  </w:p>
  <w:p w:rsidR="00413614" w14:paraId="47B5618C" w14:textId="4736BDAB">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某研发中心</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rsidP="002200CF" w14:textId="0764952F">
    <w:pPr>
      <w:pStyle w:val="Header"/>
      <w:pBdr>
        <w:bottom w:val="single" w:sz="4" w:space="1" w:color="auto"/>
      </w:pBdr>
      <w:tabs>
        <w:tab w:val="clear" w:pos="4153"/>
        <w:tab w:val="clear" w:pos="8306"/>
        <w:tab w:val="right" w:pos="8647"/>
      </w:tabs>
      <w:ind w:firstLine="180" w:firstLineChars="100"/>
      <w:rPr>
        <w:sz w:val="18"/>
        <w:lang w:eastAsia="zh-CN"/>
      </w:rPr>
    </w:pPr>
    <w:r>
      <w:rPr>
        <w:sz w:val="18"/>
        <w:lang w:eastAsia="zh-CN"/>
      </w:rPr>
      <w:tab/>
    </w:r>
    <w:r>
      <w:rPr>
        <w:rFonts w:eastAsia="宋体" w:hint="eastAsia"/>
        <w:sz w:val="18"/>
        <w:lang w:eastAsia="zh-CN"/>
      </w:rPr>
      <w:t>项目编号﹕</w:t>
    </w:r>
    <w:r w:rsidR="002200CF">
      <w:rPr>
        <w:rFonts w:eastAsia="宋体"/>
        <w:sz w:val="18"/>
        <w:lang w:eastAsia="zh-CN"/>
      </w:rPr>
      <w:t xml:space="preserve"> </w:t>
    </w:r>
  </w:p>
  <w:p w:rsidR="00413614" w14:textId="4736BDAB">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某研发中心</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rsidP="002200CF" w14:textId="0764952F">
    <w:pPr>
      <w:pStyle w:val="Header"/>
      <w:pBdr>
        <w:bottom w:val="single" w:sz="4" w:space="1" w:color="auto"/>
      </w:pBdr>
      <w:tabs>
        <w:tab w:val="clear" w:pos="4153"/>
        <w:tab w:val="clear" w:pos="8306"/>
        <w:tab w:val="right" w:pos="8647"/>
      </w:tabs>
      <w:ind w:firstLine="180" w:firstLineChars="100"/>
      <w:rPr>
        <w:sz w:val="18"/>
        <w:lang w:eastAsia="zh-CN"/>
      </w:rPr>
    </w:pPr>
    <w:r>
      <w:rPr>
        <w:sz w:val="18"/>
        <w:lang w:eastAsia="zh-CN"/>
      </w:rPr>
      <w:tab/>
    </w:r>
    <w:r>
      <w:rPr>
        <w:rFonts w:eastAsia="宋体" w:hint="eastAsia"/>
        <w:sz w:val="18"/>
        <w:lang w:eastAsia="zh-CN"/>
      </w:rPr>
      <w:t>项目编号﹕</w:t>
    </w:r>
    <w:r w:rsidR="002200CF">
      <w:rPr>
        <w:rFonts w:eastAsia="宋体"/>
        <w:sz w:val="18"/>
        <w:lang w:eastAsia="zh-CN"/>
      </w:rPr>
      <w:t xml:space="preserve"> </w:t>
    </w:r>
  </w:p>
  <w:p w:rsidR="00413614" w14:textId="4736BDAB">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某研发中心</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rsidP="002200CF" w14:textId="0764952F">
    <w:pPr>
      <w:pStyle w:val="Header"/>
      <w:pBdr>
        <w:bottom w:val="single" w:sz="4" w:space="1" w:color="auto"/>
      </w:pBdr>
      <w:tabs>
        <w:tab w:val="clear" w:pos="4153"/>
        <w:tab w:val="clear" w:pos="8306"/>
        <w:tab w:val="right" w:pos="8647"/>
      </w:tabs>
      <w:ind w:firstLine="180" w:firstLineChars="100"/>
      <w:rPr>
        <w:sz w:val="18"/>
        <w:lang w:eastAsia="zh-CN"/>
      </w:rPr>
    </w:pPr>
    <w:r>
      <w:rPr>
        <w:sz w:val="18"/>
        <w:lang w:eastAsia="zh-CN"/>
      </w:rPr>
      <w:tab/>
    </w:r>
    <w:r>
      <w:rPr>
        <w:rFonts w:eastAsia="宋体" w:hint="eastAsia"/>
        <w:sz w:val="18"/>
        <w:lang w:eastAsia="zh-CN"/>
      </w:rPr>
      <w:t>项目编号﹕</w:t>
    </w:r>
    <w:r w:rsidR="002200CF">
      <w:rPr>
        <w:rFonts w:eastAsia="宋体"/>
        <w:sz w:val="18"/>
        <w:lang w:eastAsia="zh-CN"/>
      </w:rPr>
      <w:t xml:space="preserve"> </w:t>
    </w:r>
  </w:p>
  <w:p w:rsidR="00413614" w14:textId="4736BDAB">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某研发中心</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rsidP="002200CF" w14:textId="0764952F">
    <w:pPr>
      <w:pStyle w:val="Header"/>
      <w:pBdr>
        <w:bottom w:val="single" w:sz="4" w:space="1" w:color="auto"/>
      </w:pBdr>
      <w:tabs>
        <w:tab w:val="clear" w:pos="4153"/>
        <w:tab w:val="clear" w:pos="8306"/>
        <w:tab w:val="right" w:pos="8647"/>
      </w:tabs>
      <w:ind w:firstLine="180" w:firstLineChars="100"/>
      <w:rPr>
        <w:sz w:val="18"/>
        <w:lang w:eastAsia="zh-CN"/>
      </w:rPr>
    </w:pPr>
    <w:r>
      <w:rPr>
        <w:sz w:val="18"/>
        <w:lang w:eastAsia="zh-CN"/>
      </w:rPr>
      <w:tab/>
    </w:r>
    <w:r>
      <w:rPr>
        <w:rFonts w:eastAsia="宋体" w:hint="eastAsia"/>
        <w:sz w:val="18"/>
        <w:lang w:eastAsia="zh-CN"/>
      </w:rPr>
      <w:t>项目编号﹕</w:t>
    </w:r>
    <w:r w:rsidR="002200CF">
      <w:rPr>
        <w:rFonts w:eastAsia="宋体"/>
        <w:sz w:val="18"/>
        <w:lang w:eastAsia="zh-CN"/>
      </w:rPr>
      <w:t xml:space="preserve"> </w:t>
    </w:r>
  </w:p>
  <w:p w:rsidR="00413614" w14:textId="4736BDAB">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某研发中心</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rsidP="002200CF" w14:textId="0764952F">
    <w:pPr>
      <w:pStyle w:val="Header"/>
      <w:pBdr>
        <w:bottom w:val="single" w:sz="4" w:space="1" w:color="auto"/>
      </w:pBdr>
      <w:tabs>
        <w:tab w:val="clear" w:pos="4153"/>
        <w:tab w:val="clear" w:pos="8306"/>
        <w:tab w:val="right" w:pos="8647"/>
      </w:tabs>
      <w:ind w:firstLine="180" w:firstLineChars="100"/>
      <w:rPr>
        <w:sz w:val="18"/>
        <w:lang w:eastAsia="zh-CN"/>
      </w:rPr>
    </w:pPr>
    <w:r>
      <w:rPr>
        <w:sz w:val="18"/>
        <w:lang w:eastAsia="zh-CN"/>
      </w:rPr>
      <w:tab/>
    </w:r>
    <w:r>
      <w:rPr>
        <w:rFonts w:eastAsia="宋体" w:hint="eastAsia"/>
        <w:sz w:val="18"/>
        <w:lang w:eastAsia="zh-CN"/>
      </w:rPr>
      <w:t>项目编号﹕</w:t>
    </w:r>
    <w:r w:rsidR="002200CF">
      <w:rPr>
        <w:rFonts w:eastAsia="宋体"/>
        <w:sz w:val="18"/>
        <w:lang w:eastAsia="zh-CN"/>
      </w:rPr>
      <w:t xml:space="preserve"> </w:t>
    </w:r>
  </w:p>
  <w:p w:rsidR="00413614" w14:textId="4736BDAB">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某研发中心</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rsidP="002200CF" w14:textId="0764952F">
    <w:pPr>
      <w:pStyle w:val="Header"/>
      <w:pBdr>
        <w:bottom w:val="single" w:sz="4" w:space="1" w:color="auto"/>
      </w:pBdr>
      <w:tabs>
        <w:tab w:val="clear" w:pos="4153"/>
        <w:tab w:val="clear" w:pos="8306"/>
        <w:tab w:val="right" w:pos="8647"/>
      </w:tabs>
      <w:ind w:firstLine="180" w:firstLineChars="100"/>
      <w:rPr>
        <w:sz w:val="18"/>
        <w:lang w:eastAsia="zh-CN"/>
      </w:rPr>
    </w:pPr>
    <w:r>
      <w:rPr>
        <w:sz w:val="18"/>
        <w:lang w:eastAsia="zh-CN"/>
      </w:rPr>
      <w:tab/>
    </w:r>
    <w:r>
      <w:rPr>
        <w:rFonts w:eastAsia="宋体" w:hint="eastAsia"/>
        <w:sz w:val="18"/>
        <w:lang w:eastAsia="zh-CN"/>
      </w:rPr>
      <w:t>项目编号﹕</w:t>
    </w:r>
    <w:r w:rsidR="002200CF">
      <w:rPr>
        <w:rFonts w:eastAsia="宋体"/>
        <w:sz w:val="18"/>
        <w:lang w:eastAsia="zh-CN"/>
      </w:rPr>
      <w:t xml:space="preserve"> </w:t>
    </w:r>
  </w:p>
  <w:p w:rsidR="00413614" w14:textId="4736BDAB">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某研发中心</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rsidP="002200CF" w14:textId="0764952F">
    <w:pPr>
      <w:pStyle w:val="Header"/>
      <w:pBdr>
        <w:bottom w:val="single" w:sz="4" w:space="1" w:color="auto"/>
      </w:pBdr>
      <w:tabs>
        <w:tab w:val="clear" w:pos="4153"/>
        <w:tab w:val="clear" w:pos="8306"/>
        <w:tab w:val="right" w:pos="8647"/>
      </w:tabs>
      <w:ind w:firstLine="180" w:firstLineChars="100"/>
      <w:rPr>
        <w:sz w:val="18"/>
        <w:lang w:eastAsia="zh-CN"/>
      </w:rPr>
    </w:pPr>
    <w:r>
      <w:rPr>
        <w:sz w:val="18"/>
        <w:lang w:eastAsia="zh-CN"/>
      </w:rPr>
      <w:tab/>
    </w:r>
    <w:r>
      <w:rPr>
        <w:rFonts w:eastAsia="宋体" w:hint="eastAsia"/>
        <w:sz w:val="18"/>
        <w:lang w:eastAsia="zh-CN"/>
      </w:rPr>
      <w:t>项目编号﹕</w:t>
    </w:r>
    <w:r w:rsidR="002200CF">
      <w:rPr>
        <w:rFonts w:eastAsia="宋体"/>
        <w:sz w:val="18"/>
        <w:lang w:eastAsia="zh-CN"/>
      </w:rPr>
      <w:t xml:space="preserve"> </w:t>
    </w:r>
  </w:p>
  <w:p w:rsidR="00413614" w14:textId="4736BDAB">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某研发中心</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rsidP="002200CF" w14:textId="0764952F">
    <w:pPr>
      <w:pStyle w:val="Header"/>
      <w:pBdr>
        <w:bottom w:val="single" w:sz="4" w:space="1" w:color="auto"/>
      </w:pBdr>
      <w:tabs>
        <w:tab w:val="clear" w:pos="4153"/>
        <w:tab w:val="clear" w:pos="8306"/>
        <w:tab w:val="right" w:pos="8647"/>
      </w:tabs>
      <w:ind w:firstLine="180" w:firstLineChars="100"/>
      <w:rPr>
        <w:sz w:val="18"/>
        <w:lang w:eastAsia="zh-CN"/>
      </w:rPr>
    </w:pPr>
    <w:r>
      <w:rPr>
        <w:sz w:val="18"/>
        <w:lang w:eastAsia="zh-CN"/>
      </w:rPr>
      <w:tab/>
    </w:r>
    <w:r>
      <w:rPr>
        <w:rFonts w:eastAsia="宋体" w:hint="eastAsia"/>
        <w:sz w:val="18"/>
        <w:lang w:eastAsia="zh-CN"/>
      </w:rPr>
      <w:t>项目编号﹕</w:t>
    </w:r>
    <w:r w:rsidR="002200CF">
      <w:rPr>
        <w:rFonts w:eastAsia="宋体"/>
        <w:sz w:val="18"/>
        <w:lang w:eastAsia="zh-CN"/>
      </w:rPr>
      <w:t xml:space="preserve"> </w:t>
    </w:r>
  </w:p>
  <w:p w:rsidR="00413614" w14:textId="4736BDAB">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某研发中心</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rsidP="002200CF" w14:textId="0764952F">
    <w:pPr>
      <w:pStyle w:val="Header"/>
      <w:pBdr>
        <w:bottom w:val="single" w:sz="4" w:space="1" w:color="auto"/>
      </w:pBdr>
      <w:tabs>
        <w:tab w:val="clear" w:pos="4153"/>
        <w:tab w:val="clear" w:pos="8306"/>
        <w:tab w:val="right" w:pos="8647"/>
      </w:tabs>
      <w:ind w:firstLine="180" w:firstLineChars="100"/>
      <w:rPr>
        <w:sz w:val="18"/>
        <w:lang w:eastAsia="zh-CN"/>
      </w:rPr>
    </w:pPr>
    <w:r>
      <w:rPr>
        <w:sz w:val="18"/>
        <w:lang w:eastAsia="zh-CN"/>
      </w:rPr>
      <w:tab/>
    </w:r>
    <w:r>
      <w:rPr>
        <w:rFonts w:eastAsia="宋体" w:hint="eastAsia"/>
        <w:sz w:val="18"/>
        <w:lang w:eastAsia="zh-CN"/>
      </w:rPr>
      <w:t>项目编号﹕</w:t>
    </w:r>
    <w:r w:rsidR="002200CF">
      <w:rPr>
        <w:rFonts w:eastAsia="宋体"/>
        <w:sz w:val="18"/>
        <w:lang w:eastAsia="zh-CN"/>
      </w:rPr>
      <w:t xml:space="preserve"> </w:t>
    </w:r>
  </w:p>
  <w:p w:rsidR="00413614" w14:textId="4736BDAB">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某研发中心</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rsidP="002200CF" w14:textId="0764952F">
    <w:pPr>
      <w:pStyle w:val="Header"/>
      <w:pBdr>
        <w:bottom w:val="single" w:sz="4" w:space="1" w:color="auto"/>
      </w:pBdr>
      <w:tabs>
        <w:tab w:val="clear" w:pos="4153"/>
        <w:tab w:val="clear" w:pos="8306"/>
        <w:tab w:val="right" w:pos="8647"/>
      </w:tabs>
      <w:ind w:firstLine="180" w:firstLineChars="100"/>
      <w:rPr>
        <w:sz w:val="18"/>
        <w:lang w:eastAsia="zh-CN"/>
      </w:rPr>
    </w:pPr>
    <w:r>
      <w:rPr>
        <w:sz w:val="18"/>
        <w:lang w:eastAsia="zh-CN"/>
      </w:rPr>
      <w:tab/>
    </w:r>
    <w:r>
      <w:rPr>
        <w:rFonts w:eastAsia="宋体" w:hint="eastAsia"/>
        <w:sz w:val="18"/>
        <w:lang w:eastAsia="zh-CN"/>
      </w:rPr>
      <w:t>项目编号﹕</w:t>
    </w:r>
    <w:r w:rsidR="002200CF">
      <w:rPr>
        <w:rFonts w:eastAsia="宋体"/>
        <w:sz w:val="18"/>
        <w:lang w:eastAsia="zh-CN"/>
      </w:rPr>
      <w:t xml:space="preserve"> </w:t>
    </w:r>
  </w:p>
  <w:p w:rsidR="00413614" w14:textId="4736BDAB">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某研发中心</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rsidP="002200CF" w14:textId="0764952F">
    <w:pPr>
      <w:pStyle w:val="Header"/>
      <w:pBdr>
        <w:bottom w:val="single" w:sz="4" w:space="1" w:color="auto"/>
      </w:pBdr>
      <w:tabs>
        <w:tab w:val="clear" w:pos="4153"/>
        <w:tab w:val="clear" w:pos="8306"/>
        <w:tab w:val="right" w:pos="8647"/>
      </w:tabs>
      <w:ind w:firstLine="180" w:firstLineChars="100"/>
      <w:rPr>
        <w:sz w:val="18"/>
        <w:lang w:eastAsia="zh-CN"/>
      </w:rPr>
    </w:pPr>
    <w:r>
      <w:rPr>
        <w:sz w:val="18"/>
        <w:lang w:eastAsia="zh-CN"/>
      </w:rPr>
      <w:tab/>
    </w:r>
    <w:r>
      <w:rPr>
        <w:rFonts w:eastAsia="宋体" w:hint="eastAsia"/>
        <w:sz w:val="18"/>
        <w:lang w:eastAsia="zh-CN"/>
      </w:rPr>
      <w:t>项目编号﹕</w:t>
    </w:r>
    <w:r w:rsidR="002200CF">
      <w:rPr>
        <w:rFonts w:eastAsia="宋体"/>
        <w:sz w:val="18"/>
        <w:lang w:eastAsia="zh-CN"/>
      </w:rPr>
      <w:t xml:space="preserve"> </w:t>
    </w:r>
  </w:p>
  <w:p w:rsidR="00413614" w14:textId="4736BDAB">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某研发中心</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614" w:rsidP="002200CF" w14:textId="0764952F">
    <w:pPr>
      <w:pStyle w:val="Header"/>
      <w:pBdr>
        <w:bottom w:val="single" w:sz="4" w:space="1" w:color="auto"/>
      </w:pBdr>
      <w:tabs>
        <w:tab w:val="clear" w:pos="4153"/>
        <w:tab w:val="clear" w:pos="8306"/>
        <w:tab w:val="right" w:pos="8647"/>
      </w:tabs>
      <w:ind w:firstLine="180" w:firstLineChars="100"/>
      <w:rPr>
        <w:sz w:val="18"/>
        <w:lang w:eastAsia="zh-CN"/>
      </w:rPr>
    </w:pPr>
    <w:r>
      <w:rPr>
        <w:sz w:val="18"/>
        <w:lang w:eastAsia="zh-CN"/>
      </w:rPr>
      <w:tab/>
    </w:r>
    <w:r>
      <w:rPr>
        <w:rFonts w:eastAsia="宋体" w:hint="eastAsia"/>
        <w:sz w:val="18"/>
        <w:lang w:eastAsia="zh-CN"/>
      </w:rPr>
      <w:t>项目编号﹕</w:t>
    </w:r>
    <w:r w:rsidR="002200CF">
      <w:rPr>
        <w:rFonts w:eastAsia="宋体"/>
        <w:sz w:val="18"/>
        <w:lang w:eastAsia="zh-CN"/>
      </w:rPr>
      <w:t xml:space="preserve"> </w:t>
    </w:r>
  </w:p>
  <w:p w:rsidR="00413614" w14:textId="4736BDAB">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某研发中心</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6D1B74B"/>
    <w:multiLevelType w:val="multilevel"/>
    <w:tmpl w:val="B6D1B74B"/>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
    <w:nsid w:val="C08A95CB"/>
    <w:multiLevelType w:val="multilevel"/>
    <w:tmpl w:val="C08A95CB"/>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
    <w:nsid w:val="C2DD0073"/>
    <w:multiLevelType w:val="multilevel"/>
    <w:tmpl w:val="C2DD0073"/>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
    <w:nsid w:val="C8060C91"/>
    <w:multiLevelType w:val="multilevel"/>
    <w:tmpl w:val="C8060C91"/>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
    <w:nsid w:val="E26FB33A"/>
    <w:multiLevelType w:val="singleLevel"/>
    <w:tmpl w:val="E26FB33A"/>
    <w:lvl w:ilvl="0">
      <w:start w:val="1"/>
      <w:numFmt w:val="bullet"/>
      <w:lvlText w:val=""/>
      <w:lvlJc w:val="left"/>
      <w:pPr>
        <w:ind w:left="420" w:hanging="420"/>
      </w:pPr>
      <w:rPr>
        <w:rFonts w:ascii="Wingdings" w:hAnsi="Wingdings" w:hint="default"/>
      </w:rPr>
    </w:lvl>
  </w:abstractNum>
  <w:abstractNum w:abstractNumId="5">
    <w:nsid w:val="E3DAC7BB"/>
    <w:multiLevelType w:val="multilevel"/>
    <w:tmpl w:val="E3DAC7BB"/>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
    <w:nsid w:val="EABFEB51"/>
    <w:multiLevelType w:val="multilevel"/>
    <w:tmpl w:val="EABFEB51"/>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
    <w:nsid w:val="EDB9E7AA"/>
    <w:multiLevelType w:val="multilevel"/>
    <w:tmpl w:val="EDB9E7AA"/>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
    <w:nsid w:val="F178F832"/>
    <w:multiLevelType w:val="multilevel"/>
    <w:tmpl w:val="F178F832"/>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9">
    <w:nsid w:val="FFFFFF7C"/>
    <w:multiLevelType w:val="singleLevel"/>
    <w:tmpl w:val="FFFFFF7C"/>
    <w:lvl w:ilvl="0">
      <w:start w:val="1"/>
      <w:numFmt w:val="decimal"/>
      <w:pStyle w:val="ListNumber5"/>
      <w:lvlText w:val="%1."/>
      <w:lvlJc w:val="left"/>
      <w:pPr>
        <w:tabs>
          <w:tab w:val="left" w:pos="1800"/>
        </w:tabs>
        <w:ind w:left="1800" w:hanging="360"/>
      </w:pPr>
    </w:lvl>
  </w:abstractNum>
  <w:abstractNum w:abstractNumId="10">
    <w:nsid w:val="FFFFFF7D"/>
    <w:multiLevelType w:val="singleLevel"/>
    <w:tmpl w:val="FFFFFF7D"/>
    <w:lvl w:ilvl="0">
      <w:start w:val="1"/>
      <w:numFmt w:val="decimal"/>
      <w:pStyle w:val="ListNumber4"/>
      <w:lvlText w:val="%1."/>
      <w:lvlJc w:val="left"/>
      <w:pPr>
        <w:tabs>
          <w:tab w:val="left" w:pos="1440"/>
        </w:tabs>
        <w:ind w:left="1440" w:hanging="360"/>
      </w:pPr>
    </w:lvl>
  </w:abstractNum>
  <w:abstractNum w:abstractNumId="11">
    <w:nsid w:val="FFFFFF7E"/>
    <w:multiLevelType w:val="singleLevel"/>
    <w:tmpl w:val="FFFFFF7E"/>
    <w:lvl w:ilvl="0">
      <w:start w:val="1"/>
      <w:numFmt w:val="decimal"/>
      <w:pStyle w:val="ListNumber3"/>
      <w:lvlText w:val="%1."/>
      <w:lvlJc w:val="left"/>
      <w:pPr>
        <w:tabs>
          <w:tab w:val="left" w:pos="1080"/>
        </w:tabs>
        <w:ind w:left="1080" w:hanging="360"/>
      </w:pPr>
    </w:lvl>
  </w:abstractNum>
  <w:abstractNum w:abstractNumId="12">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13">
    <w:nsid w:val="FFFFFF80"/>
    <w:multiLevelType w:val="singleLevel"/>
    <w:tmpl w:val="FFFFFF80"/>
    <w:lvl w:ilvl="0">
      <w:start w:val="1"/>
      <w:numFmt w:val="bullet"/>
      <w:pStyle w:val="ListBullet5"/>
      <w:lvlText w:val=""/>
      <w:lvlJc w:val="left"/>
      <w:pPr>
        <w:tabs>
          <w:tab w:val="left" w:pos="1800"/>
        </w:tabs>
        <w:ind w:left="1800" w:hanging="360"/>
      </w:pPr>
      <w:rPr>
        <w:rFonts w:ascii="Symbol" w:hAnsi="Symbol" w:hint="default"/>
      </w:rPr>
    </w:lvl>
  </w:abstractNum>
  <w:abstractNum w:abstractNumId="14">
    <w:nsid w:val="FFFFFF81"/>
    <w:multiLevelType w:val="singleLevel"/>
    <w:tmpl w:val="FFFFFF81"/>
    <w:lvl w:ilvl="0">
      <w:start w:val="1"/>
      <w:numFmt w:val="bullet"/>
      <w:pStyle w:val="ListBullet4"/>
      <w:lvlText w:val=""/>
      <w:lvlJc w:val="left"/>
      <w:pPr>
        <w:tabs>
          <w:tab w:val="left" w:pos="1440"/>
        </w:tabs>
        <w:ind w:left="1440" w:hanging="360"/>
      </w:pPr>
      <w:rPr>
        <w:rFonts w:ascii="Symbol" w:hAnsi="Symbol" w:hint="default"/>
      </w:rPr>
    </w:lvl>
  </w:abstractNum>
  <w:abstractNum w:abstractNumId="15">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16">
    <w:nsid w:val="FFFFFF83"/>
    <w:multiLevelType w:val="singleLevel"/>
    <w:tmpl w:val="FFFFFF83"/>
    <w:lvl w:ilvl="0">
      <w:start w:val="1"/>
      <w:numFmt w:val="bullet"/>
      <w:pStyle w:val="ListBullet2"/>
      <w:lvlText w:val=""/>
      <w:lvlJc w:val="left"/>
      <w:pPr>
        <w:tabs>
          <w:tab w:val="left" w:pos="720"/>
        </w:tabs>
        <w:ind w:left="720" w:hanging="360"/>
      </w:pPr>
      <w:rPr>
        <w:rFonts w:ascii="Symbol" w:hAnsi="Symbol" w:hint="default"/>
      </w:rPr>
    </w:lvl>
  </w:abstractNum>
  <w:abstractNum w:abstractNumId="17">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18">
    <w:nsid w:val="FFFFFF89"/>
    <w:multiLevelType w:val="singleLevel"/>
    <w:tmpl w:val="FFFFFF89"/>
    <w:lvl w:ilvl="0">
      <w:start w:val="1"/>
      <w:numFmt w:val="bullet"/>
      <w:pStyle w:val="ListBullet"/>
      <w:lvlText w:val=""/>
      <w:lvlJc w:val="left"/>
      <w:pPr>
        <w:tabs>
          <w:tab w:val="left" w:pos="360"/>
        </w:tabs>
        <w:ind w:left="360" w:hanging="360"/>
      </w:pPr>
      <w:rPr>
        <w:rFonts w:ascii="Symbol" w:hAnsi="Symbol" w:hint="default"/>
      </w:rPr>
    </w:lvl>
  </w:abstractNum>
  <w:abstractNum w:abstractNumId="19">
    <w:nsid w:val="001B3EB8"/>
    <w:multiLevelType w:val="multilevel"/>
    <w:tmpl w:val="001B3EB8"/>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20">
    <w:nsid w:val="025241A0"/>
    <w:multiLevelType w:val="multilevel"/>
    <w:tmpl w:val="025241A0"/>
    <w:lvl w:ilvl="0">
      <w:start w:val="1"/>
      <w:numFmt w:val="decimal"/>
      <w:lvlText w:val="%1)"/>
      <w:lvlJc w:val="left"/>
      <w:pPr>
        <w:ind w:left="1555" w:hanging="420"/>
      </w:p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abstractNum w:abstractNumId="21">
    <w:nsid w:val="07DB0D40"/>
    <w:multiLevelType w:val="multilevel"/>
    <w:tmpl w:val="07DB0D40"/>
    <w:lvl w:ilvl="0">
      <w:start w:val="1"/>
      <w:numFmt w:val="decimal"/>
      <w:lvlText w:val="%1)"/>
      <w:lvlJc w:val="left"/>
      <w:pPr>
        <w:ind w:left="1555" w:hanging="420"/>
      </w:p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abstractNum w:abstractNumId="22">
    <w:nsid w:val="0BBF4E8A"/>
    <w:multiLevelType w:val="multilevel"/>
    <w:tmpl w:val="0BBF4E8A"/>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23">
    <w:nsid w:val="0E1A347B"/>
    <w:multiLevelType w:val="multilevel"/>
    <w:tmpl w:val="0E1A347B"/>
    <w:lvl w:ilvl="0">
      <w:start w:val="1"/>
      <w:numFmt w:val="decimal"/>
      <w:lvlText w:val="%1)"/>
      <w:lvlJc w:val="left"/>
      <w:pPr>
        <w:ind w:left="1555" w:hanging="420"/>
      </w:p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abstractNum w:abstractNumId="24">
    <w:nsid w:val="10B92E1F"/>
    <w:multiLevelType w:val="multilevel"/>
    <w:tmpl w:val="10B92E1F"/>
    <w:lvl w:ilvl="0">
      <w:start w:val="1"/>
      <w:numFmt w:val="decimal"/>
      <w:lvlText w:val="%1)"/>
      <w:lvlJc w:val="left"/>
      <w:pPr>
        <w:tabs>
          <w:tab w:val="left" w:pos="2880"/>
        </w:tabs>
        <w:ind w:left="2880" w:hanging="360"/>
      </w:pPr>
      <w:rPr>
        <w:rFonts w:hint="default"/>
      </w:rPr>
    </w:lvl>
    <w:lvl w:ilvl="1">
      <w:start w:val="1"/>
      <w:numFmt w:val="upperLetter"/>
      <w:pStyle w:val="Spec8-Normal"/>
      <w:lvlText w:val="%2)"/>
      <w:lvlJc w:val="left"/>
      <w:pPr>
        <w:tabs>
          <w:tab w:val="left" w:pos="2160"/>
        </w:tabs>
        <w:ind w:left="2160" w:hanging="720"/>
      </w:pPr>
      <w:rPr>
        <w:rFonts w:ascii="Times New Roman" w:eastAsia="宋体" w:hAnsi="Times New Roman" w:cs="Times New Roman" w:hint="default"/>
        <w:sz w:val="24"/>
      </w:rPr>
    </w:lvl>
    <w:lvl w:ilvl="2">
      <w:start w:val="1"/>
      <w:numFmt w:val="bullet"/>
      <w:lvlText w:val=""/>
      <w:lvlJc w:val="left"/>
      <w:pPr>
        <w:tabs>
          <w:tab w:val="left" w:pos="2700"/>
        </w:tabs>
        <w:ind w:left="2700" w:hanging="360"/>
      </w:pPr>
      <w:rPr>
        <w:rFonts w:ascii="Symbol" w:hAnsi="Symbol" w:hint="default"/>
      </w:rPr>
    </w:lvl>
    <w:lvl w:ilvl="3">
      <w:start w:val="1"/>
      <w:numFmt w:val="decimal"/>
      <w:lvlText w:val="%4)"/>
      <w:lvlJc w:val="left"/>
      <w:pPr>
        <w:tabs>
          <w:tab w:val="left" w:pos="3240"/>
        </w:tabs>
        <w:ind w:left="3240" w:hanging="360"/>
      </w:pPr>
      <w:rPr>
        <w:rFonts w:hint="default"/>
      </w:r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5">
    <w:nsid w:val="14D3199E"/>
    <w:multiLevelType w:val="multilevel"/>
    <w:tmpl w:val="14D3199E"/>
    <w:lvl w:ilvl="0">
      <w:start w:val="1"/>
      <w:numFmt w:val="decimal"/>
      <w:lvlText w:val="%1)"/>
      <w:lvlJc w:val="left"/>
      <w:pPr>
        <w:ind w:left="1555" w:hanging="420"/>
      </w:pPr>
    </w:lvl>
    <w:lvl w:ilvl="1">
      <w:start w:val="1"/>
      <w:numFmt w:val="lowerLetter"/>
      <w:lvlText w:val="%2)"/>
      <w:lvlJc w:val="left"/>
      <w:pPr>
        <w:ind w:left="1833" w:hanging="420"/>
      </w:pPr>
    </w:lvl>
    <w:lvl w:ilvl="2">
      <w:start w:val="1"/>
      <w:numFmt w:val="lowerRoman"/>
      <w:lvlText w:val="%3."/>
      <w:lvlJc w:val="right"/>
      <w:pPr>
        <w:ind w:left="2253" w:hanging="420"/>
      </w:pPr>
    </w:lvl>
    <w:lvl w:ilvl="3">
      <w:start w:val="1"/>
      <w:numFmt w:val="decimal"/>
      <w:lvlText w:val="%4."/>
      <w:lvlJc w:val="left"/>
      <w:pPr>
        <w:ind w:left="2673" w:hanging="420"/>
      </w:pPr>
    </w:lvl>
    <w:lvl w:ilvl="4">
      <w:start w:val="1"/>
      <w:numFmt w:val="lowerLetter"/>
      <w:lvlText w:val="%5)"/>
      <w:lvlJc w:val="left"/>
      <w:pPr>
        <w:ind w:left="3093" w:hanging="420"/>
      </w:pPr>
    </w:lvl>
    <w:lvl w:ilvl="5">
      <w:start w:val="1"/>
      <w:numFmt w:val="lowerRoman"/>
      <w:lvlText w:val="%6."/>
      <w:lvlJc w:val="right"/>
      <w:pPr>
        <w:ind w:left="3513" w:hanging="420"/>
      </w:pPr>
    </w:lvl>
    <w:lvl w:ilvl="6">
      <w:start w:val="1"/>
      <w:numFmt w:val="decimal"/>
      <w:lvlText w:val="%7."/>
      <w:lvlJc w:val="left"/>
      <w:pPr>
        <w:ind w:left="3933" w:hanging="420"/>
      </w:pPr>
    </w:lvl>
    <w:lvl w:ilvl="7">
      <w:start w:val="1"/>
      <w:numFmt w:val="lowerLetter"/>
      <w:lvlText w:val="%8)"/>
      <w:lvlJc w:val="left"/>
      <w:pPr>
        <w:ind w:left="4353" w:hanging="420"/>
      </w:pPr>
    </w:lvl>
    <w:lvl w:ilvl="8">
      <w:start w:val="1"/>
      <w:numFmt w:val="lowerRoman"/>
      <w:lvlText w:val="%9."/>
      <w:lvlJc w:val="right"/>
      <w:pPr>
        <w:ind w:left="4773" w:hanging="420"/>
      </w:pPr>
    </w:lvl>
  </w:abstractNum>
  <w:abstractNum w:abstractNumId="26">
    <w:nsid w:val="160C6C86"/>
    <w:multiLevelType w:val="multilevel"/>
    <w:tmpl w:val="160C6C86"/>
    <w:lvl w:ilvl="0">
      <w:start w:val="1"/>
      <w:numFmt w:val="decimal"/>
      <w:lvlText w:val="%1)"/>
      <w:lvlJc w:val="left"/>
      <w:pPr>
        <w:tabs>
          <w:tab w:val="left" w:pos="420"/>
        </w:tabs>
        <w:ind w:left="420" w:hanging="420"/>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7">
    <w:nsid w:val="16FD5303"/>
    <w:multiLevelType w:val="multilevel"/>
    <w:tmpl w:val="16FD5303"/>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8">
    <w:nsid w:val="179F5D39"/>
    <w:multiLevelType w:val="multilevel"/>
    <w:tmpl w:val="179F5D39"/>
    <w:lvl w:ilvl="0">
      <w:start w:val="1"/>
      <w:numFmt w:val="decimal"/>
      <w:lvlText w:val="%1."/>
      <w:lvlJc w:val="left"/>
      <w:pPr>
        <w:tabs>
          <w:tab w:val="left" w:pos="1077"/>
        </w:tabs>
        <w:ind w:left="1077" w:hanging="1077"/>
      </w:pPr>
      <w:rPr>
        <w:rFonts w:ascii="Times New Roman Bold" w:hAnsi="Times New Roman Bold" w:hint="default"/>
        <w:b/>
        <w:i w:val="0"/>
        <w:sz w:val="24"/>
      </w:rPr>
    </w:lvl>
    <w:lvl w:ilvl="1">
      <w:start w:val="1"/>
      <w:numFmt w:val="decimal"/>
      <w:pStyle w:val="ReportLevel2"/>
      <w:lvlText w:val="%1.%2"/>
      <w:lvlJc w:val="left"/>
      <w:pPr>
        <w:tabs>
          <w:tab w:val="left" w:pos="1077"/>
        </w:tabs>
        <w:ind w:left="1077" w:hanging="1077"/>
      </w:pPr>
      <w:rPr>
        <w:rFonts w:ascii="Times New Roman" w:hAnsi="Times New Roman" w:cs="Times New Roman" w:hint="default"/>
        <w:i w:val="0"/>
        <w:iCs w:val="0"/>
        <w:caps w:val="0"/>
        <w:smallCaps w:val="0"/>
        <w:strike w:val="0"/>
        <w:dstrike w:val="0"/>
        <w:vanish w:val="0"/>
        <w:color w:val="00000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2">
      <w:start w:val="1"/>
      <w:numFmt w:val="decimal"/>
      <w:pStyle w:val="ReportLevel3"/>
      <w:lvlText w:val="%1.%2.%3"/>
      <w:lvlJc w:val="left"/>
      <w:pPr>
        <w:tabs>
          <w:tab w:val="left" w:pos="1077"/>
        </w:tabs>
        <w:ind w:left="1077" w:hanging="1077"/>
      </w:pPr>
      <w:rPr>
        <w:rFonts w:ascii="Times New Roman" w:hAnsi="Times New Roman" w:hint="default"/>
        <w:b w:val="0"/>
        <w:i w:val="0"/>
        <w:sz w:val="21"/>
        <w:szCs w:val="21"/>
      </w:rPr>
    </w:lvl>
    <w:lvl w:ilvl="3">
      <w:start w:val="1"/>
      <w:numFmt w:val="decimal"/>
      <w:pStyle w:val="ReportLevel4"/>
      <w:lvlText w:val="%1.%2.%3.%4"/>
      <w:lvlJc w:val="left"/>
      <w:pPr>
        <w:tabs>
          <w:tab w:val="left" w:pos="1077"/>
        </w:tabs>
        <w:ind w:left="1077" w:hanging="1077"/>
      </w:pPr>
      <w:rPr>
        <w:rFonts w:ascii="Times New Roman" w:hAnsi="Times New Roman" w:cs="Times New Roman" w:hint="default"/>
        <w:b w:val="0"/>
        <w:i w:val="0"/>
        <w:color w:val="auto"/>
        <w:sz w:val="21"/>
        <w:szCs w:val="21"/>
      </w:rPr>
    </w:lvl>
    <w:lvl w:ilvl="4">
      <w:start w:val="1"/>
      <w:numFmt w:val="decimal"/>
      <w:lvlText w:val="%1.%2.%3.%4.%5."/>
      <w:lvlJc w:val="left"/>
      <w:pPr>
        <w:tabs>
          <w:tab w:val="left" w:pos="720"/>
        </w:tabs>
        <w:ind w:left="720" w:hanging="720"/>
      </w:pPr>
      <w:rPr>
        <w:rFonts w:ascii="Times New Roman" w:hAnsi="Times New Roman" w:hint="default"/>
      </w:rPr>
    </w:lvl>
    <w:lvl w:ilvl="5">
      <w:start w:val="1"/>
      <w:numFmt w:val="decimal"/>
      <w:lvlText w:val="%1.%2.%3.%4.%5.%6."/>
      <w:lvlJc w:val="left"/>
      <w:pPr>
        <w:tabs>
          <w:tab w:val="left" w:pos="720"/>
        </w:tabs>
        <w:ind w:left="720" w:hanging="720"/>
      </w:pPr>
      <w:rPr>
        <w:rFonts w:hint="default"/>
      </w:rPr>
    </w:lvl>
    <w:lvl w:ilvl="6">
      <w:start w:val="1"/>
      <w:numFmt w:val="decimal"/>
      <w:lvlText w:val="%1.%2.%3.%4.%5.%6.%7."/>
      <w:lvlJc w:val="left"/>
      <w:pPr>
        <w:tabs>
          <w:tab w:val="left" w:pos="720"/>
        </w:tabs>
        <w:ind w:left="720" w:hanging="720"/>
      </w:pPr>
      <w:rPr>
        <w:rFonts w:hint="default"/>
      </w:rPr>
    </w:lvl>
    <w:lvl w:ilvl="7">
      <w:start w:val="1"/>
      <w:numFmt w:val="decimal"/>
      <w:lvlText w:val="%1.%2.%3.%4.%5.%6.%7.%8."/>
      <w:lvlJc w:val="left"/>
      <w:pPr>
        <w:tabs>
          <w:tab w:val="left" w:pos="720"/>
        </w:tabs>
        <w:ind w:left="720" w:hanging="720"/>
      </w:pPr>
      <w:rPr>
        <w:rFonts w:hint="default"/>
      </w:rPr>
    </w:lvl>
    <w:lvl w:ilvl="8">
      <w:start w:val="1"/>
      <w:numFmt w:val="decimal"/>
      <w:lvlText w:val="%1.%2.%3.%4.%5.%6.%7.%8.%9."/>
      <w:lvlJc w:val="left"/>
      <w:pPr>
        <w:tabs>
          <w:tab w:val="left" w:pos="720"/>
        </w:tabs>
        <w:ind w:left="720" w:hanging="720"/>
      </w:pPr>
      <w:rPr>
        <w:rFonts w:hint="default"/>
      </w:rPr>
    </w:lvl>
  </w:abstractNum>
  <w:abstractNum w:abstractNumId="29">
    <w:nsid w:val="18D01551"/>
    <w:multiLevelType w:val="multilevel"/>
    <w:tmpl w:val="18D01551"/>
    <w:lvl w:ilvl="0">
      <w:start w:val="1"/>
      <w:numFmt w:val="decimal"/>
      <w:pStyle w:val="ReportList2"/>
      <w:lvlText w:val="%1)"/>
      <w:lvlJc w:val="left"/>
      <w:pPr>
        <w:tabs>
          <w:tab w:val="left" w:pos="1440"/>
        </w:tabs>
        <w:ind w:left="1440" w:hanging="360"/>
      </w:pPr>
      <w:rPr>
        <w:rFonts w:ascii="Times New Roman" w:hAnsi="Times New Roman" w:cs="Times New Roman" w:hint="default"/>
      </w:rPr>
    </w:lvl>
    <w:lvl w:ilvl="1">
      <w:start w:val="1"/>
      <w:numFmt w:val="lowerLetter"/>
      <w:lvlText w:val="%2."/>
      <w:lvlJc w:val="left"/>
      <w:pPr>
        <w:tabs>
          <w:tab w:val="left" w:pos="1260"/>
        </w:tabs>
        <w:ind w:left="1260" w:hanging="360"/>
      </w:pPr>
    </w:lvl>
    <w:lvl w:ilvl="2">
      <w:start w:val="1"/>
      <w:numFmt w:val="lowerRoman"/>
      <w:lvlText w:val="%3."/>
      <w:lvlJc w:val="right"/>
      <w:pPr>
        <w:tabs>
          <w:tab w:val="left" w:pos="1980"/>
        </w:tabs>
        <w:ind w:left="1980" w:hanging="180"/>
      </w:pPr>
    </w:lvl>
    <w:lvl w:ilvl="3">
      <w:start w:val="1"/>
      <w:numFmt w:val="decimal"/>
      <w:lvlText w:val="%4."/>
      <w:lvlJc w:val="left"/>
      <w:pPr>
        <w:tabs>
          <w:tab w:val="left" w:pos="2700"/>
        </w:tabs>
        <w:ind w:left="2700" w:hanging="360"/>
      </w:pPr>
    </w:lvl>
    <w:lvl w:ilvl="4">
      <w:start w:val="1"/>
      <w:numFmt w:val="lowerLetter"/>
      <w:lvlText w:val="%5."/>
      <w:lvlJc w:val="left"/>
      <w:pPr>
        <w:tabs>
          <w:tab w:val="left" w:pos="3420"/>
        </w:tabs>
        <w:ind w:left="3420" w:hanging="360"/>
      </w:pPr>
    </w:lvl>
    <w:lvl w:ilvl="5">
      <w:start w:val="1"/>
      <w:numFmt w:val="lowerRoman"/>
      <w:lvlText w:val="%6."/>
      <w:lvlJc w:val="right"/>
      <w:pPr>
        <w:tabs>
          <w:tab w:val="left" w:pos="4140"/>
        </w:tabs>
        <w:ind w:left="4140" w:hanging="180"/>
      </w:pPr>
    </w:lvl>
    <w:lvl w:ilvl="6">
      <w:start w:val="1"/>
      <w:numFmt w:val="decimal"/>
      <w:lvlText w:val="%7."/>
      <w:lvlJc w:val="left"/>
      <w:pPr>
        <w:tabs>
          <w:tab w:val="left" w:pos="4860"/>
        </w:tabs>
        <w:ind w:left="4860" w:hanging="360"/>
      </w:pPr>
    </w:lvl>
    <w:lvl w:ilvl="7">
      <w:start w:val="1"/>
      <w:numFmt w:val="lowerLetter"/>
      <w:lvlText w:val="%8."/>
      <w:lvlJc w:val="left"/>
      <w:pPr>
        <w:tabs>
          <w:tab w:val="left" w:pos="5580"/>
        </w:tabs>
        <w:ind w:left="5580" w:hanging="360"/>
      </w:pPr>
    </w:lvl>
    <w:lvl w:ilvl="8">
      <w:start w:val="1"/>
      <w:numFmt w:val="lowerRoman"/>
      <w:lvlText w:val="%9."/>
      <w:lvlJc w:val="right"/>
      <w:pPr>
        <w:tabs>
          <w:tab w:val="left" w:pos="6300"/>
        </w:tabs>
        <w:ind w:left="6300" w:hanging="180"/>
      </w:pPr>
    </w:lvl>
  </w:abstractNum>
  <w:abstractNum w:abstractNumId="30">
    <w:nsid w:val="20CE2E96"/>
    <w:multiLevelType w:val="multilevel"/>
    <w:tmpl w:val="20CE2E96"/>
    <w:lvl w:ilvl="0">
      <w:start w:val="1"/>
      <w:numFmt w:val="decimal"/>
      <w:lvlText w:val="%1)"/>
      <w:lvlJc w:val="left"/>
      <w:pPr>
        <w:tabs>
          <w:tab w:val="left" w:pos="1440"/>
        </w:tabs>
        <w:ind w:left="1440" w:hanging="360"/>
      </w:pPr>
      <w:rPr>
        <w:rFonts w:ascii="Times New Roman" w:hAnsi="Times New Roman" w:hint="default"/>
        <w:b w:val="0"/>
        <w:i w:val="0"/>
        <w:sz w:val="24"/>
      </w:rPr>
    </w:lvl>
    <w:lvl w:ilvl="1">
      <w:start w:val="1"/>
      <w:numFmt w:val="lowerLetter"/>
      <w:lvlText w:val="%2."/>
      <w:lvlJc w:val="left"/>
      <w:pPr>
        <w:tabs>
          <w:tab w:val="left" w:pos="1267"/>
        </w:tabs>
        <w:ind w:left="1267" w:hanging="360"/>
      </w:pPr>
    </w:lvl>
    <w:lvl w:ilvl="2">
      <w:start w:val="1"/>
      <w:numFmt w:val="decimal"/>
      <w:pStyle w:val="Level10"/>
      <w:lvlText w:val="(%3)"/>
      <w:lvlJc w:val="left"/>
      <w:pPr>
        <w:tabs>
          <w:tab w:val="left" w:pos="2167"/>
        </w:tabs>
        <w:ind w:left="2167" w:hanging="360"/>
      </w:pPr>
      <w:rPr>
        <w:rFonts w:hint="default"/>
      </w:rPr>
    </w:lvl>
    <w:lvl w:ilvl="3">
      <w:start w:val="1"/>
      <w:numFmt w:val="decimal"/>
      <w:lvlText w:val="%4."/>
      <w:lvlJc w:val="left"/>
      <w:pPr>
        <w:tabs>
          <w:tab w:val="left" w:pos="2707"/>
        </w:tabs>
        <w:ind w:left="2707" w:hanging="360"/>
      </w:pPr>
    </w:lvl>
    <w:lvl w:ilvl="4">
      <w:start w:val="1"/>
      <w:numFmt w:val="lowerLetter"/>
      <w:lvlText w:val="%5."/>
      <w:lvlJc w:val="left"/>
      <w:pPr>
        <w:tabs>
          <w:tab w:val="left" w:pos="3427"/>
        </w:tabs>
        <w:ind w:left="3427" w:hanging="360"/>
      </w:pPr>
    </w:lvl>
    <w:lvl w:ilvl="5">
      <w:start w:val="1"/>
      <w:numFmt w:val="lowerRoman"/>
      <w:lvlText w:val="%6."/>
      <w:lvlJc w:val="right"/>
      <w:pPr>
        <w:tabs>
          <w:tab w:val="left" w:pos="4147"/>
        </w:tabs>
        <w:ind w:left="4147" w:hanging="180"/>
      </w:pPr>
    </w:lvl>
    <w:lvl w:ilvl="6">
      <w:start w:val="1"/>
      <w:numFmt w:val="decimal"/>
      <w:lvlText w:val="%7."/>
      <w:lvlJc w:val="left"/>
      <w:pPr>
        <w:tabs>
          <w:tab w:val="left" w:pos="4867"/>
        </w:tabs>
        <w:ind w:left="4867" w:hanging="360"/>
      </w:pPr>
    </w:lvl>
    <w:lvl w:ilvl="7">
      <w:start w:val="1"/>
      <w:numFmt w:val="lowerLetter"/>
      <w:lvlText w:val="%8."/>
      <w:lvlJc w:val="left"/>
      <w:pPr>
        <w:tabs>
          <w:tab w:val="left" w:pos="5587"/>
        </w:tabs>
        <w:ind w:left="5587" w:hanging="360"/>
      </w:pPr>
    </w:lvl>
    <w:lvl w:ilvl="8">
      <w:start w:val="1"/>
      <w:numFmt w:val="lowerRoman"/>
      <w:lvlText w:val="%9."/>
      <w:lvlJc w:val="right"/>
      <w:pPr>
        <w:tabs>
          <w:tab w:val="left" w:pos="6307"/>
        </w:tabs>
        <w:ind w:left="6307" w:hanging="180"/>
      </w:pPr>
    </w:lvl>
  </w:abstractNum>
  <w:abstractNum w:abstractNumId="31">
    <w:nsid w:val="22CB6D86"/>
    <w:multiLevelType w:val="multilevel"/>
    <w:tmpl w:val="22CB6D86"/>
    <w:lvl w:ilvl="0">
      <w:start w:val="1"/>
      <w:numFmt w:val="decimal"/>
      <w:lvlText w:val="%1)"/>
      <w:lvlJc w:val="left"/>
      <w:pPr>
        <w:tabs>
          <w:tab w:val="left" w:pos="480"/>
        </w:tabs>
        <w:ind w:left="480" w:hanging="420"/>
      </w:pPr>
    </w:lvl>
    <w:lvl w:ilvl="1">
      <w:start w:val="1"/>
      <w:numFmt w:val="lowerLetter"/>
      <w:lvlText w:val="%2)"/>
      <w:lvlJc w:val="left"/>
      <w:pPr>
        <w:tabs>
          <w:tab w:val="left" w:pos="900"/>
        </w:tabs>
        <w:ind w:left="900" w:hanging="420"/>
      </w:pPr>
    </w:lvl>
    <w:lvl w:ilvl="2">
      <w:start w:val="1"/>
      <w:numFmt w:val="lowerRoman"/>
      <w:lvlText w:val="%3."/>
      <w:lvlJc w:val="right"/>
      <w:pPr>
        <w:tabs>
          <w:tab w:val="left" w:pos="1320"/>
        </w:tabs>
        <w:ind w:left="1320" w:hanging="420"/>
      </w:pPr>
    </w:lvl>
    <w:lvl w:ilvl="3">
      <w:start w:val="1"/>
      <w:numFmt w:val="decimal"/>
      <w:lvlText w:val="%4."/>
      <w:lvlJc w:val="left"/>
      <w:pPr>
        <w:tabs>
          <w:tab w:val="left" w:pos="1740"/>
        </w:tabs>
        <w:ind w:left="1740" w:hanging="420"/>
      </w:pPr>
    </w:lvl>
    <w:lvl w:ilvl="4">
      <w:start w:val="1"/>
      <w:numFmt w:val="lowerLetter"/>
      <w:lvlText w:val="%5)"/>
      <w:lvlJc w:val="left"/>
      <w:pPr>
        <w:tabs>
          <w:tab w:val="left" w:pos="2160"/>
        </w:tabs>
        <w:ind w:left="2160" w:hanging="420"/>
      </w:pPr>
    </w:lvl>
    <w:lvl w:ilvl="5">
      <w:start w:val="1"/>
      <w:numFmt w:val="lowerRoman"/>
      <w:lvlText w:val="%6."/>
      <w:lvlJc w:val="right"/>
      <w:pPr>
        <w:tabs>
          <w:tab w:val="left" w:pos="2580"/>
        </w:tabs>
        <w:ind w:left="2580" w:hanging="420"/>
      </w:pPr>
    </w:lvl>
    <w:lvl w:ilvl="6">
      <w:start w:val="1"/>
      <w:numFmt w:val="decimal"/>
      <w:lvlText w:val="%7."/>
      <w:lvlJc w:val="left"/>
      <w:pPr>
        <w:tabs>
          <w:tab w:val="left" w:pos="3000"/>
        </w:tabs>
        <w:ind w:left="3000" w:hanging="420"/>
      </w:pPr>
    </w:lvl>
    <w:lvl w:ilvl="7">
      <w:start w:val="1"/>
      <w:numFmt w:val="lowerLetter"/>
      <w:lvlText w:val="%8)"/>
      <w:lvlJc w:val="left"/>
      <w:pPr>
        <w:tabs>
          <w:tab w:val="left" w:pos="3420"/>
        </w:tabs>
        <w:ind w:left="3420" w:hanging="420"/>
      </w:pPr>
    </w:lvl>
    <w:lvl w:ilvl="8">
      <w:start w:val="1"/>
      <w:numFmt w:val="lowerRoman"/>
      <w:lvlText w:val="%9."/>
      <w:lvlJc w:val="right"/>
      <w:pPr>
        <w:tabs>
          <w:tab w:val="left" w:pos="3840"/>
        </w:tabs>
        <w:ind w:left="3840" w:hanging="420"/>
      </w:pPr>
    </w:lvl>
  </w:abstractNum>
  <w:abstractNum w:abstractNumId="32">
    <w:nsid w:val="22F66915"/>
    <w:multiLevelType w:val="multilevel"/>
    <w:tmpl w:val="22F66915"/>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33">
    <w:nsid w:val="23593BCF"/>
    <w:multiLevelType w:val="multilevel"/>
    <w:tmpl w:val="23593BCF"/>
    <w:lvl w:ilvl="0">
      <w:start w:val="1"/>
      <w:numFmt w:val="decimal"/>
      <w:lvlText w:val="%1)"/>
      <w:lvlJc w:val="left"/>
      <w:pPr>
        <w:tabs>
          <w:tab w:val="left" w:pos="1656"/>
        </w:tabs>
        <w:ind w:left="1656" w:hanging="576"/>
      </w:pPr>
      <w:rPr>
        <w:rFonts w:hint="eastAsia"/>
      </w:rPr>
    </w:lvl>
    <w:lvl w:ilvl="1">
      <w:start w:val="1"/>
      <w:numFmt w:val="lowerLetter"/>
      <w:lvlText w:val="%2)"/>
      <w:lvlJc w:val="left"/>
      <w:pPr>
        <w:tabs>
          <w:tab w:val="left" w:pos="2160"/>
        </w:tabs>
        <w:ind w:left="2160" w:hanging="504"/>
      </w:pPr>
      <w:rPr>
        <w:rFonts w:hint="default"/>
      </w:rPr>
    </w:lvl>
    <w:lvl w:ilvl="2">
      <w:start w:val="1"/>
      <w:numFmt w:val="lowerRoman"/>
      <w:lvlText w:val="%3)"/>
      <w:lvlJc w:val="left"/>
      <w:pPr>
        <w:tabs>
          <w:tab w:val="left" w:pos="2736"/>
        </w:tabs>
        <w:ind w:left="2736" w:hanging="576"/>
      </w:pPr>
      <w:rPr>
        <w:rFonts w:hint="default"/>
      </w:rPr>
    </w:lvl>
    <w:lvl w:ilvl="3">
      <w:start w:val="6"/>
      <w:numFmt w:val="lowerLetter"/>
      <w:lvlText w:val="%4)"/>
      <w:lvlJc w:val="left"/>
      <w:pPr>
        <w:tabs>
          <w:tab w:val="left" w:pos="2160"/>
        </w:tabs>
        <w:ind w:left="2160" w:hanging="504"/>
      </w:pPr>
      <w:rPr>
        <w:rFonts w:hint="default"/>
      </w:rPr>
    </w:lvl>
    <w:lvl w:ilvl="4">
      <w:start w:val="1"/>
      <w:numFmt w:val="decimal"/>
      <w:lvlText w:val="%5)"/>
      <w:lvlJc w:val="left"/>
      <w:pPr>
        <w:tabs>
          <w:tab w:val="left" w:pos="1656"/>
        </w:tabs>
        <w:ind w:left="1656" w:hanging="576"/>
      </w:pPr>
      <w:rPr>
        <w:rFonts w:ascii="Times New Roman" w:hAnsi="Times New Roman" w:cs="Times New Roman" w:hint="default"/>
      </w:r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4">
    <w:nsid w:val="2603058A"/>
    <w:multiLevelType w:val="multilevel"/>
    <w:tmpl w:val="2603058A"/>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35">
    <w:nsid w:val="2CF0A452"/>
    <w:multiLevelType w:val="multilevel"/>
    <w:tmpl w:val="2CF0A452"/>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6">
    <w:nsid w:val="2DE9C32D"/>
    <w:multiLevelType w:val="multilevel"/>
    <w:tmpl w:val="B6D1B74B"/>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7">
    <w:nsid w:val="301601AB"/>
    <w:multiLevelType w:val="multilevel"/>
    <w:tmpl w:val="301601AB"/>
    <w:lvl w:ilvl="0">
      <w:start w:val="1"/>
      <w:numFmt w:val="decimal"/>
      <w:lvlText w:val="%1)"/>
      <w:lvlJc w:val="left"/>
      <w:pPr>
        <w:ind w:left="1555" w:hanging="420"/>
      </w:p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abstractNum w:abstractNumId="38">
    <w:nsid w:val="32D25412"/>
    <w:multiLevelType w:val="multilevel"/>
    <w:tmpl w:val="32D25412"/>
    <w:lvl w:ilvl="0">
      <w:start w:val="1"/>
      <w:numFmt w:val="lowerLetter"/>
      <w:lvlText w:val="%1)"/>
      <w:lvlJc w:val="left"/>
      <w:pPr>
        <w:ind w:left="1917" w:hanging="420"/>
      </w:pPr>
    </w:lvl>
    <w:lvl w:ilvl="1">
      <w:start w:val="1"/>
      <w:numFmt w:val="lowerLetter"/>
      <w:lvlText w:val="%2)"/>
      <w:lvlJc w:val="left"/>
      <w:pPr>
        <w:ind w:left="2337" w:hanging="420"/>
      </w:pPr>
    </w:lvl>
    <w:lvl w:ilvl="2">
      <w:start w:val="1"/>
      <w:numFmt w:val="lowerRoman"/>
      <w:lvlText w:val="%3."/>
      <w:lvlJc w:val="right"/>
      <w:pPr>
        <w:ind w:left="2757" w:hanging="420"/>
      </w:pPr>
    </w:lvl>
    <w:lvl w:ilvl="3">
      <w:start w:val="1"/>
      <w:numFmt w:val="decimal"/>
      <w:lvlText w:val="%4."/>
      <w:lvlJc w:val="left"/>
      <w:pPr>
        <w:ind w:left="3177" w:hanging="420"/>
      </w:pPr>
    </w:lvl>
    <w:lvl w:ilvl="4">
      <w:start w:val="1"/>
      <w:numFmt w:val="lowerLetter"/>
      <w:lvlText w:val="%5)"/>
      <w:lvlJc w:val="left"/>
      <w:pPr>
        <w:ind w:left="3597" w:hanging="420"/>
      </w:pPr>
    </w:lvl>
    <w:lvl w:ilvl="5">
      <w:start w:val="1"/>
      <w:numFmt w:val="lowerRoman"/>
      <w:lvlText w:val="%6."/>
      <w:lvlJc w:val="right"/>
      <w:pPr>
        <w:ind w:left="4017" w:hanging="420"/>
      </w:pPr>
    </w:lvl>
    <w:lvl w:ilvl="6">
      <w:start w:val="1"/>
      <w:numFmt w:val="decimal"/>
      <w:lvlText w:val="%7."/>
      <w:lvlJc w:val="left"/>
      <w:pPr>
        <w:ind w:left="4437" w:hanging="420"/>
      </w:pPr>
    </w:lvl>
    <w:lvl w:ilvl="7">
      <w:start w:val="1"/>
      <w:numFmt w:val="lowerLetter"/>
      <w:lvlText w:val="%8)"/>
      <w:lvlJc w:val="left"/>
      <w:pPr>
        <w:ind w:left="4857" w:hanging="420"/>
      </w:pPr>
    </w:lvl>
    <w:lvl w:ilvl="8">
      <w:start w:val="1"/>
      <w:numFmt w:val="lowerRoman"/>
      <w:lvlText w:val="%9."/>
      <w:lvlJc w:val="right"/>
      <w:pPr>
        <w:ind w:left="5277" w:hanging="420"/>
      </w:pPr>
    </w:lvl>
  </w:abstractNum>
  <w:abstractNum w:abstractNumId="39">
    <w:nsid w:val="344D3727"/>
    <w:multiLevelType w:val="singleLevel"/>
    <w:tmpl w:val="344D3727"/>
    <w:lvl w:ilvl="0">
      <w:start w:val="1"/>
      <w:numFmt w:val="decimal"/>
      <w:pStyle w:val="ReportReference"/>
      <w:lvlText w:val="[%1]"/>
      <w:lvlJc w:val="left"/>
      <w:pPr>
        <w:tabs>
          <w:tab w:val="left" w:pos="2736"/>
        </w:tabs>
        <w:ind w:left="576" w:firstLine="1440"/>
      </w:pPr>
    </w:lvl>
  </w:abstractNum>
  <w:abstractNum w:abstractNumId="40">
    <w:nsid w:val="3F682A18"/>
    <w:multiLevelType w:val="multilevel"/>
    <w:tmpl w:val="3F682A18"/>
    <w:lvl w:ilvl="0">
      <w:start w:val="1"/>
      <w:numFmt w:val="bullet"/>
      <w:pStyle w:val="Spec6-Subicons"/>
      <w:lvlText w:val=""/>
      <w:lvlJc w:val="left"/>
      <w:pPr>
        <w:tabs>
          <w:tab w:val="left" w:pos="2790"/>
        </w:tabs>
        <w:ind w:left="2790" w:hanging="360"/>
      </w:pPr>
      <w:rPr>
        <w:rFonts w:ascii="Symbol" w:hAnsi="Symbol" w:hint="default"/>
      </w:rPr>
    </w:lvl>
    <w:lvl w:ilvl="1">
      <w:start w:val="1"/>
      <w:numFmt w:val="bullet"/>
      <w:lvlText w:val="o"/>
      <w:lvlJc w:val="left"/>
      <w:pPr>
        <w:tabs>
          <w:tab w:val="left" w:pos="3510"/>
        </w:tabs>
        <w:ind w:left="3510" w:hanging="360"/>
      </w:pPr>
      <w:rPr>
        <w:rFonts w:ascii="Courier New" w:hAnsi="Courier New" w:cs="Courier New" w:hint="default"/>
      </w:rPr>
    </w:lvl>
    <w:lvl w:ilvl="2">
      <w:start w:val="1"/>
      <w:numFmt w:val="bullet"/>
      <w:lvlText w:val=""/>
      <w:lvlJc w:val="left"/>
      <w:pPr>
        <w:tabs>
          <w:tab w:val="left" w:pos="4230"/>
        </w:tabs>
        <w:ind w:left="4230" w:hanging="360"/>
      </w:pPr>
      <w:rPr>
        <w:rFonts w:ascii="Wingdings" w:hAnsi="Wingdings" w:hint="default"/>
      </w:rPr>
    </w:lvl>
    <w:lvl w:ilvl="3">
      <w:start w:val="1"/>
      <w:numFmt w:val="bullet"/>
      <w:lvlText w:val=""/>
      <w:lvlJc w:val="left"/>
      <w:pPr>
        <w:tabs>
          <w:tab w:val="left" w:pos="4950"/>
        </w:tabs>
        <w:ind w:left="4950" w:hanging="360"/>
      </w:pPr>
      <w:rPr>
        <w:rFonts w:ascii="Symbol" w:hAnsi="Symbol" w:hint="default"/>
      </w:rPr>
    </w:lvl>
    <w:lvl w:ilvl="4">
      <w:start w:val="1"/>
      <w:numFmt w:val="bullet"/>
      <w:lvlText w:val="o"/>
      <w:lvlJc w:val="left"/>
      <w:pPr>
        <w:tabs>
          <w:tab w:val="left" w:pos="5670"/>
        </w:tabs>
        <w:ind w:left="5670" w:hanging="360"/>
      </w:pPr>
      <w:rPr>
        <w:rFonts w:ascii="Courier New" w:hAnsi="Courier New" w:cs="Courier New" w:hint="default"/>
      </w:rPr>
    </w:lvl>
    <w:lvl w:ilvl="5">
      <w:start w:val="1"/>
      <w:numFmt w:val="bullet"/>
      <w:lvlText w:val=""/>
      <w:lvlJc w:val="left"/>
      <w:pPr>
        <w:tabs>
          <w:tab w:val="left" w:pos="6390"/>
        </w:tabs>
        <w:ind w:left="6390" w:hanging="360"/>
      </w:pPr>
      <w:rPr>
        <w:rFonts w:ascii="Wingdings" w:hAnsi="Wingdings" w:hint="default"/>
      </w:rPr>
    </w:lvl>
    <w:lvl w:ilvl="6">
      <w:start w:val="1"/>
      <w:numFmt w:val="bullet"/>
      <w:lvlText w:val=""/>
      <w:lvlJc w:val="left"/>
      <w:pPr>
        <w:tabs>
          <w:tab w:val="left" w:pos="7110"/>
        </w:tabs>
        <w:ind w:left="7110" w:hanging="360"/>
      </w:pPr>
      <w:rPr>
        <w:rFonts w:ascii="Symbol" w:hAnsi="Symbol" w:hint="default"/>
      </w:rPr>
    </w:lvl>
    <w:lvl w:ilvl="7">
      <w:start w:val="1"/>
      <w:numFmt w:val="bullet"/>
      <w:lvlText w:val="o"/>
      <w:lvlJc w:val="left"/>
      <w:pPr>
        <w:tabs>
          <w:tab w:val="left" w:pos="7830"/>
        </w:tabs>
        <w:ind w:left="7830" w:hanging="360"/>
      </w:pPr>
      <w:rPr>
        <w:rFonts w:ascii="Courier New" w:hAnsi="Courier New" w:cs="Courier New" w:hint="default"/>
      </w:rPr>
    </w:lvl>
    <w:lvl w:ilvl="8">
      <w:start w:val="1"/>
      <w:numFmt w:val="bullet"/>
      <w:lvlText w:val=""/>
      <w:lvlJc w:val="left"/>
      <w:pPr>
        <w:tabs>
          <w:tab w:val="left" w:pos="8550"/>
        </w:tabs>
        <w:ind w:left="8550" w:hanging="360"/>
      </w:pPr>
      <w:rPr>
        <w:rFonts w:ascii="Wingdings" w:hAnsi="Wingdings" w:hint="default"/>
      </w:rPr>
    </w:lvl>
  </w:abstractNum>
  <w:abstractNum w:abstractNumId="41">
    <w:nsid w:val="3FEF38C5"/>
    <w:multiLevelType w:val="multilevel"/>
    <w:tmpl w:val="3FEF38C5"/>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2">
    <w:nsid w:val="3FF43248"/>
    <w:multiLevelType w:val="multilevel"/>
    <w:tmpl w:val="80BE8416"/>
    <w:lvl w:ilvl="0">
      <w:start w:val="1"/>
      <w:numFmt w:val="decimal"/>
      <w:lvlText w:val="%1"/>
      <w:lvlJc w:val="left"/>
      <w:pPr>
        <w:ind w:left="900" w:hanging="900"/>
      </w:pPr>
      <w:rPr>
        <w:rFonts w:hint="default"/>
      </w:rPr>
    </w:lvl>
    <w:lvl w:ilvl="1">
      <w:start w:val="1"/>
      <w:numFmt w:val="decimal"/>
      <w:lvlText w:val="%1.%2"/>
      <w:lvlJc w:val="left"/>
      <w:pPr>
        <w:ind w:left="1977" w:hanging="900"/>
      </w:pPr>
      <w:rPr>
        <w:rFonts w:hint="default"/>
      </w:rPr>
    </w:lvl>
    <w:lvl w:ilvl="2">
      <w:start w:val="1"/>
      <w:numFmt w:val="decimal"/>
      <w:lvlText w:val="%1.%2.%3"/>
      <w:lvlJc w:val="left"/>
      <w:pPr>
        <w:ind w:left="3054" w:hanging="900"/>
      </w:pPr>
      <w:rPr>
        <w:rFonts w:hint="default"/>
      </w:rPr>
    </w:lvl>
    <w:lvl w:ilvl="3">
      <w:start w:val="1"/>
      <w:numFmt w:val="decimal"/>
      <w:lvlText w:val="%1.%2.%3.%4"/>
      <w:lvlJc w:val="left"/>
      <w:pPr>
        <w:ind w:left="4311" w:hanging="1080"/>
      </w:pPr>
      <w:rPr>
        <w:rFonts w:hint="default"/>
      </w:rPr>
    </w:lvl>
    <w:lvl w:ilvl="4">
      <w:start w:val="1"/>
      <w:numFmt w:val="decimal"/>
      <w:lvlText w:val="%1.%2.%3.%4.%5"/>
      <w:lvlJc w:val="left"/>
      <w:pPr>
        <w:ind w:left="5388" w:hanging="1080"/>
      </w:pPr>
      <w:rPr>
        <w:rFonts w:hint="default"/>
      </w:rPr>
    </w:lvl>
    <w:lvl w:ilvl="5">
      <w:start w:val="1"/>
      <w:numFmt w:val="decimal"/>
      <w:lvlText w:val="%1.%2.%3.%4.%5.%6"/>
      <w:lvlJc w:val="left"/>
      <w:pPr>
        <w:ind w:left="6825" w:hanging="1440"/>
      </w:pPr>
      <w:rPr>
        <w:rFonts w:hint="default"/>
      </w:rPr>
    </w:lvl>
    <w:lvl w:ilvl="6">
      <w:start w:val="1"/>
      <w:numFmt w:val="decimal"/>
      <w:lvlText w:val="%1.%2.%3.%4.%5.%6.%7"/>
      <w:lvlJc w:val="left"/>
      <w:pPr>
        <w:ind w:left="7902" w:hanging="1440"/>
      </w:pPr>
      <w:rPr>
        <w:rFonts w:hint="default"/>
      </w:rPr>
    </w:lvl>
    <w:lvl w:ilvl="7">
      <w:start w:val="1"/>
      <w:numFmt w:val="decimal"/>
      <w:lvlText w:val="%1.%2.%3.%4.%5.%6.%7.%8"/>
      <w:lvlJc w:val="left"/>
      <w:pPr>
        <w:ind w:left="9339" w:hanging="1800"/>
      </w:pPr>
      <w:rPr>
        <w:rFonts w:hint="default"/>
      </w:rPr>
    </w:lvl>
    <w:lvl w:ilvl="8">
      <w:start w:val="1"/>
      <w:numFmt w:val="decimal"/>
      <w:lvlText w:val="%1.%2.%3.%4.%5.%6.%7.%8.%9"/>
      <w:lvlJc w:val="left"/>
      <w:pPr>
        <w:ind w:left="10416" w:hanging="1800"/>
      </w:pPr>
      <w:rPr>
        <w:rFonts w:hint="default"/>
      </w:rPr>
    </w:lvl>
  </w:abstractNum>
  <w:abstractNum w:abstractNumId="43">
    <w:nsid w:val="40635F79"/>
    <w:multiLevelType w:val="multilevel"/>
    <w:tmpl w:val="40635F79"/>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44">
    <w:nsid w:val="40704E5F"/>
    <w:multiLevelType w:val="multilevel"/>
    <w:tmpl w:val="40704E5F"/>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5">
    <w:nsid w:val="41A46593"/>
    <w:multiLevelType w:val="multilevel"/>
    <w:tmpl w:val="41A46593"/>
    <w:lvl w:ilvl="0">
      <w:start w:val="1"/>
      <w:numFmt w:val="decimal"/>
      <w:lvlText w:val="%1)"/>
      <w:lvlJc w:val="left"/>
      <w:pPr>
        <w:tabs>
          <w:tab w:val="left" w:pos="2880"/>
        </w:tabs>
        <w:ind w:left="2880" w:hanging="360"/>
      </w:pPr>
      <w:rPr>
        <w:rFonts w:ascii="Times New Roman" w:hAnsi="Times New Roman" w:hint="default"/>
        <w:b w:val="0"/>
        <w:i w:val="0"/>
        <w:sz w:val="21"/>
        <w:szCs w:val="21"/>
      </w:rPr>
    </w:lvl>
    <w:lvl w:ilvl="1">
      <w:start w:val="1"/>
      <w:numFmt w:val="lowerLetter"/>
      <w:lvlText w:val="%2."/>
      <w:lvlJc w:val="left"/>
      <w:pPr>
        <w:tabs>
          <w:tab w:val="left" w:pos="2880"/>
        </w:tabs>
        <w:ind w:left="2880" w:hanging="360"/>
      </w:pPr>
    </w:lvl>
    <w:lvl w:ilvl="2">
      <w:start w:val="1"/>
      <w:numFmt w:val="lowerRoman"/>
      <w:lvlText w:val="%3."/>
      <w:lvlJc w:val="right"/>
      <w:pPr>
        <w:tabs>
          <w:tab w:val="left" w:pos="3600"/>
        </w:tabs>
        <w:ind w:left="3600" w:hanging="180"/>
      </w:pPr>
    </w:lvl>
    <w:lvl w:ilvl="3">
      <w:start w:val="1"/>
      <w:numFmt w:val="decimal"/>
      <w:lvlText w:val="%4."/>
      <w:lvlJc w:val="left"/>
      <w:pPr>
        <w:tabs>
          <w:tab w:val="left" w:pos="4320"/>
        </w:tabs>
        <w:ind w:left="4320" w:hanging="360"/>
      </w:pPr>
    </w:lvl>
    <w:lvl w:ilvl="4">
      <w:start w:val="1"/>
      <w:numFmt w:val="lowerLetter"/>
      <w:lvlText w:val="%5."/>
      <w:lvlJc w:val="left"/>
      <w:pPr>
        <w:tabs>
          <w:tab w:val="left" w:pos="5040"/>
        </w:tabs>
        <w:ind w:left="5040" w:hanging="360"/>
      </w:pPr>
    </w:lvl>
    <w:lvl w:ilvl="5">
      <w:start w:val="1"/>
      <w:numFmt w:val="lowerRoman"/>
      <w:lvlText w:val="%6."/>
      <w:lvlJc w:val="right"/>
      <w:pPr>
        <w:tabs>
          <w:tab w:val="left" w:pos="5760"/>
        </w:tabs>
        <w:ind w:left="5760" w:hanging="180"/>
      </w:pPr>
    </w:lvl>
    <w:lvl w:ilvl="6">
      <w:start w:val="1"/>
      <w:numFmt w:val="decimal"/>
      <w:lvlText w:val="%7."/>
      <w:lvlJc w:val="left"/>
      <w:pPr>
        <w:tabs>
          <w:tab w:val="left" w:pos="6480"/>
        </w:tabs>
        <w:ind w:left="6480" w:hanging="360"/>
      </w:pPr>
    </w:lvl>
    <w:lvl w:ilvl="7">
      <w:start w:val="1"/>
      <w:numFmt w:val="lowerLetter"/>
      <w:lvlText w:val="%8."/>
      <w:lvlJc w:val="left"/>
      <w:pPr>
        <w:tabs>
          <w:tab w:val="left" w:pos="7200"/>
        </w:tabs>
        <w:ind w:left="7200" w:hanging="360"/>
      </w:pPr>
    </w:lvl>
    <w:lvl w:ilvl="8">
      <w:start w:val="1"/>
      <w:numFmt w:val="lowerRoman"/>
      <w:lvlText w:val="%9."/>
      <w:lvlJc w:val="right"/>
      <w:pPr>
        <w:tabs>
          <w:tab w:val="left" w:pos="7920"/>
        </w:tabs>
        <w:ind w:left="7920" w:hanging="180"/>
      </w:pPr>
    </w:lvl>
  </w:abstractNum>
  <w:abstractNum w:abstractNumId="46">
    <w:nsid w:val="4A9E4FCD"/>
    <w:multiLevelType w:val="multilevel"/>
    <w:tmpl w:val="4A9E4FCD"/>
    <w:lvl w:ilvl="0">
      <w:start w:val="1"/>
      <w:numFmt w:val="taiwaneseCountingThousand"/>
      <w:lvlText w:val="第%1章"/>
      <w:lvlJc w:val="left"/>
      <w:pPr>
        <w:tabs>
          <w:tab w:val="left" w:pos="1701"/>
        </w:tabs>
        <w:ind w:left="1701" w:hanging="1701"/>
      </w:pPr>
      <w:rPr>
        <w:rFonts w:ascii="Arial Bold" w:eastAsia="宋体" w:hAnsi="Arial Bold" w:hint="default"/>
        <w:b/>
        <w:i w:val="0"/>
        <w:color w:val="auto"/>
        <w:sz w:val="28"/>
        <w:szCs w:val="28"/>
        <w:lang w:val="en-US"/>
        <w14:shadow w14:blurRad="0" w14:dist="0" w14:dir="0" w14:sx="0" w14:sy="0" w14:kx="0" w14:ky="0" w14:algn="none">
          <w14:srgbClr w14:val="000000"/>
        </w14:shadow>
      </w:rPr>
    </w:lvl>
    <w:lvl w:ilvl="1">
      <w:start w:val="1"/>
      <w:numFmt w:val="decimal"/>
      <w:isLgl/>
      <w:lvlText w:val="%1.%2"/>
      <w:lvlJc w:val="left"/>
      <w:pPr>
        <w:tabs>
          <w:tab w:val="left" w:pos="567"/>
        </w:tabs>
        <w:ind w:left="567" w:hanging="567"/>
      </w:pPr>
      <w:rPr>
        <w:rFonts w:ascii="Arial" w:eastAsia="宋体" w:hAnsi="Arial" w:hint="default"/>
        <w:b w:val="0"/>
        <w:i w:val="0"/>
        <w:color w:val="auto"/>
        <w:sz w:val="22"/>
        <w:szCs w:val="22"/>
      </w:rPr>
    </w:lvl>
    <w:lvl w:ilvl="2">
      <w:start w:val="1"/>
      <w:numFmt w:val="decimal"/>
      <w:pStyle w:val="Spec2-Nos"/>
      <w:isLgl/>
      <w:lvlText w:val="%1.%2.%3"/>
      <w:lvlJc w:val="left"/>
      <w:pPr>
        <w:tabs>
          <w:tab w:val="left" w:pos="1134"/>
        </w:tabs>
        <w:ind w:left="1134" w:hanging="680"/>
      </w:pPr>
      <w:rPr>
        <w:rFonts w:ascii="Arial" w:eastAsia="宋体" w:hAnsi="Arial" w:hint="default"/>
        <w:b w:val="0"/>
        <w:i w:val="0"/>
        <w:sz w:val="22"/>
        <w:szCs w:val="22"/>
      </w:rPr>
    </w:lvl>
    <w:lvl w:ilvl="3">
      <w:start w:val="1"/>
      <w:numFmt w:val="upperLetter"/>
      <w:pStyle w:val="Spec3-Points"/>
      <w:lvlText w:val="%4."/>
      <w:lvlJc w:val="left"/>
      <w:pPr>
        <w:tabs>
          <w:tab w:val="left" w:pos="1588"/>
        </w:tabs>
        <w:ind w:left="1588" w:hanging="454"/>
      </w:pPr>
      <w:rPr>
        <w:rFonts w:ascii="Arial" w:eastAsia="宋体" w:hAnsi="Arial" w:hint="default"/>
        <w:b w:val="0"/>
        <w:i w:val="0"/>
        <w:sz w:val="22"/>
        <w:szCs w:val="22"/>
      </w:rPr>
    </w:lvl>
    <w:lvl w:ilvl="4">
      <w:start w:val="1"/>
      <w:numFmt w:val="decimal"/>
      <w:lvlText w:val="%5."/>
      <w:lvlJc w:val="left"/>
      <w:pPr>
        <w:tabs>
          <w:tab w:val="left" w:pos="1494"/>
        </w:tabs>
        <w:ind w:left="1494" w:hanging="360"/>
      </w:pPr>
      <w:rPr>
        <w:rFonts w:ascii="华文楷体" w:eastAsia="华文楷体" w:hAnsi="华文楷体" w:hint="eastAsia"/>
        <w:b w:val="0"/>
        <w:i w:val="0"/>
        <w:color w:val="auto"/>
        <w:sz w:val="22"/>
        <w:szCs w:val="22"/>
        <w:lang w:val="en-US"/>
        <w14:shadow w14:blurRad="0" w14:dist="0" w14:dir="0" w14:sx="0" w14:sy="0" w14:kx="0" w14:ky="0" w14:algn="none">
          <w14:srgbClr w14:val="000000"/>
        </w14:shadow>
      </w:rPr>
    </w:lvl>
    <w:lvl w:ilvl="5">
      <w:start w:val="1"/>
      <w:numFmt w:val="bullet"/>
      <w:lvlText w:val=""/>
      <w:lvlJc w:val="left"/>
      <w:pPr>
        <w:tabs>
          <w:tab w:val="left" w:pos="2160"/>
        </w:tabs>
        <w:ind w:left="2160" w:hanging="360"/>
      </w:pPr>
      <w:rPr>
        <w:rFonts w:ascii="Wingdings" w:hAnsi="Wingdings" w:hint="default"/>
      </w:rPr>
    </w:lvl>
    <w:lvl w:ilvl="6">
      <w:start w:val="1"/>
      <w:numFmt w:val="bullet"/>
      <w:lvlText w:val=""/>
      <w:lvlJc w:val="left"/>
      <w:pPr>
        <w:tabs>
          <w:tab w:val="left" w:pos="2520"/>
        </w:tabs>
        <w:ind w:left="2520" w:hanging="360"/>
      </w:pPr>
      <w:rPr>
        <w:rFonts w:ascii="Wingdings" w:hAnsi="Wingdings" w:hint="default"/>
      </w:rPr>
    </w:lvl>
    <w:lvl w:ilvl="7">
      <w:start w:val="1"/>
      <w:numFmt w:val="upperLetter"/>
      <w:lvlText w:val="%8)"/>
      <w:lvlJc w:val="left"/>
      <w:pPr>
        <w:tabs>
          <w:tab w:val="left" w:pos="3240"/>
        </w:tabs>
        <w:ind w:left="3240" w:hanging="720"/>
      </w:pPr>
      <w:rPr>
        <w:rFonts w:ascii="Arial" w:eastAsia="宋体" w:hAnsi="Arial" w:hint="default"/>
        <w:b w:val="0"/>
        <w:i w:val="0"/>
        <w:color w:val="auto"/>
        <w:sz w:val="24"/>
        <w:szCs w:val="28"/>
        <w:lang w:val="en-US"/>
        <w14:shadow w14:blurRad="0" w14:dist="0" w14:dir="0" w14:sx="0" w14:sy="0" w14:kx="0" w14:ky="0" w14:algn="none">
          <w14:srgbClr w14:val="000000"/>
        </w14:shadow>
      </w:rPr>
    </w:lvl>
    <w:lvl w:ilvl="8">
      <w:start w:val="1"/>
      <w:numFmt w:val="bullet"/>
      <w:lvlText w:val=""/>
      <w:lvlJc w:val="left"/>
      <w:pPr>
        <w:tabs>
          <w:tab w:val="left" w:pos="3240"/>
        </w:tabs>
        <w:ind w:left="3240" w:hanging="360"/>
      </w:pPr>
      <w:rPr>
        <w:rFonts w:ascii="Symbol" w:hAnsi="Symbol" w:hint="default"/>
      </w:rPr>
    </w:lvl>
  </w:abstractNum>
  <w:abstractNum w:abstractNumId="47">
    <w:nsid w:val="4B180CB2"/>
    <w:multiLevelType w:val="multilevel"/>
    <w:tmpl w:val="4B180CB2"/>
    <w:lvl w:ilvl="0">
      <w:start w:val="1"/>
      <w:numFmt w:val="decimal"/>
      <w:lvlText w:val="%1)"/>
      <w:lvlJc w:val="left"/>
      <w:pPr>
        <w:tabs>
          <w:tab w:val="left" w:pos="420"/>
        </w:tabs>
        <w:ind w:left="420" w:hanging="42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8">
    <w:nsid w:val="4B4441F7"/>
    <w:multiLevelType w:val="singleLevel"/>
    <w:tmpl w:val="4B4441F7"/>
    <w:lvl w:ilvl="0">
      <w:start w:val="1"/>
      <w:numFmt w:val="bullet"/>
      <w:pStyle w:val="ReportList1"/>
      <w:lvlText w:val=""/>
      <w:lvlJc w:val="left"/>
      <w:pPr>
        <w:tabs>
          <w:tab w:val="left" w:pos="1440"/>
        </w:tabs>
        <w:ind w:left="1440" w:hanging="360"/>
      </w:pPr>
      <w:rPr>
        <w:rFonts w:ascii="Symbol" w:hAnsi="Symbol" w:hint="default"/>
      </w:rPr>
    </w:lvl>
  </w:abstractNum>
  <w:abstractNum w:abstractNumId="49">
    <w:nsid w:val="4DA31A91"/>
    <w:multiLevelType w:val="multilevel"/>
    <w:tmpl w:val="4DA31A91"/>
    <w:lvl w:ilvl="0">
      <w:start w:val="1"/>
      <w:numFmt w:val="lowerLetter"/>
      <w:lvlText w:val="(%1)"/>
      <w:lvlJc w:val="left"/>
      <w:pPr>
        <w:tabs>
          <w:tab w:val="left" w:pos="1440"/>
        </w:tabs>
        <w:ind w:left="1440" w:hanging="360"/>
      </w:pPr>
      <w:rPr>
        <w:rFonts w:hint="default"/>
      </w:rPr>
    </w:lvl>
    <w:lvl w:ilvl="1">
      <w:start w:val="1"/>
      <w:numFmt w:val="decimal"/>
      <w:lvlText w:val="%2)"/>
      <w:lvlJc w:val="left"/>
      <w:pPr>
        <w:tabs>
          <w:tab w:val="left" w:pos="1440"/>
        </w:tabs>
        <w:ind w:left="1440" w:hanging="360"/>
      </w:pPr>
      <w:rPr>
        <w:rFonts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0">
    <w:nsid w:val="4EF3078F"/>
    <w:multiLevelType w:val="multilevel"/>
    <w:tmpl w:val="4EF3078F"/>
    <w:lvl w:ilvl="0">
      <w:start w:val="1"/>
      <w:numFmt w:val="decimal"/>
      <w:lvlText w:val="%1)"/>
      <w:lvlJc w:val="left"/>
      <w:pPr>
        <w:tabs>
          <w:tab w:val="left" w:pos="1656"/>
        </w:tabs>
        <w:ind w:left="1656" w:hanging="576"/>
      </w:pPr>
      <w:rPr>
        <w:rFonts w:hint="eastAsia"/>
      </w:rPr>
    </w:lvl>
    <w:lvl w:ilvl="1">
      <w:start w:val="1"/>
      <w:numFmt w:val="ideographTraditional"/>
      <w:lvlText w:val="%2、"/>
      <w:lvlJc w:val="left"/>
      <w:pPr>
        <w:tabs>
          <w:tab w:val="left" w:pos="960"/>
        </w:tabs>
        <w:ind w:left="960" w:hanging="480"/>
      </w:pPr>
    </w:lvl>
    <w:lvl w:ilvl="2">
      <w:start w:val="1"/>
      <w:numFmt w:val="lowerRoman"/>
      <w:lvlText w:val="%3."/>
      <w:lvlJc w:val="right"/>
      <w:pPr>
        <w:tabs>
          <w:tab w:val="left" w:pos="1440"/>
        </w:tabs>
        <w:ind w:left="1440" w:hanging="480"/>
      </w:pPr>
    </w:lvl>
    <w:lvl w:ilvl="3">
      <w:start w:val="1"/>
      <w:numFmt w:val="decimal"/>
      <w:lvlText w:val="%4."/>
      <w:lvlJc w:val="left"/>
      <w:pPr>
        <w:tabs>
          <w:tab w:val="left" w:pos="1920"/>
        </w:tabs>
        <w:ind w:left="1920" w:hanging="480"/>
      </w:p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51">
    <w:nsid w:val="4F326B12"/>
    <w:multiLevelType w:val="multilevel"/>
    <w:tmpl w:val="4F326B12"/>
    <w:lvl w:ilvl="0">
      <w:start w:val="1"/>
      <w:numFmt w:val="decimal"/>
      <w:lvlText w:val="%1)"/>
      <w:lvlJc w:val="left"/>
      <w:pPr>
        <w:tabs>
          <w:tab w:val="left" w:pos="3096"/>
        </w:tabs>
        <w:ind w:left="3096" w:hanging="576"/>
      </w:pPr>
      <w:rPr>
        <w:rFonts w:hint="eastAsia"/>
      </w:rPr>
    </w:lvl>
    <w:lvl w:ilvl="1">
      <w:start w:val="1"/>
      <w:numFmt w:val="ideographTraditional"/>
      <w:lvlText w:val="%2、"/>
      <w:lvlJc w:val="left"/>
      <w:pPr>
        <w:tabs>
          <w:tab w:val="left" w:pos="2400"/>
        </w:tabs>
        <w:ind w:left="2400" w:hanging="480"/>
      </w:pPr>
    </w:lvl>
    <w:lvl w:ilvl="2">
      <w:start w:val="1"/>
      <w:numFmt w:val="lowerRoman"/>
      <w:lvlText w:val="%3."/>
      <w:lvlJc w:val="right"/>
      <w:pPr>
        <w:tabs>
          <w:tab w:val="left" w:pos="2880"/>
        </w:tabs>
        <w:ind w:left="2880" w:hanging="480"/>
      </w:pPr>
    </w:lvl>
    <w:lvl w:ilvl="3">
      <w:start w:val="1"/>
      <w:numFmt w:val="decimal"/>
      <w:lvlText w:val="%4."/>
      <w:lvlJc w:val="left"/>
      <w:pPr>
        <w:tabs>
          <w:tab w:val="left" w:pos="3360"/>
        </w:tabs>
        <w:ind w:left="3360" w:hanging="480"/>
      </w:pPr>
    </w:lvl>
    <w:lvl w:ilvl="4">
      <w:start w:val="1"/>
      <w:numFmt w:val="ideographTraditional"/>
      <w:lvlText w:val="%5、"/>
      <w:lvlJc w:val="left"/>
      <w:pPr>
        <w:tabs>
          <w:tab w:val="left" w:pos="3840"/>
        </w:tabs>
        <w:ind w:left="3840" w:hanging="480"/>
      </w:pPr>
    </w:lvl>
    <w:lvl w:ilvl="5">
      <w:start w:val="1"/>
      <w:numFmt w:val="lowerRoman"/>
      <w:lvlText w:val="%6."/>
      <w:lvlJc w:val="right"/>
      <w:pPr>
        <w:tabs>
          <w:tab w:val="left" w:pos="4320"/>
        </w:tabs>
        <w:ind w:left="4320" w:hanging="480"/>
      </w:pPr>
    </w:lvl>
    <w:lvl w:ilvl="6">
      <w:start w:val="1"/>
      <w:numFmt w:val="decimal"/>
      <w:lvlText w:val="%7."/>
      <w:lvlJc w:val="left"/>
      <w:pPr>
        <w:tabs>
          <w:tab w:val="left" w:pos="4800"/>
        </w:tabs>
        <w:ind w:left="4800" w:hanging="480"/>
      </w:pPr>
    </w:lvl>
    <w:lvl w:ilvl="7">
      <w:start w:val="1"/>
      <w:numFmt w:val="ideographTraditional"/>
      <w:lvlText w:val="%8、"/>
      <w:lvlJc w:val="left"/>
      <w:pPr>
        <w:tabs>
          <w:tab w:val="left" w:pos="5280"/>
        </w:tabs>
        <w:ind w:left="5280" w:hanging="480"/>
      </w:pPr>
    </w:lvl>
    <w:lvl w:ilvl="8">
      <w:start w:val="1"/>
      <w:numFmt w:val="lowerRoman"/>
      <w:lvlText w:val="%9."/>
      <w:lvlJc w:val="right"/>
      <w:pPr>
        <w:tabs>
          <w:tab w:val="left" w:pos="5760"/>
        </w:tabs>
        <w:ind w:left="5760" w:hanging="480"/>
      </w:pPr>
    </w:lvl>
  </w:abstractNum>
  <w:abstractNum w:abstractNumId="52">
    <w:nsid w:val="4F4B35BA"/>
    <w:multiLevelType w:val="multilevel"/>
    <w:tmpl w:val="4F4B35BA"/>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53">
    <w:nsid w:val="524555E8"/>
    <w:multiLevelType w:val="multilevel"/>
    <w:tmpl w:val="524555E8"/>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4">
    <w:nsid w:val="5276E047"/>
    <w:multiLevelType w:val="multilevel"/>
    <w:tmpl w:val="F178F832"/>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5">
    <w:nsid w:val="54F44E9E"/>
    <w:multiLevelType w:val="multilevel"/>
    <w:tmpl w:val="54F44E9E"/>
    <w:lvl w:ilvl="0">
      <w:start w:val="1"/>
      <w:numFmt w:val="decimal"/>
      <w:pStyle w:val="Heading1"/>
      <w:lvlText w:val="%1.0"/>
      <w:lvlJc w:val="left"/>
      <w:pPr>
        <w:tabs>
          <w:tab w:val="left" w:pos="720"/>
        </w:tabs>
        <w:ind w:left="720" w:hanging="720"/>
      </w:pPr>
      <w:rPr>
        <w:rFonts w:ascii="Times New Roman" w:hAnsi="Times New Roman" w:hint="default"/>
        <w:b/>
        <w:i w:val="0"/>
        <w:caps w:val="0"/>
        <w:sz w:val="24"/>
      </w:rPr>
    </w:lvl>
    <w:lvl w:ilvl="1">
      <w:start w:val="1"/>
      <w:numFmt w:val="decimal"/>
      <w:lvlText w:val="%1.%2"/>
      <w:lvlJc w:val="left"/>
      <w:pPr>
        <w:tabs>
          <w:tab w:val="left" w:pos="720"/>
        </w:tabs>
        <w:ind w:left="720" w:hanging="720"/>
      </w:pPr>
      <w:rPr>
        <w:rFonts w:ascii="Times New Roman" w:hAnsi="Times New Roman" w:hint="default"/>
        <w:b/>
        <w:i w:val="0"/>
        <w:caps w:val="0"/>
        <w:sz w:val="24"/>
      </w:rPr>
    </w:lvl>
    <w:lvl w:ilvl="2">
      <w:start w:val="1"/>
      <w:numFmt w:val="decimal"/>
      <w:lvlText w:val="%1.%2.%3"/>
      <w:lvlJc w:val="left"/>
      <w:pPr>
        <w:tabs>
          <w:tab w:val="left" w:pos="720"/>
        </w:tabs>
        <w:ind w:left="720" w:hanging="720"/>
      </w:pPr>
      <w:rPr>
        <w:rFonts w:ascii="Times New Roman" w:hAnsi="Times New Roman" w:hint="default"/>
        <w:b/>
        <w:i w:val="0"/>
        <w:caps w:val="0"/>
        <w:sz w:val="24"/>
      </w:rPr>
    </w:lvl>
    <w:lvl w:ilvl="3">
      <w:start w:val="1"/>
      <w:numFmt w:val="decimal"/>
      <w:lvlText w:val="%1.%2.%3.%4"/>
      <w:lvlJc w:val="left"/>
      <w:pPr>
        <w:tabs>
          <w:tab w:val="left" w:pos="1440"/>
        </w:tabs>
        <w:ind w:left="1440" w:hanging="1440"/>
      </w:pPr>
      <w:rPr>
        <w:rFonts w:ascii="Arial" w:hAnsi="Arial" w:hint="default"/>
        <w:b/>
        <w:i w:val="0"/>
        <w:caps w:val="0"/>
        <w:sz w:val="20"/>
      </w:rPr>
    </w:lvl>
    <w:lvl w:ilvl="4">
      <w:start w:val="1"/>
      <w:numFmt w:val="decimal"/>
      <w:lvlText w:val="%1.%2.%3.%4.%5."/>
      <w:lvlJc w:val="left"/>
      <w:pPr>
        <w:tabs>
          <w:tab w:val="left" w:pos="2520"/>
        </w:tabs>
        <w:ind w:left="2232" w:hanging="792"/>
      </w:pPr>
      <w:rPr>
        <w:rFonts w:hint="default"/>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56">
    <w:nsid w:val="55B95758"/>
    <w:multiLevelType w:val="multilevel"/>
    <w:tmpl w:val="40704E5F"/>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7">
    <w:nsid w:val="55FF7016"/>
    <w:multiLevelType w:val="multilevel"/>
    <w:tmpl w:val="55FF7016"/>
    <w:lvl w:ilvl="0">
      <w:start w:val="1"/>
      <w:numFmt w:val="lowerLetter"/>
      <w:lvlText w:val="%1)"/>
      <w:lvlJc w:val="left"/>
      <w:pPr>
        <w:ind w:left="1917" w:hanging="420"/>
      </w:pPr>
    </w:lvl>
    <w:lvl w:ilvl="1">
      <w:start w:val="1"/>
      <w:numFmt w:val="lowerLetter"/>
      <w:lvlText w:val="%2)"/>
      <w:lvlJc w:val="left"/>
      <w:pPr>
        <w:ind w:left="2337" w:hanging="420"/>
      </w:pPr>
    </w:lvl>
    <w:lvl w:ilvl="2">
      <w:start w:val="1"/>
      <w:numFmt w:val="lowerRoman"/>
      <w:lvlText w:val="%3."/>
      <w:lvlJc w:val="right"/>
      <w:pPr>
        <w:ind w:left="2757" w:hanging="420"/>
      </w:pPr>
    </w:lvl>
    <w:lvl w:ilvl="3">
      <w:start w:val="1"/>
      <w:numFmt w:val="decimal"/>
      <w:lvlText w:val="%4."/>
      <w:lvlJc w:val="left"/>
      <w:pPr>
        <w:ind w:left="3177" w:hanging="420"/>
      </w:pPr>
    </w:lvl>
    <w:lvl w:ilvl="4">
      <w:start w:val="1"/>
      <w:numFmt w:val="lowerLetter"/>
      <w:lvlText w:val="%5)"/>
      <w:lvlJc w:val="left"/>
      <w:pPr>
        <w:ind w:left="3597" w:hanging="420"/>
      </w:pPr>
    </w:lvl>
    <w:lvl w:ilvl="5">
      <w:start w:val="1"/>
      <w:numFmt w:val="lowerRoman"/>
      <w:lvlText w:val="%6."/>
      <w:lvlJc w:val="right"/>
      <w:pPr>
        <w:ind w:left="4017" w:hanging="420"/>
      </w:pPr>
    </w:lvl>
    <w:lvl w:ilvl="6">
      <w:start w:val="1"/>
      <w:numFmt w:val="decimal"/>
      <w:lvlText w:val="%7."/>
      <w:lvlJc w:val="left"/>
      <w:pPr>
        <w:ind w:left="4437" w:hanging="420"/>
      </w:pPr>
    </w:lvl>
    <w:lvl w:ilvl="7">
      <w:start w:val="1"/>
      <w:numFmt w:val="lowerLetter"/>
      <w:lvlText w:val="%8)"/>
      <w:lvlJc w:val="left"/>
      <w:pPr>
        <w:ind w:left="4857" w:hanging="420"/>
      </w:pPr>
    </w:lvl>
    <w:lvl w:ilvl="8">
      <w:start w:val="1"/>
      <w:numFmt w:val="lowerRoman"/>
      <w:lvlText w:val="%9."/>
      <w:lvlJc w:val="right"/>
      <w:pPr>
        <w:ind w:left="5277" w:hanging="420"/>
      </w:pPr>
    </w:lvl>
  </w:abstractNum>
  <w:abstractNum w:abstractNumId="58">
    <w:nsid w:val="5A8023EA"/>
    <w:multiLevelType w:val="multilevel"/>
    <w:tmpl w:val="16FD5303"/>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9">
    <w:nsid w:val="5A935E62"/>
    <w:multiLevelType w:val="multilevel"/>
    <w:tmpl w:val="5A935E62"/>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0">
    <w:nsid w:val="5C016813"/>
    <w:multiLevelType w:val="multilevel"/>
    <w:tmpl w:val="5C016813"/>
    <w:lvl w:ilvl="0">
      <w:start w:val="1"/>
      <w:numFmt w:val="decimal"/>
      <w:lvlText w:val="%1)"/>
      <w:lvlJc w:val="left"/>
      <w:pPr>
        <w:ind w:left="1555" w:hanging="420"/>
      </w:p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abstractNum w:abstractNumId="61">
    <w:nsid w:val="5CAAF973"/>
    <w:multiLevelType w:val="multilevel"/>
    <w:tmpl w:val="5CAAF973"/>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2">
    <w:nsid w:val="5FE79CE8"/>
    <w:multiLevelType w:val="multilevel"/>
    <w:tmpl w:val="3FEF38C5"/>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3">
    <w:nsid w:val="649F7A47"/>
    <w:multiLevelType w:val="multilevel"/>
    <w:tmpl w:val="649F7A47"/>
    <w:lvl w:ilvl="0">
      <w:start w:val="1"/>
      <w:numFmt w:val="decimal"/>
      <w:lvlText w:val="%1)"/>
      <w:lvlJc w:val="left"/>
      <w:pPr>
        <w:tabs>
          <w:tab w:val="left" w:pos="4680"/>
        </w:tabs>
        <w:ind w:left="4680" w:hanging="360"/>
      </w:pPr>
      <w:rPr>
        <w:rFonts w:hint="eastAsia"/>
      </w:rPr>
    </w:lvl>
    <w:lvl w:ilvl="1">
      <w:start w:val="1"/>
      <w:numFmt w:val="decimal"/>
      <w:lvlText w:val="%2)"/>
      <w:lvlJc w:val="left"/>
      <w:pPr>
        <w:tabs>
          <w:tab w:val="left" w:pos="1701"/>
        </w:tabs>
        <w:ind w:left="1701" w:hanging="621"/>
      </w:pPr>
      <w:rPr>
        <w:rFonts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4">
    <w:nsid w:val="65542586"/>
    <w:multiLevelType w:val="multilevel"/>
    <w:tmpl w:val="65542586"/>
    <w:lvl w:ilvl="0">
      <w:start w:val="1"/>
      <w:numFmt w:val="decimal"/>
      <w:lvlText w:val="%1)"/>
      <w:lvlJc w:val="left"/>
      <w:pPr>
        <w:ind w:left="1411" w:hanging="420"/>
      </w:pPr>
      <w:rPr>
        <w:rFonts w:ascii="Times New Roman" w:hAnsi="Times New Roman" w:cs="Times New Roman" w:hint="default"/>
      </w:rPr>
    </w:lvl>
    <w:lvl w:ilvl="1">
      <w:start w:val="1"/>
      <w:numFmt w:val="lowerLetter"/>
      <w:lvlText w:val="%2)"/>
      <w:lvlJc w:val="left"/>
      <w:pPr>
        <w:ind w:left="1831" w:hanging="420"/>
      </w:pPr>
    </w:lvl>
    <w:lvl w:ilvl="2">
      <w:start w:val="1"/>
      <w:numFmt w:val="lowerRoman"/>
      <w:lvlText w:val="%3."/>
      <w:lvlJc w:val="right"/>
      <w:pPr>
        <w:ind w:left="2251" w:hanging="420"/>
      </w:pPr>
    </w:lvl>
    <w:lvl w:ilvl="3">
      <w:start w:val="1"/>
      <w:numFmt w:val="decimal"/>
      <w:lvlText w:val="%4."/>
      <w:lvlJc w:val="left"/>
      <w:pPr>
        <w:ind w:left="2671" w:hanging="420"/>
      </w:pPr>
    </w:lvl>
    <w:lvl w:ilvl="4">
      <w:start w:val="1"/>
      <w:numFmt w:val="lowerLetter"/>
      <w:lvlText w:val="%5)"/>
      <w:lvlJc w:val="left"/>
      <w:pPr>
        <w:ind w:left="3091" w:hanging="420"/>
      </w:pPr>
    </w:lvl>
    <w:lvl w:ilvl="5">
      <w:start w:val="1"/>
      <w:numFmt w:val="lowerRoman"/>
      <w:lvlText w:val="%6."/>
      <w:lvlJc w:val="right"/>
      <w:pPr>
        <w:ind w:left="3511" w:hanging="420"/>
      </w:pPr>
    </w:lvl>
    <w:lvl w:ilvl="6">
      <w:start w:val="1"/>
      <w:numFmt w:val="decimal"/>
      <w:lvlText w:val="%7."/>
      <w:lvlJc w:val="left"/>
      <w:pPr>
        <w:ind w:left="3931" w:hanging="420"/>
      </w:pPr>
    </w:lvl>
    <w:lvl w:ilvl="7">
      <w:start w:val="1"/>
      <w:numFmt w:val="lowerLetter"/>
      <w:lvlText w:val="%8)"/>
      <w:lvlJc w:val="left"/>
      <w:pPr>
        <w:ind w:left="4351" w:hanging="420"/>
      </w:pPr>
    </w:lvl>
    <w:lvl w:ilvl="8">
      <w:start w:val="1"/>
      <w:numFmt w:val="lowerRoman"/>
      <w:lvlText w:val="%9."/>
      <w:lvlJc w:val="right"/>
      <w:pPr>
        <w:ind w:left="4771" w:hanging="420"/>
      </w:pPr>
    </w:lvl>
  </w:abstractNum>
  <w:abstractNum w:abstractNumId="65">
    <w:nsid w:val="69AE1799"/>
    <w:multiLevelType w:val="multilevel"/>
    <w:tmpl w:val="E0E2D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6">
    <w:nsid w:val="6DA531FD"/>
    <w:multiLevelType w:val="multilevel"/>
    <w:tmpl w:val="6DA531FD"/>
    <w:lvl w:ilvl="0">
      <w:start w:val="1"/>
      <w:numFmt w:val="decimal"/>
      <w:lvlText w:val="%1)"/>
      <w:lvlJc w:val="left"/>
      <w:pPr>
        <w:ind w:left="1497" w:hanging="420"/>
      </w:pPr>
    </w:lvl>
    <w:lvl w:ilvl="1">
      <w:start w:val="1"/>
      <w:numFmt w:val="lowerLetter"/>
      <w:lvlText w:val="%2)"/>
      <w:lvlJc w:val="left"/>
      <w:pPr>
        <w:ind w:left="1492" w:hanging="420"/>
      </w:pPr>
    </w:lvl>
    <w:lvl w:ilvl="2">
      <w:start w:val="1"/>
      <w:numFmt w:val="lowerRoman"/>
      <w:lvlText w:val="%3."/>
      <w:lvlJc w:val="right"/>
      <w:pPr>
        <w:ind w:left="1912" w:hanging="420"/>
      </w:pPr>
    </w:lvl>
    <w:lvl w:ilvl="3">
      <w:start w:val="1"/>
      <w:numFmt w:val="decimal"/>
      <w:lvlText w:val="%4."/>
      <w:lvlJc w:val="left"/>
      <w:pPr>
        <w:ind w:left="2332" w:hanging="420"/>
      </w:pPr>
    </w:lvl>
    <w:lvl w:ilvl="4">
      <w:start w:val="1"/>
      <w:numFmt w:val="lowerLetter"/>
      <w:lvlText w:val="%5)"/>
      <w:lvlJc w:val="left"/>
      <w:pPr>
        <w:ind w:left="2752" w:hanging="420"/>
      </w:pPr>
    </w:lvl>
    <w:lvl w:ilvl="5">
      <w:start w:val="1"/>
      <w:numFmt w:val="lowerRoman"/>
      <w:lvlText w:val="%6."/>
      <w:lvlJc w:val="right"/>
      <w:pPr>
        <w:ind w:left="3172" w:hanging="420"/>
      </w:pPr>
    </w:lvl>
    <w:lvl w:ilvl="6">
      <w:start w:val="1"/>
      <w:numFmt w:val="decimal"/>
      <w:lvlText w:val="%7."/>
      <w:lvlJc w:val="left"/>
      <w:pPr>
        <w:ind w:left="3592" w:hanging="420"/>
      </w:pPr>
    </w:lvl>
    <w:lvl w:ilvl="7">
      <w:start w:val="1"/>
      <w:numFmt w:val="lowerLetter"/>
      <w:lvlText w:val="%8)"/>
      <w:lvlJc w:val="left"/>
      <w:pPr>
        <w:ind w:left="4012" w:hanging="420"/>
      </w:pPr>
    </w:lvl>
    <w:lvl w:ilvl="8">
      <w:start w:val="1"/>
      <w:numFmt w:val="lowerRoman"/>
      <w:lvlText w:val="%9."/>
      <w:lvlJc w:val="right"/>
      <w:pPr>
        <w:ind w:left="4432" w:hanging="420"/>
      </w:pPr>
    </w:lvl>
  </w:abstractNum>
  <w:abstractNum w:abstractNumId="67">
    <w:nsid w:val="712018A1"/>
    <w:multiLevelType w:val="multilevel"/>
    <w:tmpl w:val="712018A1"/>
    <w:lvl w:ilvl="0">
      <w:start w:val="1"/>
      <w:numFmt w:val="upperLetter"/>
      <w:lvlText w:val="%1"/>
      <w:lvlJc w:val="left"/>
      <w:pPr>
        <w:tabs>
          <w:tab w:val="left" w:pos="1080"/>
        </w:tabs>
        <w:ind w:left="1080" w:hanging="1080"/>
      </w:pPr>
      <w:rPr>
        <w:rFonts w:ascii="Arial" w:hAnsi="Arial" w:hint="default"/>
        <w:b w:val="0"/>
        <w:i w:val="0"/>
        <w:caps/>
        <w:vanish w:val="0"/>
        <w:sz w:val="26"/>
      </w:rPr>
    </w:lvl>
    <w:lvl w:ilvl="1">
      <w:start w:val="1"/>
      <w:numFmt w:val="decimal"/>
      <w:pStyle w:val="AppendixLetter"/>
      <w:lvlText w:val="%1%2."/>
      <w:lvlJc w:val="left"/>
      <w:pPr>
        <w:tabs>
          <w:tab w:val="left" w:pos="1080"/>
        </w:tabs>
        <w:ind w:left="1080" w:hanging="1080"/>
      </w:pPr>
      <w:rPr>
        <w:rFonts w:ascii="Arial" w:hAnsi="Arial" w:hint="default"/>
        <w:b/>
        <w:i w:val="0"/>
        <w:caps/>
        <w:sz w:val="24"/>
      </w:rPr>
    </w:lvl>
    <w:lvl w:ilvl="2">
      <w:start w:val="1"/>
      <w:numFmt w:val="decimal"/>
      <w:lvlText w:val="%1%2.%3"/>
      <w:lvlJc w:val="left"/>
      <w:pPr>
        <w:tabs>
          <w:tab w:val="left" w:pos="1080"/>
        </w:tabs>
        <w:ind w:left="1080" w:hanging="1080"/>
      </w:pPr>
      <w:rPr>
        <w:rFonts w:ascii="Arial" w:hAnsi="Arial" w:hint="default"/>
        <w:b/>
        <w:i w:val="0"/>
        <w:sz w:val="24"/>
      </w:rPr>
    </w:lvl>
    <w:lvl w:ilvl="3">
      <w:start w:val="1"/>
      <w:numFmt w:val="decimal"/>
      <w:lvlText w:val="%1%2.%3.%4"/>
      <w:lvlJc w:val="left"/>
      <w:pPr>
        <w:tabs>
          <w:tab w:val="left" w:pos="2160"/>
        </w:tabs>
        <w:ind w:left="2160" w:hanging="1080"/>
      </w:pPr>
      <w:rPr>
        <w:rFonts w:ascii="Arial" w:hAnsi="Arial" w:hint="default"/>
        <w:b/>
        <w:i w:val="0"/>
        <w:sz w:val="20"/>
      </w:rPr>
    </w:lvl>
    <w:lvl w:ilvl="4">
      <w:start w:val="1"/>
      <w:numFmt w:val="decimal"/>
      <w:lvlText w:val="%1%2.%3.%4.%5"/>
      <w:lvlJc w:val="left"/>
      <w:pPr>
        <w:tabs>
          <w:tab w:val="left" w:pos="2160"/>
        </w:tabs>
        <w:ind w:left="2160" w:hanging="1080"/>
      </w:pPr>
      <w:rPr>
        <w:rFonts w:ascii="Arial" w:hAnsi="Arial" w:hint="default"/>
        <w:b/>
        <w:i w:val="0"/>
        <w:sz w:val="2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68">
    <w:nsid w:val="71DF3C24"/>
    <w:multiLevelType w:val="multilevel"/>
    <w:tmpl w:val="71DF3C24"/>
    <w:lvl w:ilvl="0">
      <w:start w:val="1"/>
      <w:numFmt w:val="decimal"/>
      <w:lvlText w:val="%1)"/>
      <w:lvlJc w:val="left"/>
      <w:pPr>
        <w:tabs>
          <w:tab w:val="left" w:pos="1656"/>
        </w:tabs>
        <w:ind w:left="1656" w:hanging="576"/>
      </w:pPr>
      <w:rPr>
        <w:rFonts w:hint="eastAsia"/>
      </w:rPr>
    </w:lvl>
    <w:lvl w:ilvl="1">
      <w:start w:val="1"/>
      <w:numFmt w:val="ideographTraditional"/>
      <w:lvlText w:val="%2、"/>
      <w:lvlJc w:val="left"/>
      <w:pPr>
        <w:tabs>
          <w:tab w:val="left" w:pos="960"/>
        </w:tabs>
        <w:ind w:left="960" w:hanging="480"/>
      </w:pPr>
    </w:lvl>
    <w:lvl w:ilvl="2">
      <w:start w:val="1"/>
      <w:numFmt w:val="lowerRoman"/>
      <w:lvlText w:val="%3."/>
      <w:lvlJc w:val="right"/>
      <w:pPr>
        <w:tabs>
          <w:tab w:val="left" w:pos="1440"/>
        </w:tabs>
        <w:ind w:left="1440" w:hanging="480"/>
      </w:pPr>
    </w:lvl>
    <w:lvl w:ilvl="3">
      <w:start w:val="1"/>
      <w:numFmt w:val="decimal"/>
      <w:lvlText w:val="%4."/>
      <w:lvlJc w:val="left"/>
      <w:pPr>
        <w:tabs>
          <w:tab w:val="left" w:pos="1920"/>
        </w:tabs>
        <w:ind w:left="1920" w:hanging="480"/>
      </w:p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69">
    <w:nsid w:val="736E2A54"/>
    <w:multiLevelType w:val="multilevel"/>
    <w:tmpl w:val="736E2A54"/>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0">
    <w:nsid w:val="751275DE"/>
    <w:multiLevelType w:val="multilevel"/>
    <w:tmpl w:val="751275DE"/>
    <w:lvl w:ilvl="0">
      <w:start w:val="1"/>
      <w:numFmt w:val="decimal"/>
      <w:lvlText w:val="%1)"/>
      <w:lvlJc w:val="left"/>
      <w:pPr>
        <w:tabs>
          <w:tab w:val="left" w:pos="1500"/>
        </w:tabs>
        <w:ind w:left="1500" w:hanging="420"/>
      </w:pPr>
    </w:lvl>
    <w:lvl w:ilvl="1">
      <w:start w:val="1"/>
      <w:numFmt w:val="lowerLetter"/>
      <w:lvlText w:val="%2)"/>
      <w:lvlJc w:val="left"/>
      <w:pPr>
        <w:tabs>
          <w:tab w:val="left" w:pos="1920"/>
        </w:tabs>
        <w:ind w:left="1920" w:hanging="420"/>
      </w:pPr>
    </w:lvl>
    <w:lvl w:ilvl="2">
      <w:start w:val="1"/>
      <w:numFmt w:val="lowerRoman"/>
      <w:lvlText w:val="%3."/>
      <w:lvlJc w:val="right"/>
      <w:pPr>
        <w:tabs>
          <w:tab w:val="left" w:pos="2340"/>
        </w:tabs>
        <w:ind w:left="2340" w:hanging="420"/>
      </w:pPr>
    </w:lvl>
    <w:lvl w:ilvl="3">
      <w:start w:val="1"/>
      <w:numFmt w:val="decimal"/>
      <w:lvlText w:val="%4."/>
      <w:lvlJc w:val="left"/>
      <w:pPr>
        <w:tabs>
          <w:tab w:val="left" w:pos="2760"/>
        </w:tabs>
        <w:ind w:left="2760" w:hanging="420"/>
      </w:pPr>
    </w:lvl>
    <w:lvl w:ilvl="4">
      <w:start w:val="1"/>
      <w:numFmt w:val="lowerLetter"/>
      <w:lvlText w:val="%5)"/>
      <w:lvlJc w:val="left"/>
      <w:pPr>
        <w:tabs>
          <w:tab w:val="left" w:pos="3180"/>
        </w:tabs>
        <w:ind w:left="3180" w:hanging="420"/>
      </w:pPr>
    </w:lvl>
    <w:lvl w:ilvl="5">
      <w:start w:val="1"/>
      <w:numFmt w:val="lowerRoman"/>
      <w:lvlText w:val="%6."/>
      <w:lvlJc w:val="right"/>
      <w:pPr>
        <w:tabs>
          <w:tab w:val="left" w:pos="3600"/>
        </w:tabs>
        <w:ind w:left="3600" w:hanging="420"/>
      </w:pPr>
    </w:lvl>
    <w:lvl w:ilvl="6">
      <w:start w:val="1"/>
      <w:numFmt w:val="decimal"/>
      <w:lvlText w:val="%7."/>
      <w:lvlJc w:val="left"/>
      <w:pPr>
        <w:tabs>
          <w:tab w:val="left" w:pos="4020"/>
        </w:tabs>
        <w:ind w:left="4020" w:hanging="420"/>
      </w:pPr>
    </w:lvl>
    <w:lvl w:ilvl="7">
      <w:start w:val="1"/>
      <w:numFmt w:val="lowerLetter"/>
      <w:lvlText w:val="%8)"/>
      <w:lvlJc w:val="left"/>
      <w:pPr>
        <w:tabs>
          <w:tab w:val="left" w:pos="4440"/>
        </w:tabs>
        <w:ind w:left="4440" w:hanging="420"/>
      </w:pPr>
    </w:lvl>
    <w:lvl w:ilvl="8">
      <w:start w:val="1"/>
      <w:numFmt w:val="lowerRoman"/>
      <w:lvlText w:val="%9."/>
      <w:lvlJc w:val="right"/>
      <w:pPr>
        <w:tabs>
          <w:tab w:val="left" w:pos="4860"/>
        </w:tabs>
        <w:ind w:left="4860" w:hanging="420"/>
      </w:pPr>
    </w:lvl>
  </w:abstractNum>
  <w:abstractNum w:abstractNumId="71">
    <w:nsid w:val="77BF2545"/>
    <w:multiLevelType w:val="multilevel"/>
    <w:tmpl w:val="77BF2545"/>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2">
    <w:nsid w:val="789B2527"/>
    <w:multiLevelType w:val="multilevel"/>
    <w:tmpl w:val="16FD5303"/>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3">
    <w:nsid w:val="7972665E"/>
    <w:multiLevelType w:val="multilevel"/>
    <w:tmpl w:val="7972665E"/>
    <w:lvl w:ilvl="0">
      <w:start w:val="1"/>
      <w:numFmt w:val="decimal"/>
      <w:lvlText w:val="%1."/>
      <w:lvlJc w:val="left"/>
      <w:pPr>
        <w:tabs>
          <w:tab w:val="left" w:pos="1080"/>
        </w:tabs>
        <w:ind w:left="1080" w:hanging="1080"/>
      </w:pPr>
      <w:rPr>
        <w:rFonts w:ascii="Arial" w:hAnsi="Arial" w:hint="default"/>
        <w:b/>
        <w:sz w:val="20"/>
      </w:rPr>
    </w:lvl>
    <w:lvl w:ilvl="1">
      <w:start w:val="1"/>
      <w:numFmt w:val="decimal"/>
      <w:lvlText w:val="%1.%2"/>
      <w:lvlJc w:val="left"/>
      <w:pPr>
        <w:tabs>
          <w:tab w:val="left" w:pos="1080"/>
        </w:tabs>
        <w:ind w:left="1080" w:hanging="1080"/>
      </w:pPr>
      <w:rPr>
        <w:rFonts w:ascii="Arial" w:hAnsi="Arial" w:hint="default"/>
        <w:b/>
        <w:sz w:val="20"/>
      </w:rPr>
    </w:lvl>
    <w:lvl w:ilvl="2">
      <w:start w:val="1"/>
      <w:numFmt w:val="decimal"/>
      <w:lvlText w:val="%1.%2.%3"/>
      <w:lvlJc w:val="left"/>
      <w:pPr>
        <w:tabs>
          <w:tab w:val="left" w:pos="1080"/>
        </w:tabs>
        <w:ind w:left="1080" w:hanging="1080"/>
      </w:pPr>
      <w:rPr>
        <w:rFonts w:ascii="Arial" w:hAnsi="Arial" w:hint="default"/>
        <w:b/>
        <w:sz w:val="20"/>
      </w:rPr>
    </w:lvl>
    <w:lvl w:ilvl="3">
      <w:start w:val="1"/>
      <w:numFmt w:val="decimal"/>
      <w:pStyle w:val="Level20"/>
      <w:lvlText w:val="%1.%2.%3.%4"/>
      <w:lvlJc w:val="left"/>
      <w:pPr>
        <w:tabs>
          <w:tab w:val="left" w:pos="2016"/>
        </w:tabs>
        <w:ind w:left="2016" w:hanging="936"/>
      </w:pPr>
      <w:rPr>
        <w:rFonts w:ascii="Arial" w:hAnsi="Arial" w:hint="default"/>
        <w:b/>
        <w:sz w:val="20"/>
      </w:rPr>
    </w:lvl>
    <w:lvl w:ilvl="4">
      <w:start w:val="1"/>
      <w:numFmt w:val="none"/>
      <w:suff w:val="nothing"/>
      <w:lvlJc w:val="left"/>
      <w:pPr>
        <w:ind w:left="0" w:firstLine="0"/>
      </w:pPr>
      <w:rPr>
        <w:rFonts w:hint="default"/>
      </w:rPr>
    </w:lvl>
    <w:lvl w:ilvl="5">
      <w:start w:val="1"/>
      <w:numFmt w:val="none"/>
      <w:suff w:val="nothing"/>
      <w:lvlJc w:val="left"/>
      <w:pPr>
        <w:ind w:left="0" w:firstLine="0"/>
      </w:pPr>
      <w:rPr>
        <w:rFonts w:hint="default"/>
      </w:rPr>
    </w:lvl>
    <w:lvl w:ilvl="6">
      <w:start w:val="1"/>
      <w:numFmt w:val="none"/>
      <w:suff w:val="nothing"/>
      <w:lvlJc w:val="left"/>
      <w:pPr>
        <w:ind w:left="0" w:firstLine="0"/>
      </w:pPr>
      <w:rPr>
        <w:rFonts w:hint="default"/>
      </w:rPr>
    </w:lvl>
    <w:lvl w:ilvl="7">
      <w:start w:val="1"/>
      <w:numFmt w:val="none"/>
      <w:suff w:val="nothing"/>
      <w:lvlJc w:val="left"/>
      <w:pPr>
        <w:ind w:left="0" w:firstLine="0"/>
      </w:pPr>
      <w:rPr>
        <w:rFonts w:hint="default"/>
      </w:rPr>
    </w:lvl>
    <w:lvl w:ilvl="8">
      <w:start w:val="1"/>
      <w:numFmt w:val="none"/>
      <w:suff w:val="nothing"/>
      <w:lvlJc w:val="left"/>
      <w:pPr>
        <w:ind w:left="0" w:firstLine="0"/>
      </w:pPr>
      <w:rPr>
        <w:rFonts w:hint="default"/>
      </w:rPr>
    </w:lvl>
  </w:abstractNum>
  <w:abstractNum w:abstractNumId="74">
    <w:nsid w:val="7B803EBC"/>
    <w:multiLevelType w:val="singleLevel"/>
    <w:tmpl w:val="7B803EBC"/>
    <w:lvl w:ilvl="0">
      <w:start w:val="1"/>
      <w:numFmt w:val="upperLetter"/>
      <w:pStyle w:val="ListAlpha"/>
      <w:lvlText w:val="%1."/>
      <w:lvlJc w:val="left"/>
      <w:pPr>
        <w:tabs>
          <w:tab w:val="left" w:pos="1701"/>
        </w:tabs>
        <w:ind w:left="1701" w:hanging="567"/>
      </w:pPr>
      <w:rPr>
        <w:rFonts w:ascii="Frutiger 45 Light" w:hAnsi="Frutiger 45 Light" w:hint="default"/>
        <w:b w:val="0"/>
        <w:i w:val="0"/>
        <w:sz w:val="22"/>
      </w:rPr>
    </w:lvl>
  </w:abstractNum>
  <w:abstractNum w:abstractNumId="75">
    <w:nsid w:val="7CFC26EA"/>
    <w:multiLevelType w:val="multilevel"/>
    <w:tmpl w:val="7CFC26EA"/>
    <w:lvl w:ilvl="0">
      <w:start w:val="6"/>
      <w:numFmt w:val="decimal"/>
      <w:lvlText w:val="%1"/>
      <w:lvlJc w:val="left"/>
      <w:pPr>
        <w:tabs>
          <w:tab w:val="left" w:pos="1253"/>
        </w:tabs>
        <w:ind w:left="1253" w:hanging="720"/>
      </w:pPr>
      <w:rPr>
        <w:rFonts w:ascii="Times New Roman Bold" w:hAnsi="Times New Roman Bold" w:hint="default"/>
        <w:b/>
        <w:i w:val="0"/>
        <w:color w:val="auto"/>
        <w:sz w:val="22"/>
      </w:rPr>
    </w:lvl>
    <w:lvl w:ilvl="1">
      <w:start w:val="1"/>
      <w:numFmt w:val="decimal"/>
      <w:lvlText w:val="%1.%2"/>
      <w:lvlJc w:val="left"/>
      <w:pPr>
        <w:tabs>
          <w:tab w:val="left" w:pos="2102"/>
        </w:tabs>
        <w:ind w:left="2102" w:hanging="849"/>
      </w:pPr>
      <w:rPr>
        <w:rFonts w:ascii="Arial Black" w:hAnsi="Arial Black" w:hint="default"/>
        <w:b w:val="0"/>
        <w:i w:val="0"/>
        <w:sz w:val="20"/>
      </w:rPr>
    </w:lvl>
    <w:lvl w:ilvl="2">
      <w:start w:val="1"/>
      <w:numFmt w:val="decimal"/>
      <w:lvlText w:val="%1.%2.%3"/>
      <w:lvlJc w:val="left"/>
      <w:pPr>
        <w:tabs>
          <w:tab w:val="left" w:pos="2102"/>
        </w:tabs>
        <w:ind w:left="2102" w:hanging="849"/>
      </w:pPr>
      <w:rPr>
        <w:rFonts w:ascii="Arial Black" w:hAnsi="Arial Black" w:hint="default"/>
        <w:b w:val="0"/>
        <w:i w:val="0"/>
        <w:sz w:val="18"/>
      </w:rPr>
    </w:lvl>
    <w:lvl w:ilvl="3">
      <w:start w:val="1"/>
      <w:numFmt w:val="decimal"/>
      <w:pStyle w:val="SubLevel4"/>
      <w:lvlText w:val="%1.%2.%3.%4"/>
      <w:lvlJc w:val="left"/>
      <w:pPr>
        <w:tabs>
          <w:tab w:val="left" w:pos="2304"/>
        </w:tabs>
        <w:ind w:left="2304" w:hanging="1051"/>
      </w:pPr>
      <w:rPr>
        <w:rFonts w:ascii="Arial Black" w:hAnsi="Arial Black" w:hint="default"/>
        <w:b w:val="0"/>
        <w:i w:val="0"/>
        <w:sz w:val="18"/>
      </w:rPr>
    </w:lvl>
    <w:lvl w:ilvl="4">
      <w:start w:val="1"/>
      <w:numFmt w:val="decimal"/>
      <w:lvlText w:val="%1.%2.%3.%4.%5"/>
      <w:lvlJc w:val="left"/>
      <w:pPr>
        <w:tabs>
          <w:tab w:val="left" w:pos="1852"/>
        </w:tabs>
        <w:ind w:left="1852" w:hanging="1080"/>
      </w:pPr>
      <w:rPr>
        <w:rFonts w:hint="default"/>
      </w:rPr>
    </w:lvl>
    <w:lvl w:ilvl="5">
      <w:start w:val="1"/>
      <w:numFmt w:val="decimal"/>
      <w:lvlText w:val="%1.%2.%3.%4.%5.%6"/>
      <w:lvlJc w:val="left"/>
      <w:pPr>
        <w:tabs>
          <w:tab w:val="left" w:pos="1852"/>
        </w:tabs>
        <w:ind w:left="1852" w:hanging="1080"/>
      </w:pPr>
      <w:rPr>
        <w:rFonts w:hint="default"/>
      </w:rPr>
    </w:lvl>
    <w:lvl w:ilvl="6">
      <w:start w:val="1"/>
      <w:numFmt w:val="decimal"/>
      <w:lvlText w:val="%1.%2.%3.%4.%5.%6.%7"/>
      <w:lvlJc w:val="left"/>
      <w:pPr>
        <w:tabs>
          <w:tab w:val="left" w:pos="2212"/>
        </w:tabs>
        <w:ind w:left="2212" w:hanging="1440"/>
      </w:pPr>
      <w:rPr>
        <w:rFonts w:hint="default"/>
      </w:rPr>
    </w:lvl>
    <w:lvl w:ilvl="7">
      <w:start w:val="1"/>
      <w:numFmt w:val="decimal"/>
      <w:lvlText w:val="%1.%2.%3.%4.%5.%6.%7.%8"/>
      <w:lvlJc w:val="left"/>
      <w:pPr>
        <w:tabs>
          <w:tab w:val="left" w:pos="2212"/>
        </w:tabs>
        <w:ind w:left="2212" w:hanging="1440"/>
      </w:pPr>
      <w:rPr>
        <w:rFonts w:hint="default"/>
      </w:rPr>
    </w:lvl>
    <w:lvl w:ilvl="8">
      <w:start w:val="1"/>
      <w:numFmt w:val="decimal"/>
      <w:lvlText w:val="%1.%2.%3.%4.%5.%6.%7.%8.%9"/>
      <w:lvlJc w:val="left"/>
      <w:pPr>
        <w:tabs>
          <w:tab w:val="left" w:pos="2212"/>
        </w:tabs>
        <w:ind w:left="2212" w:hanging="1440"/>
      </w:pPr>
      <w:rPr>
        <w:rFonts w:hint="default"/>
      </w:rPr>
    </w:lvl>
  </w:abstractNum>
  <w:num w:numId="1">
    <w:abstractNumId w:val="55"/>
  </w:num>
  <w:num w:numId="2">
    <w:abstractNumId w:val="12"/>
  </w:num>
  <w:num w:numId="3">
    <w:abstractNumId w:val="14"/>
  </w:num>
  <w:num w:numId="4">
    <w:abstractNumId w:val="17"/>
  </w:num>
  <w:num w:numId="5">
    <w:abstractNumId w:val="18"/>
  </w:num>
  <w:num w:numId="6">
    <w:abstractNumId w:val="15"/>
  </w:num>
  <w:num w:numId="7">
    <w:abstractNumId w:val="11"/>
  </w:num>
  <w:num w:numId="8">
    <w:abstractNumId w:val="16"/>
  </w:num>
  <w:num w:numId="9">
    <w:abstractNumId w:val="13"/>
  </w:num>
  <w:num w:numId="10">
    <w:abstractNumId w:val="10"/>
  </w:num>
  <w:num w:numId="11">
    <w:abstractNumId w:val="9"/>
  </w:num>
  <w:num w:numId="12">
    <w:abstractNumId w:val="28"/>
  </w:num>
  <w:num w:numId="13">
    <w:abstractNumId w:val="48"/>
  </w:num>
  <w:num w:numId="14">
    <w:abstractNumId w:val="29"/>
  </w:num>
  <w:num w:numId="15">
    <w:abstractNumId w:val="67"/>
  </w:num>
  <w:num w:numId="16">
    <w:abstractNumId w:val="39"/>
  </w:num>
  <w:num w:numId="17">
    <w:abstractNumId w:val="73"/>
  </w:num>
  <w:num w:numId="18">
    <w:abstractNumId w:val="30"/>
  </w:num>
  <w:num w:numId="19">
    <w:abstractNumId w:val="46"/>
  </w:num>
  <w:num w:numId="20">
    <w:abstractNumId w:val="40"/>
  </w:num>
  <w:num w:numId="21">
    <w:abstractNumId w:val="24"/>
  </w:num>
  <w:num w:numId="22">
    <w:abstractNumId w:val="75"/>
  </w:num>
  <w:num w:numId="23">
    <w:abstractNumId w:val="74"/>
  </w:num>
  <w:num w:numId="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4"/>
  </w:num>
  <w:num w:numId="27">
    <w:abstractNumId w:val="0"/>
  </w:num>
  <w:num w:numId="28">
    <w:abstractNumId w:val="27"/>
  </w:num>
  <w:num w:numId="29">
    <w:abstractNumId w:val="6"/>
  </w:num>
  <w:num w:numId="30">
    <w:abstractNumId w:val="1"/>
  </w:num>
  <w:num w:numId="31">
    <w:abstractNumId w:val="3"/>
  </w:num>
  <w:num w:numId="32">
    <w:abstractNumId w:val="59"/>
  </w:num>
  <w:num w:numId="33">
    <w:abstractNumId w:val="2"/>
  </w:num>
  <w:num w:numId="34">
    <w:abstractNumId w:val="69"/>
  </w:num>
  <w:num w:numId="35">
    <w:abstractNumId w:val="7"/>
  </w:num>
  <w:num w:numId="36">
    <w:abstractNumId w:val="71"/>
  </w:num>
  <w:num w:numId="37">
    <w:abstractNumId w:val="8"/>
  </w:num>
  <w:num w:numId="38">
    <w:abstractNumId w:val="35"/>
  </w:num>
  <w:num w:numId="39">
    <w:abstractNumId w:val="41"/>
  </w:num>
  <w:num w:numId="40">
    <w:abstractNumId w:val="61"/>
  </w:num>
  <w:num w:numId="41">
    <w:abstractNumId w:val="44"/>
  </w:num>
  <w:num w:numId="42">
    <w:abstractNumId w:val="51"/>
  </w:num>
  <w:num w:numId="43">
    <w:abstractNumId w:val="45"/>
  </w:num>
  <w:num w:numId="44">
    <w:abstractNumId w:val="33"/>
  </w:num>
  <w:num w:numId="45">
    <w:abstractNumId w:val="64"/>
  </w:num>
  <w:num w:numId="46">
    <w:abstractNumId w:val="70"/>
  </w:num>
  <w:num w:numId="47">
    <w:abstractNumId w:val="31"/>
  </w:num>
  <w:num w:numId="48">
    <w:abstractNumId w:val="50"/>
  </w:num>
  <w:num w:numId="49">
    <w:abstractNumId w:val="68"/>
  </w:num>
  <w:num w:numId="50">
    <w:abstractNumId w:val="53"/>
  </w:num>
  <w:num w:numId="51">
    <w:abstractNumId w:val="47"/>
  </w:num>
  <w:num w:numId="52">
    <w:abstractNumId w:val="26"/>
  </w:num>
  <w:num w:numId="53">
    <w:abstractNumId w:val="32"/>
  </w:num>
  <w:num w:numId="54">
    <w:abstractNumId w:val="57"/>
  </w:num>
  <w:num w:numId="55">
    <w:abstractNumId w:val="34"/>
  </w:num>
  <w:num w:numId="56">
    <w:abstractNumId w:val="22"/>
  </w:num>
  <w:num w:numId="57">
    <w:abstractNumId w:val="43"/>
  </w:num>
  <w:num w:numId="58">
    <w:abstractNumId w:val="38"/>
  </w:num>
  <w:num w:numId="59">
    <w:abstractNumId w:val="52"/>
  </w:num>
  <w:num w:numId="60">
    <w:abstractNumId w:val="19"/>
  </w:num>
  <w:num w:numId="61">
    <w:abstractNumId w:val="66"/>
  </w:num>
  <w:num w:numId="62">
    <w:abstractNumId w:val="20"/>
  </w:num>
  <w:num w:numId="63">
    <w:abstractNumId w:val="21"/>
  </w:num>
  <w:num w:numId="64">
    <w:abstractNumId w:val="25"/>
  </w:num>
  <w:num w:numId="65">
    <w:abstractNumId w:val="23"/>
  </w:num>
  <w:num w:numId="66">
    <w:abstractNumId w:val="60"/>
  </w:num>
  <w:num w:numId="67">
    <w:abstractNumId w:val="37"/>
  </w:num>
  <w:num w:numId="68">
    <w:abstractNumId w:val="49"/>
  </w:num>
  <w:num w:numId="69">
    <w:abstractNumId w:val="63"/>
  </w:num>
  <w:num w:numId="70">
    <w:abstractNumId w:val="72"/>
  </w:num>
  <w:num w:numId="71">
    <w:abstractNumId w:val="58"/>
  </w:num>
  <w:num w:numId="72">
    <w:abstractNumId w:val="42"/>
  </w:num>
  <w:num w:numId="73">
    <w:abstractNumId w:val="56"/>
  </w:num>
  <w:num w:numId="74">
    <w:abstractNumId w:val="65"/>
  </w:num>
  <w:num w:numId="75">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36"/>
  </w:num>
  <w:num w:numId="79">
    <w:abstractNumId w:val="54"/>
  </w:num>
  <w:num w:numId="80">
    <w:abstractNumId w:val="62"/>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40"/>
  <w:bordersDoNotSurroundHeader/>
  <w:bordersDoNotSurroundFooter/>
  <w:proofState w:spelling="clean" w:grammar="clean"/>
  <w:defaultTabStop w:val="66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5CC"/>
    <w:rsid w:val="00000316"/>
    <w:rsid w:val="000029BC"/>
    <w:rsid w:val="00007D74"/>
    <w:rsid w:val="00010148"/>
    <w:rsid w:val="00011047"/>
    <w:rsid w:val="00011B6F"/>
    <w:rsid w:val="00011C1B"/>
    <w:rsid w:val="00011E28"/>
    <w:rsid w:val="00012C93"/>
    <w:rsid w:val="00014AA7"/>
    <w:rsid w:val="000152C4"/>
    <w:rsid w:val="000153CA"/>
    <w:rsid w:val="000160D4"/>
    <w:rsid w:val="00016403"/>
    <w:rsid w:val="0001650F"/>
    <w:rsid w:val="00016796"/>
    <w:rsid w:val="0001747F"/>
    <w:rsid w:val="00017F03"/>
    <w:rsid w:val="000207CA"/>
    <w:rsid w:val="00021DAA"/>
    <w:rsid w:val="00025F09"/>
    <w:rsid w:val="0002682F"/>
    <w:rsid w:val="00030BE3"/>
    <w:rsid w:val="00031C13"/>
    <w:rsid w:val="00032B74"/>
    <w:rsid w:val="00034BDE"/>
    <w:rsid w:val="00035C07"/>
    <w:rsid w:val="00036607"/>
    <w:rsid w:val="00036B99"/>
    <w:rsid w:val="00041649"/>
    <w:rsid w:val="00042918"/>
    <w:rsid w:val="00043211"/>
    <w:rsid w:val="00044121"/>
    <w:rsid w:val="00045B0D"/>
    <w:rsid w:val="000461F4"/>
    <w:rsid w:val="00046550"/>
    <w:rsid w:val="0004798D"/>
    <w:rsid w:val="0005018B"/>
    <w:rsid w:val="000513DE"/>
    <w:rsid w:val="000534FE"/>
    <w:rsid w:val="00054170"/>
    <w:rsid w:val="000546E5"/>
    <w:rsid w:val="00056D57"/>
    <w:rsid w:val="00060F50"/>
    <w:rsid w:val="00063F36"/>
    <w:rsid w:val="00064734"/>
    <w:rsid w:val="00064A7E"/>
    <w:rsid w:val="00064A9F"/>
    <w:rsid w:val="000655F5"/>
    <w:rsid w:val="00067AD6"/>
    <w:rsid w:val="000722E1"/>
    <w:rsid w:val="00072E64"/>
    <w:rsid w:val="00073AAC"/>
    <w:rsid w:val="00080BB3"/>
    <w:rsid w:val="00082E9F"/>
    <w:rsid w:val="00086001"/>
    <w:rsid w:val="00086758"/>
    <w:rsid w:val="00087C69"/>
    <w:rsid w:val="00090570"/>
    <w:rsid w:val="0009075B"/>
    <w:rsid w:val="0009367B"/>
    <w:rsid w:val="0009609F"/>
    <w:rsid w:val="00096689"/>
    <w:rsid w:val="00096969"/>
    <w:rsid w:val="00096BFF"/>
    <w:rsid w:val="000A031E"/>
    <w:rsid w:val="000A1058"/>
    <w:rsid w:val="000A1F9D"/>
    <w:rsid w:val="000A3FF8"/>
    <w:rsid w:val="000A41D5"/>
    <w:rsid w:val="000A591F"/>
    <w:rsid w:val="000A65F1"/>
    <w:rsid w:val="000B094A"/>
    <w:rsid w:val="000B0963"/>
    <w:rsid w:val="000B0FAA"/>
    <w:rsid w:val="000B27E9"/>
    <w:rsid w:val="000B3EDA"/>
    <w:rsid w:val="000B4AD4"/>
    <w:rsid w:val="000B549A"/>
    <w:rsid w:val="000B72D8"/>
    <w:rsid w:val="000C2C88"/>
    <w:rsid w:val="000C3ED0"/>
    <w:rsid w:val="000C40A8"/>
    <w:rsid w:val="000D09E9"/>
    <w:rsid w:val="000D114A"/>
    <w:rsid w:val="000D27D0"/>
    <w:rsid w:val="000D36F7"/>
    <w:rsid w:val="000D3BDA"/>
    <w:rsid w:val="000D50A7"/>
    <w:rsid w:val="000D6440"/>
    <w:rsid w:val="000D6D7A"/>
    <w:rsid w:val="000E2827"/>
    <w:rsid w:val="000E35B5"/>
    <w:rsid w:val="000E6B4E"/>
    <w:rsid w:val="000F045A"/>
    <w:rsid w:val="000F4834"/>
    <w:rsid w:val="000F6E77"/>
    <w:rsid w:val="000F7521"/>
    <w:rsid w:val="001049C6"/>
    <w:rsid w:val="00105AFF"/>
    <w:rsid w:val="00105E05"/>
    <w:rsid w:val="00105F23"/>
    <w:rsid w:val="00107815"/>
    <w:rsid w:val="00110ABC"/>
    <w:rsid w:val="00111CD1"/>
    <w:rsid w:val="001126EB"/>
    <w:rsid w:val="00112C1E"/>
    <w:rsid w:val="00112C40"/>
    <w:rsid w:val="001154E9"/>
    <w:rsid w:val="0011576A"/>
    <w:rsid w:val="00115DBF"/>
    <w:rsid w:val="00116A41"/>
    <w:rsid w:val="0011718B"/>
    <w:rsid w:val="00122BE3"/>
    <w:rsid w:val="0012318C"/>
    <w:rsid w:val="001239C4"/>
    <w:rsid w:val="00124D1B"/>
    <w:rsid w:val="00125972"/>
    <w:rsid w:val="00130EA0"/>
    <w:rsid w:val="00133535"/>
    <w:rsid w:val="001340FF"/>
    <w:rsid w:val="0013546F"/>
    <w:rsid w:val="0013600B"/>
    <w:rsid w:val="00136400"/>
    <w:rsid w:val="0014084E"/>
    <w:rsid w:val="001417EB"/>
    <w:rsid w:val="00142DD8"/>
    <w:rsid w:val="00143DB7"/>
    <w:rsid w:val="0014414B"/>
    <w:rsid w:val="00144C86"/>
    <w:rsid w:val="00144F38"/>
    <w:rsid w:val="001461B5"/>
    <w:rsid w:val="001468FC"/>
    <w:rsid w:val="00146A96"/>
    <w:rsid w:val="00147BC1"/>
    <w:rsid w:val="00147CA6"/>
    <w:rsid w:val="00151498"/>
    <w:rsid w:val="00151B99"/>
    <w:rsid w:val="00154060"/>
    <w:rsid w:val="001544F9"/>
    <w:rsid w:val="001549BD"/>
    <w:rsid w:val="00155175"/>
    <w:rsid w:val="001562F9"/>
    <w:rsid w:val="0016025E"/>
    <w:rsid w:val="001602DA"/>
    <w:rsid w:val="00160BC1"/>
    <w:rsid w:val="0016143F"/>
    <w:rsid w:val="00163654"/>
    <w:rsid w:val="00163DF9"/>
    <w:rsid w:val="00164B82"/>
    <w:rsid w:val="00165734"/>
    <w:rsid w:val="0016584C"/>
    <w:rsid w:val="00166BAA"/>
    <w:rsid w:val="0017060B"/>
    <w:rsid w:val="00171C8E"/>
    <w:rsid w:val="00172628"/>
    <w:rsid w:val="00172F45"/>
    <w:rsid w:val="00173A63"/>
    <w:rsid w:val="00180729"/>
    <w:rsid w:val="00181218"/>
    <w:rsid w:val="00183D02"/>
    <w:rsid w:val="001845D3"/>
    <w:rsid w:val="00185556"/>
    <w:rsid w:val="00185CD0"/>
    <w:rsid w:val="00187192"/>
    <w:rsid w:val="001900C9"/>
    <w:rsid w:val="00194BEF"/>
    <w:rsid w:val="001963B7"/>
    <w:rsid w:val="00196864"/>
    <w:rsid w:val="001979E5"/>
    <w:rsid w:val="001A2D0D"/>
    <w:rsid w:val="001A484D"/>
    <w:rsid w:val="001A5055"/>
    <w:rsid w:val="001A57BE"/>
    <w:rsid w:val="001A6CFD"/>
    <w:rsid w:val="001B12B1"/>
    <w:rsid w:val="001B3718"/>
    <w:rsid w:val="001B732C"/>
    <w:rsid w:val="001C69CC"/>
    <w:rsid w:val="001D1128"/>
    <w:rsid w:val="001D1C9B"/>
    <w:rsid w:val="001D2476"/>
    <w:rsid w:val="001D27E7"/>
    <w:rsid w:val="001D3CB3"/>
    <w:rsid w:val="001D40D8"/>
    <w:rsid w:val="001D4F14"/>
    <w:rsid w:val="001D51A7"/>
    <w:rsid w:val="001D67CC"/>
    <w:rsid w:val="001D6949"/>
    <w:rsid w:val="001D6958"/>
    <w:rsid w:val="001D7D14"/>
    <w:rsid w:val="001E03A2"/>
    <w:rsid w:val="001E0FD9"/>
    <w:rsid w:val="001E1AFD"/>
    <w:rsid w:val="001E1B46"/>
    <w:rsid w:val="001E3F02"/>
    <w:rsid w:val="001E4099"/>
    <w:rsid w:val="001E6131"/>
    <w:rsid w:val="001F1401"/>
    <w:rsid w:val="001F2033"/>
    <w:rsid w:val="001F396E"/>
    <w:rsid w:val="001F7442"/>
    <w:rsid w:val="0020070E"/>
    <w:rsid w:val="0020078B"/>
    <w:rsid w:val="00201285"/>
    <w:rsid w:val="00201962"/>
    <w:rsid w:val="002040F4"/>
    <w:rsid w:val="00205819"/>
    <w:rsid w:val="00210D09"/>
    <w:rsid w:val="00210D90"/>
    <w:rsid w:val="002115A4"/>
    <w:rsid w:val="00212962"/>
    <w:rsid w:val="002137E5"/>
    <w:rsid w:val="00213FEF"/>
    <w:rsid w:val="00214135"/>
    <w:rsid w:val="002141A7"/>
    <w:rsid w:val="0021791F"/>
    <w:rsid w:val="002200CF"/>
    <w:rsid w:val="0022108F"/>
    <w:rsid w:val="00221550"/>
    <w:rsid w:val="00221988"/>
    <w:rsid w:val="00222C4D"/>
    <w:rsid w:val="00223384"/>
    <w:rsid w:val="00224538"/>
    <w:rsid w:val="00226281"/>
    <w:rsid w:val="00226547"/>
    <w:rsid w:val="00226ED8"/>
    <w:rsid w:val="00230379"/>
    <w:rsid w:val="00231532"/>
    <w:rsid w:val="00231973"/>
    <w:rsid w:val="002321B2"/>
    <w:rsid w:val="00232334"/>
    <w:rsid w:val="002324AF"/>
    <w:rsid w:val="00232810"/>
    <w:rsid w:val="00235A6B"/>
    <w:rsid w:val="00237086"/>
    <w:rsid w:val="00237BA4"/>
    <w:rsid w:val="00240041"/>
    <w:rsid w:val="002411B3"/>
    <w:rsid w:val="00243215"/>
    <w:rsid w:val="00245418"/>
    <w:rsid w:val="00246060"/>
    <w:rsid w:val="00250240"/>
    <w:rsid w:val="00250F2D"/>
    <w:rsid w:val="00251652"/>
    <w:rsid w:val="002518E0"/>
    <w:rsid w:val="002556AE"/>
    <w:rsid w:val="002601AB"/>
    <w:rsid w:val="00261032"/>
    <w:rsid w:val="00264059"/>
    <w:rsid w:val="0026456D"/>
    <w:rsid w:val="00265F40"/>
    <w:rsid w:val="0026723C"/>
    <w:rsid w:val="002672FB"/>
    <w:rsid w:val="00272CC7"/>
    <w:rsid w:val="00274DB5"/>
    <w:rsid w:val="0027552C"/>
    <w:rsid w:val="00280842"/>
    <w:rsid w:val="0028460B"/>
    <w:rsid w:val="00290DE1"/>
    <w:rsid w:val="0029130D"/>
    <w:rsid w:val="00292FB6"/>
    <w:rsid w:val="00294699"/>
    <w:rsid w:val="00295D75"/>
    <w:rsid w:val="002A120F"/>
    <w:rsid w:val="002A1C51"/>
    <w:rsid w:val="002A53EB"/>
    <w:rsid w:val="002A5445"/>
    <w:rsid w:val="002A565C"/>
    <w:rsid w:val="002B07C9"/>
    <w:rsid w:val="002B0BEF"/>
    <w:rsid w:val="002B441B"/>
    <w:rsid w:val="002B466B"/>
    <w:rsid w:val="002B4B31"/>
    <w:rsid w:val="002B6EEF"/>
    <w:rsid w:val="002B7510"/>
    <w:rsid w:val="002C043E"/>
    <w:rsid w:val="002C0862"/>
    <w:rsid w:val="002C0BE8"/>
    <w:rsid w:val="002C0CEB"/>
    <w:rsid w:val="002C0F05"/>
    <w:rsid w:val="002C4D68"/>
    <w:rsid w:val="002C5525"/>
    <w:rsid w:val="002C673E"/>
    <w:rsid w:val="002C763A"/>
    <w:rsid w:val="002C7A80"/>
    <w:rsid w:val="002D0F8B"/>
    <w:rsid w:val="002D34FC"/>
    <w:rsid w:val="002D42F2"/>
    <w:rsid w:val="002D56E6"/>
    <w:rsid w:val="002D7EAB"/>
    <w:rsid w:val="002E07C7"/>
    <w:rsid w:val="002E11C1"/>
    <w:rsid w:val="002E12BC"/>
    <w:rsid w:val="002E13C8"/>
    <w:rsid w:val="002E389D"/>
    <w:rsid w:val="002E4B05"/>
    <w:rsid w:val="002E5D6B"/>
    <w:rsid w:val="002F13C0"/>
    <w:rsid w:val="002F46ED"/>
    <w:rsid w:val="002F5196"/>
    <w:rsid w:val="002F7147"/>
    <w:rsid w:val="002F7188"/>
    <w:rsid w:val="002F7233"/>
    <w:rsid w:val="00300AB0"/>
    <w:rsid w:val="00304A97"/>
    <w:rsid w:val="00304E01"/>
    <w:rsid w:val="00310E54"/>
    <w:rsid w:val="003119E5"/>
    <w:rsid w:val="00313423"/>
    <w:rsid w:val="003144D1"/>
    <w:rsid w:val="00317150"/>
    <w:rsid w:val="00320A31"/>
    <w:rsid w:val="00323C09"/>
    <w:rsid w:val="0032718E"/>
    <w:rsid w:val="00327829"/>
    <w:rsid w:val="00327A7E"/>
    <w:rsid w:val="003308F3"/>
    <w:rsid w:val="003360E9"/>
    <w:rsid w:val="0033722A"/>
    <w:rsid w:val="00337C0C"/>
    <w:rsid w:val="003404CC"/>
    <w:rsid w:val="00342EA7"/>
    <w:rsid w:val="00345643"/>
    <w:rsid w:val="003468FB"/>
    <w:rsid w:val="003473FC"/>
    <w:rsid w:val="00347CD1"/>
    <w:rsid w:val="0035245E"/>
    <w:rsid w:val="00353FA8"/>
    <w:rsid w:val="00354627"/>
    <w:rsid w:val="00356208"/>
    <w:rsid w:val="00357E19"/>
    <w:rsid w:val="0036152E"/>
    <w:rsid w:val="003626C2"/>
    <w:rsid w:val="00363401"/>
    <w:rsid w:val="00364527"/>
    <w:rsid w:val="00364CDA"/>
    <w:rsid w:val="00365578"/>
    <w:rsid w:val="003665BE"/>
    <w:rsid w:val="00367C55"/>
    <w:rsid w:val="00372F49"/>
    <w:rsid w:val="0037658A"/>
    <w:rsid w:val="00376859"/>
    <w:rsid w:val="00377183"/>
    <w:rsid w:val="00380D03"/>
    <w:rsid w:val="00381B3B"/>
    <w:rsid w:val="00383016"/>
    <w:rsid w:val="00383104"/>
    <w:rsid w:val="003842CD"/>
    <w:rsid w:val="00386119"/>
    <w:rsid w:val="00391C65"/>
    <w:rsid w:val="00391CAB"/>
    <w:rsid w:val="00393033"/>
    <w:rsid w:val="00396827"/>
    <w:rsid w:val="003A0D60"/>
    <w:rsid w:val="003A1011"/>
    <w:rsid w:val="003A1090"/>
    <w:rsid w:val="003A2772"/>
    <w:rsid w:val="003A3DA8"/>
    <w:rsid w:val="003A407E"/>
    <w:rsid w:val="003A4957"/>
    <w:rsid w:val="003A4A89"/>
    <w:rsid w:val="003A7B12"/>
    <w:rsid w:val="003A7E80"/>
    <w:rsid w:val="003B0107"/>
    <w:rsid w:val="003B04D5"/>
    <w:rsid w:val="003B0615"/>
    <w:rsid w:val="003B2414"/>
    <w:rsid w:val="003B26D0"/>
    <w:rsid w:val="003B2DB7"/>
    <w:rsid w:val="003B4A18"/>
    <w:rsid w:val="003B4B51"/>
    <w:rsid w:val="003B5105"/>
    <w:rsid w:val="003B512F"/>
    <w:rsid w:val="003B5351"/>
    <w:rsid w:val="003B677E"/>
    <w:rsid w:val="003C01E0"/>
    <w:rsid w:val="003C218F"/>
    <w:rsid w:val="003C393E"/>
    <w:rsid w:val="003C3A13"/>
    <w:rsid w:val="003C4496"/>
    <w:rsid w:val="003C5E76"/>
    <w:rsid w:val="003C7691"/>
    <w:rsid w:val="003C77B6"/>
    <w:rsid w:val="003D113B"/>
    <w:rsid w:val="003D1DC4"/>
    <w:rsid w:val="003D4380"/>
    <w:rsid w:val="003D5500"/>
    <w:rsid w:val="003D79FF"/>
    <w:rsid w:val="003D7FD1"/>
    <w:rsid w:val="003E1395"/>
    <w:rsid w:val="003E1BEE"/>
    <w:rsid w:val="003E2BB1"/>
    <w:rsid w:val="003E3540"/>
    <w:rsid w:val="003E3EDF"/>
    <w:rsid w:val="003E4D56"/>
    <w:rsid w:val="003E4F07"/>
    <w:rsid w:val="003F097B"/>
    <w:rsid w:val="003F0C10"/>
    <w:rsid w:val="003F28EA"/>
    <w:rsid w:val="003F28ED"/>
    <w:rsid w:val="003F34AB"/>
    <w:rsid w:val="003F454A"/>
    <w:rsid w:val="003F5513"/>
    <w:rsid w:val="004011DA"/>
    <w:rsid w:val="0040308C"/>
    <w:rsid w:val="0040418E"/>
    <w:rsid w:val="004075A0"/>
    <w:rsid w:val="00407AD5"/>
    <w:rsid w:val="00410393"/>
    <w:rsid w:val="00410BBC"/>
    <w:rsid w:val="00411518"/>
    <w:rsid w:val="004120EC"/>
    <w:rsid w:val="0041213F"/>
    <w:rsid w:val="00412CC2"/>
    <w:rsid w:val="00413614"/>
    <w:rsid w:val="00413C76"/>
    <w:rsid w:val="00414540"/>
    <w:rsid w:val="004152FF"/>
    <w:rsid w:val="00415825"/>
    <w:rsid w:val="00415B17"/>
    <w:rsid w:val="004201BA"/>
    <w:rsid w:val="00420BE7"/>
    <w:rsid w:val="00421CD5"/>
    <w:rsid w:val="00422380"/>
    <w:rsid w:val="004257AA"/>
    <w:rsid w:val="004310B3"/>
    <w:rsid w:val="0043486A"/>
    <w:rsid w:val="0043539B"/>
    <w:rsid w:val="004402C1"/>
    <w:rsid w:val="004408C7"/>
    <w:rsid w:val="0044143C"/>
    <w:rsid w:val="00441E1A"/>
    <w:rsid w:val="0044286D"/>
    <w:rsid w:val="0044357F"/>
    <w:rsid w:val="00445C59"/>
    <w:rsid w:val="00445C75"/>
    <w:rsid w:val="00447792"/>
    <w:rsid w:val="004503B3"/>
    <w:rsid w:val="004514F8"/>
    <w:rsid w:val="00452AD9"/>
    <w:rsid w:val="00453CFB"/>
    <w:rsid w:val="00455889"/>
    <w:rsid w:val="00462585"/>
    <w:rsid w:val="00462B9C"/>
    <w:rsid w:val="004660A9"/>
    <w:rsid w:val="0046638F"/>
    <w:rsid w:val="00466FAE"/>
    <w:rsid w:val="00467CE4"/>
    <w:rsid w:val="00472501"/>
    <w:rsid w:val="00472CDE"/>
    <w:rsid w:val="00473A02"/>
    <w:rsid w:val="00473B5B"/>
    <w:rsid w:val="00473D29"/>
    <w:rsid w:val="00474F39"/>
    <w:rsid w:val="00475A32"/>
    <w:rsid w:val="0047653E"/>
    <w:rsid w:val="00481FF2"/>
    <w:rsid w:val="00483E36"/>
    <w:rsid w:val="00483E8A"/>
    <w:rsid w:val="00483F1A"/>
    <w:rsid w:val="004853EE"/>
    <w:rsid w:val="004914A1"/>
    <w:rsid w:val="004914F4"/>
    <w:rsid w:val="00492EC7"/>
    <w:rsid w:val="004933B1"/>
    <w:rsid w:val="00494927"/>
    <w:rsid w:val="00497350"/>
    <w:rsid w:val="00497DD9"/>
    <w:rsid w:val="004A1038"/>
    <w:rsid w:val="004A3531"/>
    <w:rsid w:val="004A3C2E"/>
    <w:rsid w:val="004A4694"/>
    <w:rsid w:val="004A4CA6"/>
    <w:rsid w:val="004A65A7"/>
    <w:rsid w:val="004A6CAD"/>
    <w:rsid w:val="004B1AEE"/>
    <w:rsid w:val="004B2F9F"/>
    <w:rsid w:val="004B3C26"/>
    <w:rsid w:val="004B3FC9"/>
    <w:rsid w:val="004B49A5"/>
    <w:rsid w:val="004B4AFF"/>
    <w:rsid w:val="004B59C1"/>
    <w:rsid w:val="004B73C0"/>
    <w:rsid w:val="004B7F69"/>
    <w:rsid w:val="004C146C"/>
    <w:rsid w:val="004C230E"/>
    <w:rsid w:val="004C2B83"/>
    <w:rsid w:val="004C572D"/>
    <w:rsid w:val="004C57F5"/>
    <w:rsid w:val="004C5E52"/>
    <w:rsid w:val="004C6781"/>
    <w:rsid w:val="004C69F4"/>
    <w:rsid w:val="004D1BBA"/>
    <w:rsid w:val="004D1DBC"/>
    <w:rsid w:val="004D402C"/>
    <w:rsid w:val="004D518F"/>
    <w:rsid w:val="004D5450"/>
    <w:rsid w:val="004D5465"/>
    <w:rsid w:val="004D5DA1"/>
    <w:rsid w:val="004D642F"/>
    <w:rsid w:val="004D7494"/>
    <w:rsid w:val="004E0610"/>
    <w:rsid w:val="004E2077"/>
    <w:rsid w:val="004E613B"/>
    <w:rsid w:val="004E6665"/>
    <w:rsid w:val="004F0A65"/>
    <w:rsid w:val="004F0ABA"/>
    <w:rsid w:val="004F23C2"/>
    <w:rsid w:val="004F3140"/>
    <w:rsid w:val="004F3285"/>
    <w:rsid w:val="004F34B2"/>
    <w:rsid w:val="004F4C58"/>
    <w:rsid w:val="004F5ACD"/>
    <w:rsid w:val="004F7CD0"/>
    <w:rsid w:val="0050206A"/>
    <w:rsid w:val="00503298"/>
    <w:rsid w:val="005068D6"/>
    <w:rsid w:val="00507A71"/>
    <w:rsid w:val="00511898"/>
    <w:rsid w:val="0051248C"/>
    <w:rsid w:val="00514C6E"/>
    <w:rsid w:val="00515980"/>
    <w:rsid w:val="00515CDB"/>
    <w:rsid w:val="00520952"/>
    <w:rsid w:val="00522A8B"/>
    <w:rsid w:val="0052305B"/>
    <w:rsid w:val="00523A21"/>
    <w:rsid w:val="00530330"/>
    <w:rsid w:val="00530917"/>
    <w:rsid w:val="0053140C"/>
    <w:rsid w:val="0053152E"/>
    <w:rsid w:val="00531EBC"/>
    <w:rsid w:val="00533590"/>
    <w:rsid w:val="00533F63"/>
    <w:rsid w:val="005344F7"/>
    <w:rsid w:val="00534CBB"/>
    <w:rsid w:val="0053688B"/>
    <w:rsid w:val="005426DA"/>
    <w:rsid w:val="00542B45"/>
    <w:rsid w:val="00543D2B"/>
    <w:rsid w:val="0054498C"/>
    <w:rsid w:val="00546592"/>
    <w:rsid w:val="00547408"/>
    <w:rsid w:val="00551488"/>
    <w:rsid w:val="00553B36"/>
    <w:rsid w:val="005540E8"/>
    <w:rsid w:val="00554988"/>
    <w:rsid w:val="00555976"/>
    <w:rsid w:val="00560364"/>
    <w:rsid w:val="0056037C"/>
    <w:rsid w:val="00561C4E"/>
    <w:rsid w:val="00561FC5"/>
    <w:rsid w:val="005620B3"/>
    <w:rsid w:val="00562B7E"/>
    <w:rsid w:val="005636FF"/>
    <w:rsid w:val="00563CC1"/>
    <w:rsid w:val="005653ED"/>
    <w:rsid w:val="00566E91"/>
    <w:rsid w:val="00566FAC"/>
    <w:rsid w:val="005703B3"/>
    <w:rsid w:val="00571610"/>
    <w:rsid w:val="00571A74"/>
    <w:rsid w:val="005727AC"/>
    <w:rsid w:val="00572900"/>
    <w:rsid w:val="00572B13"/>
    <w:rsid w:val="00573FAD"/>
    <w:rsid w:val="00575905"/>
    <w:rsid w:val="0057617E"/>
    <w:rsid w:val="00581284"/>
    <w:rsid w:val="00582194"/>
    <w:rsid w:val="0058696A"/>
    <w:rsid w:val="005870E1"/>
    <w:rsid w:val="0058755E"/>
    <w:rsid w:val="00587A3B"/>
    <w:rsid w:val="00587EDC"/>
    <w:rsid w:val="00593530"/>
    <w:rsid w:val="005951B8"/>
    <w:rsid w:val="0059620C"/>
    <w:rsid w:val="00596AAF"/>
    <w:rsid w:val="00597B83"/>
    <w:rsid w:val="005A0F41"/>
    <w:rsid w:val="005A0F70"/>
    <w:rsid w:val="005A1AE9"/>
    <w:rsid w:val="005A2AA1"/>
    <w:rsid w:val="005A46E6"/>
    <w:rsid w:val="005A7F2E"/>
    <w:rsid w:val="005B340C"/>
    <w:rsid w:val="005B3EE4"/>
    <w:rsid w:val="005B691D"/>
    <w:rsid w:val="005B7D1A"/>
    <w:rsid w:val="005C057B"/>
    <w:rsid w:val="005C06C1"/>
    <w:rsid w:val="005C0A6F"/>
    <w:rsid w:val="005C117F"/>
    <w:rsid w:val="005C2B7B"/>
    <w:rsid w:val="005C2F77"/>
    <w:rsid w:val="005C3BEC"/>
    <w:rsid w:val="005C7BCA"/>
    <w:rsid w:val="005D1D0D"/>
    <w:rsid w:val="005D1E33"/>
    <w:rsid w:val="005D2934"/>
    <w:rsid w:val="005D3069"/>
    <w:rsid w:val="005D31C7"/>
    <w:rsid w:val="005D6B2F"/>
    <w:rsid w:val="005E0B39"/>
    <w:rsid w:val="005E1DC2"/>
    <w:rsid w:val="005E3816"/>
    <w:rsid w:val="005E5AE8"/>
    <w:rsid w:val="005E62C9"/>
    <w:rsid w:val="005E6786"/>
    <w:rsid w:val="005F0D2C"/>
    <w:rsid w:val="005F0FF8"/>
    <w:rsid w:val="005F163F"/>
    <w:rsid w:val="005F201F"/>
    <w:rsid w:val="005F3F1D"/>
    <w:rsid w:val="005F71AF"/>
    <w:rsid w:val="00601780"/>
    <w:rsid w:val="00603EE7"/>
    <w:rsid w:val="006047CB"/>
    <w:rsid w:val="0060486D"/>
    <w:rsid w:val="00604AFF"/>
    <w:rsid w:val="006054F4"/>
    <w:rsid w:val="006056A3"/>
    <w:rsid w:val="00606154"/>
    <w:rsid w:val="006068BD"/>
    <w:rsid w:val="006075A5"/>
    <w:rsid w:val="00607804"/>
    <w:rsid w:val="00610AD2"/>
    <w:rsid w:val="00610DD5"/>
    <w:rsid w:val="0061121D"/>
    <w:rsid w:val="00611B8D"/>
    <w:rsid w:val="00612BE9"/>
    <w:rsid w:val="00613C7C"/>
    <w:rsid w:val="0061590F"/>
    <w:rsid w:val="00615E7F"/>
    <w:rsid w:val="0062161D"/>
    <w:rsid w:val="00621781"/>
    <w:rsid w:val="006222EA"/>
    <w:rsid w:val="00622626"/>
    <w:rsid w:val="0062265D"/>
    <w:rsid w:val="0062308D"/>
    <w:rsid w:val="006231D3"/>
    <w:rsid w:val="0062541D"/>
    <w:rsid w:val="00625F18"/>
    <w:rsid w:val="00627BC3"/>
    <w:rsid w:val="00627CD1"/>
    <w:rsid w:val="00630B85"/>
    <w:rsid w:val="00631EF4"/>
    <w:rsid w:val="0063233A"/>
    <w:rsid w:val="0063381A"/>
    <w:rsid w:val="00636702"/>
    <w:rsid w:val="0064196F"/>
    <w:rsid w:val="0064231B"/>
    <w:rsid w:val="00650BD5"/>
    <w:rsid w:val="006511C8"/>
    <w:rsid w:val="00654555"/>
    <w:rsid w:val="006550DF"/>
    <w:rsid w:val="00655B9C"/>
    <w:rsid w:val="00657A01"/>
    <w:rsid w:val="00657A4F"/>
    <w:rsid w:val="00661C4E"/>
    <w:rsid w:val="006621CF"/>
    <w:rsid w:val="006624F5"/>
    <w:rsid w:val="006628B8"/>
    <w:rsid w:val="00663BDA"/>
    <w:rsid w:val="00663C2A"/>
    <w:rsid w:val="00663D8F"/>
    <w:rsid w:val="00664015"/>
    <w:rsid w:val="00670878"/>
    <w:rsid w:val="006732F1"/>
    <w:rsid w:val="006754E2"/>
    <w:rsid w:val="00675CCF"/>
    <w:rsid w:val="0067612B"/>
    <w:rsid w:val="006771DA"/>
    <w:rsid w:val="0068047C"/>
    <w:rsid w:val="006828DD"/>
    <w:rsid w:val="0068353C"/>
    <w:rsid w:val="00683660"/>
    <w:rsid w:val="006836B1"/>
    <w:rsid w:val="00684CBB"/>
    <w:rsid w:val="006876EE"/>
    <w:rsid w:val="00691A40"/>
    <w:rsid w:val="006932E3"/>
    <w:rsid w:val="00694F55"/>
    <w:rsid w:val="006A0BE2"/>
    <w:rsid w:val="006A30A2"/>
    <w:rsid w:val="006A4B74"/>
    <w:rsid w:val="006A5FD4"/>
    <w:rsid w:val="006A672E"/>
    <w:rsid w:val="006A6F4C"/>
    <w:rsid w:val="006B3D58"/>
    <w:rsid w:val="006B4106"/>
    <w:rsid w:val="006B41F7"/>
    <w:rsid w:val="006B51A2"/>
    <w:rsid w:val="006B5FF0"/>
    <w:rsid w:val="006B613A"/>
    <w:rsid w:val="006C14C4"/>
    <w:rsid w:val="006C224B"/>
    <w:rsid w:val="006C3362"/>
    <w:rsid w:val="006C4696"/>
    <w:rsid w:val="006C49BD"/>
    <w:rsid w:val="006C5194"/>
    <w:rsid w:val="006C78EB"/>
    <w:rsid w:val="006D1C54"/>
    <w:rsid w:val="006D28E7"/>
    <w:rsid w:val="006D2E76"/>
    <w:rsid w:val="006D3E50"/>
    <w:rsid w:val="006D4002"/>
    <w:rsid w:val="006D5BBB"/>
    <w:rsid w:val="006D7339"/>
    <w:rsid w:val="006D77F5"/>
    <w:rsid w:val="006E0ACF"/>
    <w:rsid w:val="006E0CF4"/>
    <w:rsid w:val="006E2C28"/>
    <w:rsid w:val="006E3023"/>
    <w:rsid w:val="006E3363"/>
    <w:rsid w:val="006E3E19"/>
    <w:rsid w:val="006E44F5"/>
    <w:rsid w:val="006E6956"/>
    <w:rsid w:val="006E7375"/>
    <w:rsid w:val="006F1E60"/>
    <w:rsid w:val="006F1EA1"/>
    <w:rsid w:val="006F2833"/>
    <w:rsid w:val="006F4B42"/>
    <w:rsid w:val="006F5857"/>
    <w:rsid w:val="006F6487"/>
    <w:rsid w:val="00702A3E"/>
    <w:rsid w:val="007049D1"/>
    <w:rsid w:val="00704BB4"/>
    <w:rsid w:val="00706F64"/>
    <w:rsid w:val="00707021"/>
    <w:rsid w:val="0070744C"/>
    <w:rsid w:val="00710B86"/>
    <w:rsid w:val="00711B35"/>
    <w:rsid w:val="00712828"/>
    <w:rsid w:val="00712F19"/>
    <w:rsid w:val="0071382F"/>
    <w:rsid w:val="007146D9"/>
    <w:rsid w:val="0071569B"/>
    <w:rsid w:val="007169D7"/>
    <w:rsid w:val="00716DF1"/>
    <w:rsid w:val="00717642"/>
    <w:rsid w:val="00717D74"/>
    <w:rsid w:val="00720EE7"/>
    <w:rsid w:val="00724C6A"/>
    <w:rsid w:val="00725FCC"/>
    <w:rsid w:val="007265D2"/>
    <w:rsid w:val="00726769"/>
    <w:rsid w:val="00733BD6"/>
    <w:rsid w:val="00734075"/>
    <w:rsid w:val="00741E05"/>
    <w:rsid w:val="0074336B"/>
    <w:rsid w:val="007445CE"/>
    <w:rsid w:val="007465DF"/>
    <w:rsid w:val="00746866"/>
    <w:rsid w:val="00751293"/>
    <w:rsid w:val="007517A1"/>
    <w:rsid w:val="0075373C"/>
    <w:rsid w:val="007561E2"/>
    <w:rsid w:val="0075730D"/>
    <w:rsid w:val="007616BA"/>
    <w:rsid w:val="00761BEB"/>
    <w:rsid w:val="00763597"/>
    <w:rsid w:val="007636A0"/>
    <w:rsid w:val="00763753"/>
    <w:rsid w:val="00765A52"/>
    <w:rsid w:val="007660B2"/>
    <w:rsid w:val="00770477"/>
    <w:rsid w:val="0077107E"/>
    <w:rsid w:val="007714A8"/>
    <w:rsid w:val="007726CB"/>
    <w:rsid w:val="007734C0"/>
    <w:rsid w:val="00773669"/>
    <w:rsid w:val="0077564B"/>
    <w:rsid w:val="00776478"/>
    <w:rsid w:val="00782588"/>
    <w:rsid w:val="0078430A"/>
    <w:rsid w:val="00786687"/>
    <w:rsid w:val="00790B3A"/>
    <w:rsid w:val="007916F5"/>
    <w:rsid w:val="00791BFF"/>
    <w:rsid w:val="00792020"/>
    <w:rsid w:val="00792BB0"/>
    <w:rsid w:val="00794C94"/>
    <w:rsid w:val="00794D25"/>
    <w:rsid w:val="00795BDA"/>
    <w:rsid w:val="0079667E"/>
    <w:rsid w:val="0079683D"/>
    <w:rsid w:val="00797294"/>
    <w:rsid w:val="007974A5"/>
    <w:rsid w:val="007A1CE1"/>
    <w:rsid w:val="007A2BA0"/>
    <w:rsid w:val="007A3AA5"/>
    <w:rsid w:val="007A474C"/>
    <w:rsid w:val="007A4E73"/>
    <w:rsid w:val="007A518D"/>
    <w:rsid w:val="007A527F"/>
    <w:rsid w:val="007A5867"/>
    <w:rsid w:val="007A653C"/>
    <w:rsid w:val="007A680A"/>
    <w:rsid w:val="007A7293"/>
    <w:rsid w:val="007B44ED"/>
    <w:rsid w:val="007B614F"/>
    <w:rsid w:val="007B719F"/>
    <w:rsid w:val="007B739D"/>
    <w:rsid w:val="007B7E16"/>
    <w:rsid w:val="007C0223"/>
    <w:rsid w:val="007C0381"/>
    <w:rsid w:val="007C0DBE"/>
    <w:rsid w:val="007C3925"/>
    <w:rsid w:val="007C5493"/>
    <w:rsid w:val="007C6D3C"/>
    <w:rsid w:val="007D14B6"/>
    <w:rsid w:val="007D1F38"/>
    <w:rsid w:val="007D2469"/>
    <w:rsid w:val="007D3AB0"/>
    <w:rsid w:val="007D6260"/>
    <w:rsid w:val="007D7608"/>
    <w:rsid w:val="007E2218"/>
    <w:rsid w:val="007E3687"/>
    <w:rsid w:val="007E4109"/>
    <w:rsid w:val="007E41A4"/>
    <w:rsid w:val="007F031D"/>
    <w:rsid w:val="007F3760"/>
    <w:rsid w:val="007F4968"/>
    <w:rsid w:val="007F5928"/>
    <w:rsid w:val="007F6439"/>
    <w:rsid w:val="007F7AFB"/>
    <w:rsid w:val="008006E7"/>
    <w:rsid w:val="0080176E"/>
    <w:rsid w:val="00802D0A"/>
    <w:rsid w:val="00802E54"/>
    <w:rsid w:val="00803C67"/>
    <w:rsid w:val="00804B76"/>
    <w:rsid w:val="0080792A"/>
    <w:rsid w:val="0080797E"/>
    <w:rsid w:val="00810B70"/>
    <w:rsid w:val="008123C6"/>
    <w:rsid w:val="00814A82"/>
    <w:rsid w:val="008153FE"/>
    <w:rsid w:val="008156E4"/>
    <w:rsid w:val="00816AEF"/>
    <w:rsid w:val="008174ED"/>
    <w:rsid w:val="008225EC"/>
    <w:rsid w:val="00824410"/>
    <w:rsid w:val="0082470D"/>
    <w:rsid w:val="00827498"/>
    <w:rsid w:val="00827888"/>
    <w:rsid w:val="00832F84"/>
    <w:rsid w:val="0083438C"/>
    <w:rsid w:val="00834EEB"/>
    <w:rsid w:val="00840C7D"/>
    <w:rsid w:val="00841D4D"/>
    <w:rsid w:val="0084769C"/>
    <w:rsid w:val="00847D57"/>
    <w:rsid w:val="008502FA"/>
    <w:rsid w:val="00850B58"/>
    <w:rsid w:val="00852105"/>
    <w:rsid w:val="00852E5B"/>
    <w:rsid w:val="0085424C"/>
    <w:rsid w:val="008545F1"/>
    <w:rsid w:val="0085467B"/>
    <w:rsid w:val="00854CAE"/>
    <w:rsid w:val="00855454"/>
    <w:rsid w:val="0085598E"/>
    <w:rsid w:val="008578BB"/>
    <w:rsid w:val="00862D9C"/>
    <w:rsid w:val="00865A84"/>
    <w:rsid w:val="00866B79"/>
    <w:rsid w:val="00870507"/>
    <w:rsid w:val="0087208F"/>
    <w:rsid w:val="00875F08"/>
    <w:rsid w:val="008776F1"/>
    <w:rsid w:val="00877F1D"/>
    <w:rsid w:val="008804E7"/>
    <w:rsid w:val="00882953"/>
    <w:rsid w:val="00882DC5"/>
    <w:rsid w:val="008841A9"/>
    <w:rsid w:val="00885DE1"/>
    <w:rsid w:val="0089191F"/>
    <w:rsid w:val="00891C32"/>
    <w:rsid w:val="008928AE"/>
    <w:rsid w:val="008950CF"/>
    <w:rsid w:val="00896F9E"/>
    <w:rsid w:val="0089745B"/>
    <w:rsid w:val="008A0246"/>
    <w:rsid w:val="008A4974"/>
    <w:rsid w:val="008A5023"/>
    <w:rsid w:val="008A56C1"/>
    <w:rsid w:val="008A7AC7"/>
    <w:rsid w:val="008B1CF1"/>
    <w:rsid w:val="008B285E"/>
    <w:rsid w:val="008B30DD"/>
    <w:rsid w:val="008B38DE"/>
    <w:rsid w:val="008B45FC"/>
    <w:rsid w:val="008B5681"/>
    <w:rsid w:val="008B5A3D"/>
    <w:rsid w:val="008B6962"/>
    <w:rsid w:val="008B7AF4"/>
    <w:rsid w:val="008C09D9"/>
    <w:rsid w:val="008C1B32"/>
    <w:rsid w:val="008C2A7E"/>
    <w:rsid w:val="008C2D62"/>
    <w:rsid w:val="008C36A8"/>
    <w:rsid w:val="008C3BF2"/>
    <w:rsid w:val="008C4C3D"/>
    <w:rsid w:val="008C6EC8"/>
    <w:rsid w:val="008D24EC"/>
    <w:rsid w:val="008D268A"/>
    <w:rsid w:val="008D42C8"/>
    <w:rsid w:val="008D5864"/>
    <w:rsid w:val="008D6167"/>
    <w:rsid w:val="008D6245"/>
    <w:rsid w:val="008D63E2"/>
    <w:rsid w:val="008D6695"/>
    <w:rsid w:val="008E0659"/>
    <w:rsid w:val="008E0B45"/>
    <w:rsid w:val="008E10BB"/>
    <w:rsid w:val="008E560B"/>
    <w:rsid w:val="008E5962"/>
    <w:rsid w:val="008E7B33"/>
    <w:rsid w:val="008F061B"/>
    <w:rsid w:val="008F1EFC"/>
    <w:rsid w:val="008F6086"/>
    <w:rsid w:val="00900F2D"/>
    <w:rsid w:val="00901A27"/>
    <w:rsid w:val="00902692"/>
    <w:rsid w:val="00903493"/>
    <w:rsid w:val="00905ECD"/>
    <w:rsid w:val="00910F19"/>
    <w:rsid w:val="0091176A"/>
    <w:rsid w:val="0091402E"/>
    <w:rsid w:val="00914C87"/>
    <w:rsid w:val="0091781D"/>
    <w:rsid w:val="0091782F"/>
    <w:rsid w:val="00921412"/>
    <w:rsid w:val="00926465"/>
    <w:rsid w:val="00926FD1"/>
    <w:rsid w:val="00930AAB"/>
    <w:rsid w:val="00930F14"/>
    <w:rsid w:val="00931B21"/>
    <w:rsid w:val="009327F9"/>
    <w:rsid w:val="0093298D"/>
    <w:rsid w:val="009336D0"/>
    <w:rsid w:val="009346AE"/>
    <w:rsid w:val="009360B0"/>
    <w:rsid w:val="0093638D"/>
    <w:rsid w:val="009363CC"/>
    <w:rsid w:val="00937FC4"/>
    <w:rsid w:val="009424A8"/>
    <w:rsid w:val="00942C2B"/>
    <w:rsid w:val="00943A15"/>
    <w:rsid w:val="009440BA"/>
    <w:rsid w:val="00945951"/>
    <w:rsid w:val="00945F48"/>
    <w:rsid w:val="00946F18"/>
    <w:rsid w:val="009478C3"/>
    <w:rsid w:val="009508EF"/>
    <w:rsid w:val="00951840"/>
    <w:rsid w:val="00953027"/>
    <w:rsid w:val="009530CF"/>
    <w:rsid w:val="00954803"/>
    <w:rsid w:val="009565AA"/>
    <w:rsid w:val="00957B65"/>
    <w:rsid w:val="00960062"/>
    <w:rsid w:val="009605CA"/>
    <w:rsid w:val="00960C79"/>
    <w:rsid w:val="00960D7E"/>
    <w:rsid w:val="00963204"/>
    <w:rsid w:val="00963713"/>
    <w:rsid w:val="00963F44"/>
    <w:rsid w:val="009659BB"/>
    <w:rsid w:val="00967921"/>
    <w:rsid w:val="009713F5"/>
    <w:rsid w:val="00971B2E"/>
    <w:rsid w:val="00971D28"/>
    <w:rsid w:val="00971E44"/>
    <w:rsid w:val="0097209D"/>
    <w:rsid w:val="00976159"/>
    <w:rsid w:val="0097661E"/>
    <w:rsid w:val="00976833"/>
    <w:rsid w:val="00976934"/>
    <w:rsid w:val="009800D7"/>
    <w:rsid w:val="00985BAC"/>
    <w:rsid w:val="009900E4"/>
    <w:rsid w:val="00990DF4"/>
    <w:rsid w:val="00991221"/>
    <w:rsid w:val="0099161A"/>
    <w:rsid w:val="00991A07"/>
    <w:rsid w:val="00992DA9"/>
    <w:rsid w:val="00992E3F"/>
    <w:rsid w:val="00995614"/>
    <w:rsid w:val="00995789"/>
    <w:rsid w:val="009967E5"/>
    <w:rsid w:val="009968F3"/>
    <w:rsid w:val="00996DA3"/>
    <w:rsid w:val="009A001B"/>
    <w:rsid w:val="009A04CD"/>
    <w:rsid w:val="009A4D39"/>
    <w:rsid w:val="009A59FB"/>
    <w:rsid w:val="009B153B"/>
    <w:rsid w:val="009B3FE9"/>
    <w:rsid w:val="009B4B6C"/>
    <w:rsid w:val="009B5BF7"/>
    <w:rsid w:val="009B6599"/>
    <w:rsid w:val="009B7C05"/>
    <w:rsid w:val="009B7F1A"/>
    <w:rsid w:val="009C08C7"/>
    <w:rsid w:val="009C3F3B"/>
    <w:rsid w:val="009C42CD"/>
    <w:rsid w:val="009C5D90"/>
    <w:rsid w:val="009C6713"/>
    <w:rsid w:val="009D214B"/>
    <w:rsid w:val="009D4294"/>
    <w:rsid w:val="009E0674"/>
    <w:rsid w:val="009E0A67"/>
    <w:rsid w:val="009E3CDD"/>
    <w:rsid w:val="009E5B83"/>
    <w:rsid w:val="009E6DDB"/>
    <w:rsid w:val="009F0093"/>
    <w:rsid w:val="009F10D8"/>
    <w:rsid w:val="009F1CCC"/>
    <w:rsid w:val="009F475A"/>
    <w:rsid w:val="00A00F97"/>
    <w:rsid w:val="00A0362A"/>
    <w:rsid w:val="00A040FC"/>
    <w:rsid w:val="00A04F16"/>
    <w:rsid w:val="00A05D70"/>
    <w:rsid w:val="00A06882"/>
    <w:rsid w:val="00A06B9C"/>
    <w:rsid w:val="00A109FF"/>
    <w:rsid w:val="00A16450"/>
    <w:rsid w:val="00A1669C"/>
    <w:rsid w:val="00A16D5D"/>
    <w:rsid w:val="00A20428"/>
    <w:rsid w:val="00A2101A"/>
    <w:rsid w:val="00A224B6"/>
    <w:rsid w:val="00A23E0C"/>
    <w:rsid w:val="00A261C7"/>
    <w:rsid w:val="00A31D09"/>
    <w:rsid w:val="00A320CB"/>
    <w:rsid w:val="00A3220B"/>
    <w:rsid w:val="00A34180"/>
    <w:rsid w:val="00A34236"/>
    <w:rsid w:val="00A35AA5"/>
    <w:rsid w:val="00A377D4"/>
    <w:rsid w:val="00A37FE0"/>
    <w:rsid w:val="00A408B7"/>
    <w:rsid w:val="00A40CDC"/>
    <w:rsid w:val="00A413DD"/>
    <w:rsid w:val="00A4251F"/>
    <w:rsid w:val="00A42633"/>
    <w:rsid w:val="00A4399E"/>
    <w:rsid w:val="00A44E1D"/>
    <w:rsid w:val="00A44EB2"/>
    <w:rsid w:val="00A45A9B"/>
    <w:rsid w:val="00A462A3"/>
    <w:rsid w:val="00A46A63"/>
    <w:rsid w:val="00A52199"/>
    <w:rsid w:val="00A5254D"/>
    <w:rsid w:val="00A52C48"/>
    <w:rsid w:val="00A52EA3"/>
    <w:rsid w:val="00A6285B"/>
    <w:rsid w:val="00A646C3"/>
    <w:rsid w:val="00A65719"/>
    <w:rsid w:val="00A7269E"/>
    <w:rsid w:val="00A732C8"/>
    <w:rsid w:val="00A75A28"/>
    <w:rsid w:val="00A75A6B"/>
    <w:rsid w:val="00A8090E"/>
    <w:rsid w:val="00A8107C"/>
    <w:rsid w:val="00A81A91"/>
    <w:rsid w:val="00A81E87"/>
    <w:rsid w:val="00A82104"/>
    <w:rsid w:val="00A83305"/>
    <w:rsid w:val="00A83543"/>
    <w:rsid w:val="00A838EA"/>
    <w:rsid w:val="00A860ED"/>
    <w:rsid w:val="00A870AB"/>
    <w:rsid w:val="00A87345"/>
    <w:rsid w:val="00A875C0"/>
    <w:rsid w:val="00A877AE"/>
    <w:rsid w:val="00A87DDB"/>
    <w:rsid w:val="00A90CB9"/>
    <w:rsid w:val="00A92A1F"/>
    <w:rsid w:val="00A92A63"/>
    <w:rsid w:val="00A94207"/>
    <w:rsid w:val="00A945B2"/>
    <w:rsid w:val="00A94A20"/>
    <w:rsid w:val="00A95D1A"/>
    <w:rsid w:val="00A9609F"/>
    <w:rsid w:val="00A961BB"/>
    <w:rsid w:val="00A964B1"/>
    <w:rsid w:val="00A966C7"/>
    <w:rsid w:val="00A975B0"/>
    <w:rsid w:val="00AA1475"/>
    <w:rsid w:val="00AA23A0"/>
    <w:rsid w:val="00AA3901"/>
    <w:rsid w:val="00AA45D6"/>
    <w:rsid w:val="00AA5205"/>
    <w:rsid w:val="00AA556A"/>
    <w:rsid w:val="00AA634E"/>
    <w:rsid w:val="00AA7AC8"/>
    <w:rsid w:val="00AB0D9D"/>
    <w:rsid w:val="00AB2926"/>
    <w:rsid w:val="00AB42A8"/>
    <w:rsid w:val="00AB478E"/>
    <w:rsid w:val="00AB50B7"/>
    <w:rsid w:val="00AC11B5"/>
    <w:rsid w:val="00AC1478"/>
    <w:rsid w:val="00AC1A4B"/>
    <w:rsid w:val="00AC2249"/>
    <w:rsid w:val="00AC2794"/>
    <w:rsid w:val="00AC5D7E"/>
    <w:rsid w:val="00AD00EB"/>
    <w:rsid w:val="00AD0483"/>
    <w:rsid w:val="00AD04D1"/>
    <w:rsid w:val="00AD13ED"/>
    <w:rsid w:val="00AD2195"/>
    <w:rsid w:val="00AD2B87"/>
    <w:rsid w:val="00AD2E2D"/>
    <w:rsid w:val="00AD2E59"/>
    <w:rsid w:val="00AD2E6D"/>
    <w:rsid w:val="00AD525A"/>
    <w:rsid w:val="00AD7CD8"/>
    <w:rsid w:val="00AE1E42"/>
    <w:rsid w:val="00AE2879"/>
    <w:rsid w:val="00AE2EB9"/>
    <w:rsid w:val="00AE3288"/>
    <w:rsid w:val="00AE6AD9"/>
    <w:rsid w:val="00AF0FA8"/>
    <w:rsid w:val="00AF123E"/>
    <w:rsid w:val="00AF1474"/>
    <w:rsid w:val="00AF184A"/>
    <w:rsid w:val="00AF18F8"/>
    <w:rsid w:val="00AF21B2"/>
    <w:rsid w:val="00AF26FB"/>
    <w:rsid w:val="00AF52E6"/>
    <w:rsid w:val="00AF5855"/>
    <w:rsid w:val="00AF5E55"/>
    <w:rsid w:val="00AF5F13"/>
    <w:rsid w:val="00AF658E"/>
    <w:rsid w:val="00AF6BBE"/>
    <w:rsid w:val="00B04580"/>
    <w:rsid w:val="00B0492A"/>
    <w:rsid w:val="00B05D56"/>
    <w:rsid w:val="00B05EB4"/>
    <w:rsid w:val="00B06EDD"/>
    <w:rsid w:val="00B1256E"/>
    <w:rsid w:val="00B13834"/>
    <w:rsid w:val="00B149A8"/>
    <w:rsid w:val="00B212E7"/>
    <w:rsid w:val="00B2342F"/>
    <w:rsid w:val="00B24357"/>
    <w:rsid w:val="00B247A0"/>
    <w:rsid w:val="00B24ABB"/>
    <w:rsid w:val="00B25DAD"/>
    <w:rsid w:val="00B3061D"/>
    <w:rsid w:val="00B353D5"/>
    <w:rsid w:val="00B36F17"/>
    <w:rsid w:val="00B41892"/>
    <w:rsid w:val="00B43E2D"/>
    <w:rsid w:val="00B517D5"/>
    <w:rsid w:val="00B525B1"/>
    <w:rsid w:val="00B52B43"/>
    <w:rsid w:val="00B53BCA"/>
    <w:rsid w:val="00B53CAF"/>
    <w:rsid w:val="00B545C2"/>
    <w:rsid w:val="00B57433"/>
    <w:rsid w:val="00B57729"/>
    <w:rsid w:val="00B5791F"/>
    <w:rsid w:val="00B605AC"/>
    <w:rsid w:val="00B655F7"/>
    <w:rsid w:val="00B65DDD"/>
    <w:rsid w:val="00B671F8"/>
    <w:rsid w:val="00B672C6"/>
    <w:rsid w:val="00B7394A"/>
    <w:rsid w:val="00B76123"/>
    <w:rsid w:val="00B765F1"/>
    <w:rsid w:val="00B77249"/>
    <w:rsid w:val="00B77EB3"/>
    <w:rsid w:val="00B816A9"/>
    <w:rsid w:val="00B82EFA"/>
    <w:rsid w:val="00B8732E"/>
    <w:rsid w:val="00B87DB5"/>
    <w:rsid w:val="00B9117E"/>
    <w:rsid w:val="00B96DE2"/>
    <w:rsid w:val="00B971F2"/>
    <w:rsid w:val="00B97737"/>
    <w:rsid w:val="00BA159D"/>
    <w:rsid w:val="00BA23E1"/>
    <w:rsid w:val="00BA2719"/>
    <w:rsid w:val="00BA657A"/>
    <w:rsid w:val="00BA7C4F"/>
    <w:rsid w:val="00BA7FCE"/>
    <w:rsid w:val="00BB0DD1"/>
    <w:rsid w:val="00BB0E58"/>
    <w:rsid w:val="00BB3A82"/>
    <w:rsid w:val="00BB3C4E"/>
    <w:rsid w:val="00BB47AE"/>
    <w:rsid w:val="00BB5CE3"/>
    <w:rsid w:val="00BB5F48"/>
    <w:rsid w:val="00BB7BEE"/>
    <w:rsid w:val="00BB7CE9"/>
    <w:rsid w:val="00BC07FC"/>
    <w:rsid w:val="00BC4D3C"/>
    <w:rsid w:val="00BC5CF4"/>
    <w:rsid w:val="00BD0C2D"/>
    <w:rsid w:val="00BD0C67"/>
    <w:rsid w:val="00BD13D8"/>
    <w:rsid w:val="00BD18D7"/>
    <w:rsid w:val="00BD1ED8"/>
    <w:rsid w:val="00BD3E69"/>
    <w:rsid w:val="00BD41A2"/>
    <w:rsid w:val="00BD672C"/>
    <w:rsid w:val="00BD673D"/>
    <w:rsid w:val="00BE0C2E"/>
    <w:rsid w:val="00BE15F6"/>
    <w:rsid w:val="00BE4476"/>
    <w:rsid w:val="00BE698D"/>
    <w:rsid w:val="00BF35CC"/>
    <w:rsid w:val="00BF3689"/>
    <w:rsid w:val="00BF48E7"/>
    <w:rsid w:val="00BF4C11"/>
    <w:rsid w:val="00BF628D"/>
    <w:rsid w:val="00BF6666"/>
    <w:rsid w:val="00BF6725"/>
    <w:rsid w:val="00BF6E50"/>
    <w:rsid w:val="00C02B75"/>
    <w:rsid w:val="00C03E7F"/>
    <w:rsid w:val="00C042D7"/>
    <w:rsid w:val="00C05725"/>
    <w:rsid w:val="00C059C8"/>
    <w:rsid w:val="00C13D80"/>
    <w:rsid w:val="00C2004E"/>
    <w:rsid w:val="00C20F00"/>
    <w:rsid w:val="00C22B8E"/>
    <w:rsid w:val="00C248C1"/>
    <w:rsid w:val="00C25433"/>
    <w:rsid w:val="00C25AAC"/>
    <w:rsid w:val="00C25C1E"/>
    <w:rsid w:val="00C26BA8"/>
    <w:rsid w:val="00C26D0C"/>
    <w:rsid w:val="00C317AE"/>
    <w:rsid w:val="00C33344"/>
    <w:rsid w:val="00C35281"/>
    <w:rsid w:val="00C361D8"/>
    <w:rsid w:val="00C36556"/>
    <w:rsid w:val="00C37FAD"/>
    <w:rsid w:val="00C404DA"/>
    <w:rsid w:val="00C41043"/>
    <w:rsid w:val="00C42553"/>
    <w:rsid w:val="00C42CDA"/>
    <w:rsid w:val="00C430AA"/>
    <w:rsid w:val="00C4359B"/>
    <w:rsid w:val="00C4455C"/>
    <w:rsid w:val="00C46151"/>
    <w:rsid w:val="00C52962"/>
    <w:rsid w:val="00C55736"/>
    <w:rsid w:val="00C5581C"/>
    <w:rsid w:val="00C60C71"/>
    <w:rsid w:val="00C614DA"/>
    <w:rsid w:val="00C62507"/>
    <w:rsid w:val="00C65713"/>
    <w:rsid w:val="00C7035F"/>
    <w:rsid w:val="00C720AE"/>
    <w:rsid w:val="00C728B9"/>
    <w:rsid w:val="00C73AA9"/>
    <w:rsid w:val="00C754D7"/>
    <w:rsid w:val="00C76811"/>
    <w:rsid w:val="00C774E2"/>
    <w:rsid w:val="00C804F8"/>
    <w:rsid w:val="00C80B0D"/>
    <w:rsid w:val="00C82E11"/>
    <w:rsid w:val="00C852B3"/>
    <w:rsid w:val="00C8639E"/>
    <w:rsid w:val="00C92B5F"/>
    <w:rsid w:val="00C92BF1"/>
    <w:rsid w:val="00C946D0"/>
    <w:rsid w:val="00C94863"/>
    <w:rsid w:val="00C95589"/>
    <w:rsid w:val="00C963BE"/>
    <w:rsid w:val="00C976FE"/>
    <w:rsid w:val="00CA00EA"/>
    <w:rsid w:val="00CA2783"/>
    <w:rsid w:val="00CA3B69"/>
    <w:rsid w:val="00CA6751"/>
    <w:rsid w:val="00CA684C"/>
    <w:rsid w:val="00CA6A48"/>
    <w:rsid w:val="00CB2790"/>
    <w:rsid w:val="00CC0502"/>
    <w:rsid w:val="00CC337F"/>
    <w:rsid w:val="00CC3E5F"/>
    <w:rsid w:val="00CC49A3"/>
    <w:rsid w:val="00CC59AC"/>
    <w:rsid w:val="00CC5CCE"/>
    <w:rsid w:val="00CC7BD4"/>
    <w:rsid w:val="00CD0856"/>
    <w:rsid w:val="00CD20BA"/>
    <w:rsid w:val="00CD321E"/>
    <w:rsid w:val="00CD5B32"/>
    <w:rsid w:val="00CD76D9"/>
    <w:rsid w:val="00CE05B3"/>
    <w:rsid w:val="00CE596B"/>
    <w:rsid w:val="00CE5EEA"/>
    <w:rsid w:val="00CE63E5"/>
    <w:rsid w:val="00CE6F12"/>
    <w:rsid w:val="00CE7EDB"/>
    <w:rsid w:val="00CF0A99"/>
    <w:rsid w:val="00CF17E8"/>
    <w:rsid w:val="00CF1BB2"/>
    <w:rsid w:val="00CF3B06"/>
    <w:rsid w:val="00CF45B6"/>
    <w:rsid w:val="00CF7E3E"/>
    <w:rsid w:val="00D00469"/>
    <w:rsid w:val="00D00ABA"/>
    <w:rsid w:val="00D029A8"/>
    <w:rsid w:val="00D02C28"/>
    <w:rsid w:val="00D02C47"/>
    <w:rsid w:val="00D073A8"/>
    <w:rsid w:val="00D0745F"/>
    <w:rsid w:val="00D07EC7"/>
    <w:rsid w:val="00D111FE"/>
    <w:rsid w:val="00D11506"/>
    <w:rsid w:val="00D12D0D"/>
    <w:rsid w:val="00D15344"/>
    <w:rsid w:val="00D15E2F"/>
    <w:rsid w:val="00D168B8"/>
    <w:rsid w:val="00D1797D"/>
    <w:rsid w:val="00D24F0E"/>
    <w:rsid w:val="00D26796"/>
    <w:rsid w:val="00D3041C"/>
    <w:rsid w:val="00D32881"/>
    <w:rsid w:val="00D33AC9"/>
    <w:rsid w:val="00D37D54"/>
    <w:rsid w:val="00D41B40"/>
    <w:rsid w:val="00D41FD5"/>
    <w:rsid w:val="00D4269A"/>
    <w:rsid w:val="00D454BC"/>
    <w:rsid w:val="00D46164"/>
    <w:rsid w:val="00D463DA"/>
    <w:rsid w:val="00D505A3"/>
    <w:rsid w:val="00D509B2"/>
    <w:rsid w:val="00D52D4E"/>
    <w:rsid w:val="00D56989"/>
    <w:rsid w:val="00D64331"/>
    <w:rsid w:val="00D70AA6"/>
    <w:rsid w:val="00D71B23"/>
    <w:rsid w:val="00D72A6E"/>
    <w:rsid w:val="00D74274"/>
    <w:rsid w:val="00D75458"/>
    <w:rsid w:val="00D77E95"/>
    <w:rsid w:val="00D81109"/>
    <w:rsid w:val="00D82BE7"/>
    <w:rsid w:val="00D82F4F"/>
    <w:rsid w:val="00D82FB2"/>
    <w:rsid w:val="00D860EB"/>
    <w:rsid w:val="00D871DF"/>
    <w:rsid w:val="00D910B0"/>
    <w:rsid w:val="00D92D1B"/>
    <w:rsid w:val="00D92F12"/>
    <w:rsid w:val="00D9579D"/>
    <w:rsid w:val="00D95B9C"/>
    <w:rsid w:val="00D9753F"/>
    <w:rsid w:val="00DA1E8B"/>
    <w:rsid w:val="00DA1EB3"/>
    <w:rsid w:val="00DA2C6D"/>
    <w:rsid w:val="00DA3A01"/>
    <w:rsid w:val="00DA75BC"/>
    <w:rsid w:val="00DA7CE4"/>
    <w:rsid w:val="00DB036A"/>
    <w:rsid w:val="00DB1F24"/>
    <w:rsid w:val="00DB269E"/>
    <w:rsid w:val="00DB3455"/>
    <w:rsid w:val="00DB34C4"/>
    <w:rsid w:val="00DB4961"/>
    <w:rsid w:val="00DB7FD2"/>
    <w:rsid w:val="00DC1C87"/>
    <w:rsid w:val="00DC23FE"/>
    <w:rsid w:val="00DC46E0"/>
    <w:rsid w:val="00DC51B4"/>
    <w:rsid w:val="00DC610F"/>
    <w:rsid w:val="00DC66F7"/>
    <w:rsid w:val="00DC6C7D"/>
    <w:rsid w:val="00DC7C58"/>
    <w:rsid w:val="00DD368C"/>
    <w:rsid w:val="00DD3C02"/>
    <w:rsid w:val="00DD7071"/>
    <w:rsid w:val="00DE07A1"/>
    <w:rsid w:val="00DE1419"/>
    <w:rsid w:val="00DE35CF"/>
    <w:rsid w:val="00DE40BA"/>
    <w:rsid w:val="00DE4B70"/>
    <w:rsid w:val="00DE64C8"/>
    <w:rsid w:val="00DE68DC"/>
    <w:rsid w:val="00DF0288"/>
    <w:rsid w:val="00DF2FFD"/>
    <w:rsid w:val="00DF4237"/>
    <w:rsid w:val="00DF5E91"/>
    <w:rsid w:val="00DF677A"/>
    <w:rsid w:val="00DF789A"/>
    <w:rsid w:val="00E0044F"/>
    <w:rsid w:val="00E05114"/>
    <w:rsid w:val="00E058EF"/>
    <w:rsid w:val="00E05F89"/>
    <w:rsid w:val="00E070CC"/>
    <w:rsid w:val="00E10A78"/>
    <w:rsid w:val="00E10B07"/>
    <w:rsid w:val="00E1537A"/>
    <w:rsid w:val="00E159A5"/>
    <w:rsid w:val="00E1645A"/>
    <w:rsid w:val="00E16566"/>
    <w:rsid w:val="00E22AF6"/>
    <w:rsid w:val="00E22D28"/>
    <w:rsid w:val="00E23E70"/>
    <w:rsid w:val="00E257A7"/>
    <w:rsid w:val="00E26F47"/>
    <w:rsid w:val="00E2732B"/>
    <w:rsid w:val="00E32C89"/>
    <w:rsid w:val="00E34CE8"/>
    <w:rsid w:val="00E35966"/>
    <w:rsid w:val="00E37C7C"/>
    <w:rsid w:val="00E40675"/>
    <w:rsid w:val="00E40715"/>
    <w:rsid w:val="00E40E26"/>
    <w:rsid w:val="00E45FE3"/>
    <w:rsid w:val="00E52FE2"/>
    <w:rsid w:val="00E55A3D"/>
    <w:rsid w:val="00E60F47"/>
    <w:rsid w:val="00E61967"/>
    <w:rsid w:val="00E61C4F"/>
    <w:rsid w:val="00E627CD"/>
    <w:rsid w:val="00E63CA1"/>
    <w:rsid w:val="00E64E98"/>
    <w:rsid w:val="00E66474"/>
    <w:rsid w:val="00E66C26"/>
    <w:rsid w:val="00E70F33"/>
    <w:rsid w:val="00E73433"/>
    <w:rsid w:val="00E737BE"/>
    <w:rsid w:val="00E75AFA"/>
    <w:rsid w:val="00E76460"/>
    <w:rsid w:val="00E82167"/>
    <w:rsid w:val="00E8492C"/>
    <w:rsid w:val="00E85089"/>
    <w:rsid w:val="00E85382"/>
    <w:rsid w:val="00E85416"/>
    <w:rsid w:val="00E91F74"/>
    <w:rsid w:val="00E92398"/>
    <w:rsid w:val="00E924D7"/>
    <w:rsid w:val="00E927F8"/>
    <w:rsid w:val="00E92A8E"/>
    <w:rsid w:val="00E92F15"/>
    <w:rsid w:val="00E93809"/>
    <w:rsid w:val="00E95D46"/>
    <w:rsid w:val="00E96025"/>
    <w:rsid w:val="00E96C75"/>
    <w:rsid w:val="00E96E23"/>
    <w:rsid w:val="00EA1394"/>
    <w:rsid w:val="00EA2B1D"/>
    <w:rsid w:val="00EA2B93"/>
    <w:rsid w:val="00EA2F1B"/>
    <w:rsid w:val="00EA6D87"/>
    <w:rsid w:val="00EB0186"/>
    <w:rsid w:val="00EB1433"/>
    <w:rsid w:val="00EB161E"/>
    <w:rsid w:val="00EB1C34"/>
    <w:rsid w:val="00EB4E5C"/>
    <w:rsid w:val="00EB5196"/>
    <w:rsid w:val="00EB5770"/>
    <w:rsid w:val="00EB6461"/>
    <w:rsid w:val="00EB6829"/>
    <w:rsid w:val="00EB6B5E"/>
    <w:rsid w:val="00EB733A"/>
    <w:rsid w:val="00EC17B0"/>
    <w:rsid w:val="00EC4744"/>
    <w:rsid w:val="00EC5889"/>
    <w:rsid w:val="00ED144D"/>
    <w:rsid w:val="00ED1B71"/>
    <w:rsid w:val="00ED3BD8"/>
    <w:rsid w:val="00ED5B26"/>
    <w:rsid w:val="00ED5BDA"/>
    <w:rsid w:val="00ED5F39"/>
    <w:rsid w:val="00ED7690"/>
    <w:rsid w:val="00ED7CFD"/>
    <w:rsid w:val="00EE0121"/>
    <w:rsid w:val="00EE0800"/>
    <w:rsid w:val="00EE5331"/>
    <w:rsid w:val="00EE61C4"/>
    <w:rsid w:val="00EE6BB5"/>
    <w:rsid w:val="00EE72DD"/>
    <w:rsid w:val="00EE7C95"/>
    <w:rsid w:val="00EF07CE"/>
    <w:rsid w:val="00EF1118"/>
    <w:rsid w:val="00EF1366"/>
    <w:rsid w:val="00EF1BDE"/>
    <w:rsid w:val="00EF58CD"/>
    <w:rsid w:val="00EF5B1A"/>
    <w:rsid w:val="00F00CA0"/>
    <w:rsid w:val="00F00E93"/>
    <w:rsid w:val="00F01DEE"/>
    <w:rsid w:val="00F02B69"/>
    <w:rsid w:val="00F110DA"/>
    <w:rsid w:val="00F1198C"/>
    <w:rsid w:val="00F1264D"/>
    <w:rsid w:val="00F156A9"/>
    <w:rsid w:val="00F17DA5"/>
    <w:rsid w:val="00F20052"/>
    <w:rsid w:val="00F2109E"/>
    <w:rsid w:val="00F21E49"/>
    <w:rsid w:val="00F22349"/>
    <w:rsid w:val="00F23803"/>
    <w:rsid w:val="00F239EC"/>
    <w:rsid w:val="00F256EC"/>
    <w:rsid w:val="00F25B7A"/>
    <w:rsid w:val="00F26B1D"/>
    <w:rsid w:val="00F27EA9"/>
    <w:rsid w:val="00F30756"/>
    <w:rsid w:val="00F3203B"/>
    <w:rsid w:val="00F3284E"/>
    <w:rsid w:val="00F34BD9"/>
    <w:rsid w:val="00F36428"/>
    <w:rsid w:val="00F40EDC"/>
    <w:rsid w:val="00F41B03"/>
    <w:rsid w:val="00F42F71"/>
    <w:rsid w:val="00F43708"/>
    <w:rsid w:val="00F43FA5"/>
    <w:rsid w:val="00F44C8D"/>
    <w:rsid w:val="00F45C89"/>
    <w:rsid w:val="00F4617A"/>
    <w:rsid w:val="00F47444"/>
    <w:rsid w:val="00F50941"/>
    <w:rsid w:val="00F52A6B"/>
    <w:rsid w:val="00F52F16"/>
    <w:rsid w:val="00F53839"/>
    <w:rsid w:val="00F53B52"/>
    <w:rsid w:val="00F53CD4"/>
    <w:rsid w:val="00F55293"/>
    <w:rsid w:val="00F608EA"/>
    <w:rsid w:val="00F60A24"/>
    <w:rsid w:val="00F61806"/>
    <w:rsid w:val="00F61931"/>
    <w:rsid w:val="00F630D3"/>
    <w:rsid w:val="00F63F5F"/>
    <w:rsid w:val="00F6460F"/>
    <w:rsid w:val="00F67714"/>
    <w:rsid w:val="00F7135C"/>
    <w:rsid w:val="00F71C0E"/>
    <w:rsid w:val="00F731A1"/>
    <w:rsid w:val="00F74379"/>
    <w:rsid w:val="00F74A0A"/>
    <w:rsid w:val="00F75D97"/>
    <w:rsid w:val="00F76BF5"/>
    <w:rsid w:val="00F813AB"/>
    <w:rsid w:val="00F823D2"/>
    <w:rsid w:val="00F844DC"/>
    <w:rsid w:val="00F863F8"/>
    <w:rsid w:val="00F90DB2"/>
    <w:rsid w:val="00F910BD"/>
    <w:rsid w:val="00F91F41"/>
    <w:rsid w:val="00F9233D"/>
    <w:rsid w:val="00F94F14"/>
    <w:rsid w:val="00F963A0"/>
    <w:rsid w:val="00FA1E07"/>
    <w:rsid w:val="00FA4A97"/>
    <w:rsid w:val="00FA4B38"/>
    <w:rsid w:val="00FA678C"/>
    <w:rsid w:val="00FB01EF"/>
    <w:rsid w:val="00FB10D1"/>
    <w:rsid w:val="00FB1246"/>
    <w:rsid w:val="00FB2B4C"/>
    <w:rsid w:val="00FB2FAF"/>
    <w:rsid w:val="00FB31EF"/>
    <w:rsid w:val="00FB413C"/>
    <w:rsid w:val="00FB5AB2"/>
    <w:rsid w:val="00FC1DDF"/>
    <w:rsid w:val="00FC2919"/>
    <w:rsid w:val="00FC2FAE"/>
    <w:rsid w:val="00FC5B2F"/>
    <w:rsid w:val="00FD0FA4"/>
    <w:rsid w:val="00FD1825"/>
    <w:rsid w:val="00FE02A3"/>
    <w:rsid w:val="00FE08DF"/>
    <w:rsid w:val="00FE2C3F"/>
    <w:rsid w:val="00FE2F79"/>
    <w:rsid w:val="00FE3342"/>
    <w:rsid w:val="00FE3691"/>
    <w:rsid w:val="00FE3AFB"/>
    <w:rsid w:val="00FE4997"/>
    <w:rsid w:val="00FE57AD"/>
    <w:rsid w:val="00FF1E0A"/>
    <w:rsid w:val="00FF29E0"/>
    <w:rsid w:val="00FF32D9"/>
    <w:rsid w:val="00FF52F1"/>
    <w:rsid w:val="00FF5DDE"/>
    <w:rsid w:val="00FF7946"/>
    <w:rsid w:val="013C160F"/>
    <w:rsid w:val="02470627"/>
    <w:rsid w:val="02602455"/>
    <w:rsid w:val="028746B0"/>
    <w:rsid w:val="035C2F48"/>
    <w:rsid w:val="03A34A22"/>
    <w:rsid w:val="03B90FF0"/>
    <w:rsid w:val="040354C1"/>
    <w:rsid w:val="0621020E"/>
    <w:rsid w:val="06FC5677"/>
    <w:rsid w:val="07811A02"/>
    <w:rsid w:val="078521A2"/>
    <w:rsid w:val="07CB1CCC"/>
    <w:rsid w:val="07D77390"/>
    <w:rsid w:val="082C4FE6"/>
    <w:rsid w:val="08F655F4"/>
    <w:rsid w:val="090D298F"/>
    <w:rsid w:val="0A0C2526"/>
    <w:rsid w:val="0A434869"/>
    <w:rsid w:val="0AB83AA5"/>
    <w:rsid w:val="0B194BB4"/>
    <w:rsid w:val="0BAD5196"/>
    <w:rsid w:val="0D4A5F0F"/>
    <w:rsid w:val="0D8E229F"/>
    <w:rsid w:val="0DBB7335"/>
    <w:rsid w:val="0E097B78"/>
    <w:rsid w:val="0ECA37AB"/>
    <w:rsid w:val="0F604DCC"/>
    <w:rsid w:val="0FAE4E7B"/>
    <w:rsid w:val="1030763E"/>
    <w:rsid w:val="1066305F"/>
    <w:rsid w:val="111B2F76"/>
    <w:rsid w:val="11427629"/>
    <w:rsid w:val="11B45C22"/>
    <w:rsid w:val="11F21C6B"/>
    <w:rsid w:val="12266F4A"/>
    <w:rsid w:val="12416D31"/>
    <w:rsid w:val="124E2639"/>
    <w:rsid w:val="12502B21"/>
    <w:rsid w:val="1286226F"/>
    <w:rsid w:val="12C34799"/>
    <w:rsid w:val="13426006"/>
    <w:rsid w:val="13D03611"/>
    <w:rsid w:val="147F3AF9"/>
    <w:rsid w:val="155D7127"/>
    <w:rsid w:val="158A4532"/>
    <w:rsid w:val="15E226BF"/>
    <w:rsid w:val="15E468F3"/>
    <w:rsid w:val="160633E1"/>
    <w:rsid w:val="166444E5"/>
    <w:rsid w:val="17747789"/>
    <w:rsid w:val="184329CE"/>
    <w:rsid w:val="184719C8"/>
    <w:rsid w:val="184929E4"/>
    <w:rsid w:val="1863579B"/>
    <w:rsid w:val="189E76B5"/>
    <w:rsid w:val="195B45FE"/>
    <w:rsid w:val="198A5F03"/>
    <w:rsid w:val="19D13C3F"/>
    <w:rsid w:val="19F85670"/>
    <w:rsid w:val="19FF69FF"/>
    <w:rsid w:val="1AEE0821"/>
    <w:rsid w:val="1B5C578B"/>
    <w:rsid w:val="1BFF5124"/>
    <w:rsid w:val="1CCE26B8"/>
    <w:rsid w:val="1CD337D0"/>
    <w:rsid w:val="1CE912A0"/>
    <w:rsid w:val="1CF121FA"/>
    <w:rsid w:val="1CF1492B"/>
    <w:rsid w:val="1CFF0C41"/>
    <w:rsid w:val="1D125120"/>
    <w:rsid w:val="1F5A6485"/>
    <w:rsid w:val="1F9C4CF0"/>
    <w:rsid w:val="1FA92F69"/>
    <w:rsid w:val="1FED10A7"/>
    <w:rsid w:val="203547D4"/>
    <w:rsid w:val="20F12E19"/>
    <w:rsid w:val="210A4B8D"/>
    <w:rsid w:val="21303941"/>
    <w:rsid w:val="21466921"/>
    <w:rsid w:val="217E4288"/>
    <w:rsid w:val="21A32365"/>
    <w:rsid w:val="21B8049C"/>
    <w:rsid w:val="21E00F64"/>
    <w:rsid w:val="22DB78DD"/>
    <w:rsid w:val="24DB1E16"/>
    <w:rsid w:val="255A0F8D"/>
    <w:rsid w:val="258778A8"/>
    <w:rsid w:val="269D58A8"/>
    <w:rsid w:val="26F251F5"/>
    <w:rsid w:val="27736336"/>
    <w:rsid w:val="277B343D"/>
    <w:rsid w:val="28481571"/>
    <w:rsid w:val="289E73E3"/>
    <w:rsid w:val="28B7526C"/>
    <w:rsid w:val="28FB6FCC"/>
    <w:rsid w:val="2A6210C8"/>
    <w:rsid w:val="2A9A6739"/>
    <w:rsid w:val="2AA7341F"/>
    <w:rsid w:val="2AAE15DA"/>
    <w:rsid w:val="2ABE5B1A"/>
    <w:rsid w:val="2AF23A16"/>
    <w:rsid w:val="2BA411B4"/>
    <w:rsid w:val="2BAC61DF"/>
    <w:rsid w:val="2C2E3173"/>
    <w:rsid w:val="2C385DA0"/>
    <w:rsid w:val="2CA64AB8"/>
    <w:rsid w:val="2D0619FA"/>
    <w:rsid w:val="2D320A41"/>
    <w:rsid w:val="2D482013"/>
    <w:rsid w:val="2D4E7DBF"/>
    <w:rsid w:val="2D50755E"/>
    <w:rsid w:val="2D610DA0"/>
    <w:rsid w:val="2DDE007F"/>
    <w:rsid w:val="2DF06932"/>
    <w:rsid w:val="2E24482E"/>
    <w:rsid w:val="2E7B4385"/>
    <w:rsid w:val="2EED4C20"/>
    <w:rsid w:val="2F4A3E20"/>
    <w:rsid w:val="2F6B1FE9"/>
    <w:rsid w:val="30737AC2"/>
    <w:rsid w:val="3214147A"/>
    <w:rsid w:val="33117C61"/>
    <w:rsid w:val="34A5270E"/>
    <w:rsid w:val="34C06933"/>
    <w:rsid w:val="35C833DD"/>
    <w:rsid w:val="364637BF"/>
    <w:rsid w:val="36E0506A"/>
    <w:rsid w:val="37134324"/>
    <w:rsid w:val="37C52BDE"/>
    <w:rsid w:val="37E666B0"/>
    <w:rsid w:val="397D1296"/>
    <w:rsid w:val="399D4BA7"/>
    <w:rsid w:val="39C94538"/>
    <w:rsid w:val="3B180BC6"/>
    <w:rsid w:val="3B437AE1"/>
    <w:rsid w:val="3BB834B9"/>
    <w:rsid w:val="3C7548BF"/>
    <w:rsid w:val="3C88669B"/>
    <w:rsid w:val="3D7B789B"/>
    <w:rsid w:val="3DF47BC8"/>
    <w:rsid w:val="3E703F36"/>
    <w:rsid w:val="3E7E5894"/>
    <w:rsid w:val="3FEC4A80"/>
    <w:rsid w:val="401A2B25"/>
    <w:rsid w:val="40CF687B"/>
    <w:rsid w:val="41632EA6"/>
    <w:rsid w:val="416B3E0D"/>
    <w:rsid w:val="41BE41FA"/>
    <w:rsid w:val="423D5A66"/>
    <w:rsid w:val="43053E8D"/>
    <w:rsid w:val="43462F5B"/>
    <w:rsid w:val="439D67BD"/>
    <w:rsid w:val="43FB73B9"/>
    <w:rsid w:val="44291212"/>
    <w:rsid w:val="44835964"/>
    <w:rsid w:val="45525DB4"/>
    <w:rsid w:val="4651388E"/>
    <w:rsid w:val="46650D21"/>
    <w:rsid w:val="46B04A59"/>
    <w:rsid w:val="46D83FB0"/>
    <w:rsid w:val="475C073D"/>
    <w:rsid w:val="48052064"/>
    <w:rsid w:val="488F069E"/>
    <w:rsid w:val="48E72288"/>
    <w:rsid w:val="49CE201A"/>
    <w:rsid w:val="4A056E6A"/>
    <w:rsid w:val="4AFD2237"/>
    <w:rsid w:val="4B2B2900"/>
    <w:rsid w:val="4BF14B17"/>
    <w:rsid w:val="4C455EFE"/>
    <w:rsid w:val="4C5F43CD"/>
    <w:rsid w:val="4DED20EF"/>
    <w:rsid w:val="4E5C54C6"/>
    <w:rsid w:val="4F3A5808"/>
    <w:rsid w:val="4FA63026"/>
    <w:rsid w:val="500320EF"/>
    <w:rsid w:val="5100038B"/>
    <w:rsid w:val="51190CCC"/>
    <w:rsid w:val="512F2A1E"/>
    <w:rsid w:val="51311302"/>
    <w:rsid w:val="51D726B8"/>
    <w:rsid w:val="52100882"/>
    <w:rsid w:val="5210772A"/>
    <w:rsid w:val="523227C6"/>
    <w:rsid w:val="52A1794C"/>
    <w:rsid w:val="530B0C97"/>
    <w:rsid w:val="53560736"/>
    <w:rsid w:val="536015B5"/>
    <w:rsid w:val="54102FDB"/>
    <w:rsid w:val="54626B44"/>
    <w:rsid w:val="547846DC"/>
    <w:rsid w:val="54C52124"/>
    <w:rsid w:val="54E81862"/>
    <w:rsid w:val="54EB3100"/>
    <w:rsid w:val="552A3B97"/>
    <w:rsid w:val="55480552"/>
    <w:rsid w:val="55AF2380"/>
    <w:rsid w:val="55C7591B"/>
    <w:rsid w:val="586A122F"/>
    <w:rsid w:val="593E5EF4"/>
    <w:rsid w:val="5A1A070F"/>
    <w:rsid w:val="5A1F7AD4"/>
    <w:rsid w:val="5A276988"/>
    <w:rsid w:val="5A3C6F87"/>
    <w:rsid w:val="5A753B98"/>
    <w:rsid w:val="5AD05272"/>
    <w:rsid w:val="5C14118E"/>
    <w:rsid w:val="5C6E4D42"/>
    <w:rsid w:val="5D3D4B58"/>
    <w:rsid w:val="5D9E3405"/>
    <w:rsid w:val="5DCD3CEB"/>
    <w:rsid w:val="5DD9443E"/>
    <w:rsid w:val="5DEB1835"/>
    <w:rsid w:val="5E0A7B0C"/>
    <w:rsid w:val="5EFD1975"/>
    <w:rsid w:val="5F021772"/>
    <w:rsid w:val="5F13572D"/>
    <w:rsid w:val="5F5D2E4C"/>
    <w:rsid w:val="5F702B80"/>
    <w:rsid w:val="5FD81E1E"/>
    <w:rsid w:val="6062696C"/>
    <w:rsid w:val="61B961C1"/>
    <w:rsid w:val="623F6839"/>
    <w:rsid w:val="62F13FD7"/>
    <w:rsid w:val="63D25BB7"/>
    <w:rsid w:val="648F5856"/>
    <w:rsid w:val="64A34B6F"/>
    <w:rsid w:val="64F16511"/>
    <w:rsid w:val="66D17893"/>
    <w:rsid w:val="66E77B9E"/>
    <w:rsid w:val="68112A26"/>
    <w:rsid w:val="683073A9"/>
    <w:rsid w:val="68F0088D"/>
    <w:rsid w:val="69CB5582"/>
    <w:rsid w:val="6A3F7D1E"/>
    <w:rsid w:val="6B013226"/>
    <w:rsid w:val="6B4D1924"/>
    <w:rsid w:val="6BEB18D0"/>
    <w:rsid w:val="6BF8269B"/>
    <w:rsid w:val="6C692E30"/>
    <w:rsid w:val="6C7C0DB6"/>
    <w:rsid w:val="6CF43042"/>
    <w:rsid w:val="6D043923"/>
    <w:rsid w:val="6D747CDF"/>
    <w:rsid w:val="6E4C290E"/>
    <w:rsid w:val="6F4E14EB"/>
    <w:rsid w:val="6FDC39AD"/>
    <w:rsid w:val="70345485"/>
    <w:rsid w:val="703B605C"/>
    <w:rsid w:val="709E7367"/>
    <w:rsid w:val="70B328CC"/>
    <w:rsid w:val="70DF7B65"/>
    <w:rsid w:val="711517D9"/>
    <w:rsid w:val="71F94C57"/>
    <w:rsid w:val="72300BD1"/>
    <w:rsid w:val="7286647A"/>
    <w:rsid w:val="72886F68"/>
    <w:rsid w:val="72AB5F30"/>
    <w:rsid w:val="72AC7F1B"/>
    <w:rsid w:val="72DF209E"/>
    <w:rsid w:val="72DF71C6"/>
    <w:rsid w:val="72FD7FCD"/>
    <w:rsid w:val="740578E3"/>
    <w:rsid w:val="742A10F7"/>
    <w:rsid w:val="74DD4729"/>
    <w:rsid w:val="7503627C"/>
    <w:rsid w:val="75AA7961"/>
    <w:rsid w:val="75C47A14"/>
    <w:rsid w:val="760B6C2E"/>
    <w:rsid w:val="78281118"/>
    <w:rsid w:val="782865AE"/>
    <w:rsid w:val="78CF112E"/>
    <w:rsid w:val="78EC3A24"/>
    <w:rsid w:val="78F63C9E"/>
    <w:rsid w:val="7A291631"/>
    <w:rsid w:val="7A7555EC"/>
    <w:rsid w:val="7A765096"/>
    <w:rsid w:val="7AF71BD1"/>
    <w:rsid w:val="7C185409"/>
    <w:rsid w:val="7C32323F"/>
    <w:rsid w:val="7C692410"/>
    <w:rsid w:val="7DA939D5"/>
    <w:rsid w:val="7E096221"/>
    <w:rsid w:val="7E4159BB"/>
    <w:rsid w:val="7F1962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488FB1F"/>
  <w15:docId w15:val="{0F35F919-3D90-4B56-92B2-9F2D39F90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qFormat="1"/>
    <w:lsdException w:name="heading 4" w:uiPriority="9"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qFormat="1"/>
    <w:lsdException w:name="index 3" w:semiHidden="1" w:qFormat="1"/>
    <w:lsdException w:name="index 4" w:semiHidden="1"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uiPriority="39" w:qFormat="1"/>
    <w:lsdException w:name="toc 2" w:uiPriority="39" w:qFormat="1"/>
    <w:lsdException w:name="toc 3" w:uiPriority="39" w:qFormat="1"/>
    <w:lsdException w:name="toc 4" w:uiPriority="39" w:unhideWhenUsed="1"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semiHidden="1" w:qFormat="1"/>
    <w:lsdException w:name="annotation text" w:semiHidden="1" w:qFormat="1"/>
    <w:lsdException w:name="header" w:qFormat="1"/>
    <w:lsdException w:name="footer" w:qFormat="1"/>
    <w:lsdException w:name="index heading" w:semiHidden="1" w:qFormat="1"/>
    <w:lsdException w:name="caption" w:qFormat="1"/>
    <w:lsdException w:name="table of figures" w:semiHidden="1" w:qFormat="1"/>
    <w:lsdException w:name="envelope address" w:qFormat="1"/>
    <w:lsdException w:name="envelope return" w:qFormat="1"/>
    <w:lsdException w:name="footnote reference" w:semiHidden="1" w:uiPriority="99" w:unhideWhenUsed="1"/>
    <w:lsdException w:name="annotation reference" w:semiHidden="1" w:uiPriority="99" w:unhideWhenUsed="1" w:qFormat="1"/>
    <w:lsdException w:name="line number" w:semiHidden="1" w:uiPriority="99" w:unhideWhenUsed="1"/>
    <w:lsdException w:name="page number" w:qFormat="1"/>
    <w:lsdException w:name="endnote reference" w:semiHidden="1" w:uiPriority="99" w:unhideWhenUsed="1"/>
    <w:lsdException w:name="endnote text" w:semiHidden="1" w:qFormat="1"/>
    <w:lsdException w:name="table of authorities" w:semiHidden="1" w:qFormat="1"/>
    <w:lsdException w:name="macro" w:semiHidden="1" w:qFormat="1"/>
    <w:lsdException w:name="toa heading" w:semiHidden="1"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uiPriority="1"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unhideWhenUsed="1" w:qFormat="1"/>
    <w:lsdException w:name="Body Text Indent 2" w:unhideWhenUsed="1" w:qFormat="1"/>
    <w:lsdException w:name="Body Text Indent 3" w:qFormat="1"/>
    <w:lsdException w:name="Block Text" w:qFormat="1"/>
    <w:lsdException w:name="Hyperlink" w:uiPriority="99" w:qFormat="1"/>
    <w:lsdException w:name="FollowedHyperlink" w:qFormat="1"/>
    <w:lsdException w:name="Strong" w:uiPriority="22" w:qFormat="1"/>
    <w:lsdException w:name="Emphasis" w:uiPriority="20" w:qFormat="1"/>
    <w:lsdException w:name="Document Map" w:semiHidden="1"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semiHidden="1" w:uiPriority="99" w:unhideWhenUsed="1"/>
    <w:lsdException w:name="HTML Address" w:qFormat="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qFormat="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59" w:qFormat="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PMingLiU"/>
      <w:sz w:val="22"/>
      <w:lang w:val="en-GB" w:eastAsia="en-US"/>
    </w:rPr>
  </w:style>
  <w:style w:type="paragraph" w:styleId="Heading1">
    <w:name w:val="heading 1"/>
    <w:basedOn w:val="ReportLevel1"/>
    <w:next w:val="Normal"/>
    <w:link w:val="10"/>
    <w:qFormat/>
    <w:pPr>
      <w:keepNext w:val="0"/>
      <w:numPr>
        <w:numId w:val="1"/>
      </w:numPr>
      <w:tabs>
        <w:tab w:val="clear" w:pos="1077"/>
        <w:tab w:val="left" w:pos="1080"/>
      </w:tabs>
      <w:outlineLvl w:val="0"/>
    </w:pPr>
    <w:rPr>
      <w:rFonts w:cs="Arial"/>
    </w:rPr>
  </w:style>
  <w:style w:type="paragraph" w:styleId="Heading2">
    <w:name w:val="heading 2"/>
    <w:basedOn w:val="Heading1"/>
    <w:next w:val="Normal"/>
    <w:link w:val="2"/>
    <w:uiPriority w:val="9"/>
    <w:qFormat/>
    <w:pPr>
      <w:outlineLvl w:val="1"/>
    </w:pPr>
    <w:rPr>
      <w:caps w:val="0"/>
    </w:rPr>
  </w:style>
  <w:style w:type="paragraph" w:styleId="Heading3">
    <w:name w:val="heading 3"/>
    <w:basedOn w:val="Heading1"/>
    <w:next w:val="Normal"/>
    <w:link w:val="3"/>
    <w:qFormat/>
    <w:pPr>
      <w:outlineLvl w:val="2"/>
    </w:pPr>
    <w:rPr>
      <w:caps w:val="0"/>
      <w:sz w:val="20"/>
    </w:rPr>
  </w:style>
  <w:style w:type="paragraph" w:styleId="Heading4">
    <w:name w:val="heading 4"/>
    <w:basedOn w:val="Heading3"/>
    <w:next w:val="Normal"/>
    <w:link w:val="4"/>
    <w:uiPriority w:val="9"/>
    <w:qFormat/>
    <w:pPr>
      <w:outlineLvl w:val="3"/>
    </w:pPr>
  </w:style>
  <w:style w:type="paragraph" w:styleId="Heading5">
    <w:name w:val="heading 5"/>
    <w:basedOn w:val="Normal"/>
    <w:next w:val="Normal"/>
    <w:link w:val="5"/>
    <w:qFormat/>
    <w:pPr>
      <w:keepNext/>
      <w:outlineLvl w:val="4"/>
    </w:pPr>
    <w:rPr>
      <w:rFonts w:ascii="Arial" w:hAnsi="Arial"/>
      <w:sz w:val="36"/>
    </w:rPr>
  </w:style>
  <w:style w:type="paragraph" w:styleId="Heading6">
    <w:name w:val="heading 6"/>
    <w:basedOn w:val="Normal"/>
    <w:next w:val="Normal"/>
    <w:link w:val="6"/>
    <w:qFormat/>
    <w:pPr>
      <w:outlineLvl w:val="5"/>
    </w:pPr>
    <w:rPr>
      <w:i/>
    </w:rPr>
  </w:style>
  <w:style w:type="paragraph" w:styleId="Heading7">
    <w:name w:val="heading 7"/>
    <w:basedOn w:val="Normal"/>
    <w:next w:val="Normal"/>
    <w:link w:val="7"/>
    <w:qFormat/>
    <w:pPr>
      <w:outlineLvl w:val="6"/>
    </w:pPr>
    <w:rPr>
      <w:rFonts w:ascii="Arial" w:hAnsi="Arial"/>
    </w:rPr>
  </w:style>
  <w:style w:type="paragraph" w:styleId="Heading8">
    <w:name w:val="heading 8"/>
    <w:basedOn w:val="Normal"/>
    <w:next w:val="Normal"/>
    <w:link w:val="8"/>
    <w:qFormat/>
    <w:pPr>
      <w:outlineLvl w:val="7"/>
    </w:pPr>
    <w:rPr>
      <w:rFonts w:ascii="Arial" w:hAnsi="Arial"/>
      <w:i/>
    </w:rPr>
  </w:style>
  <w:style w:type="paragraph" w:styleId="Heading9">
    <w:name w:val="heading 9"/>
    <w:basedOn w:val="Normal"/>
    <w:next w:val="Normal"/>
    <w:link w:val="9"/>
    <w:qFormat/>
    <w:pPr>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
    <w:name w:val="macro"/>
    <w:link w:val="a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eastAsia="PMingLiU" w:hAnsi="Courier New" w:cs="Courier New"/>
      <w:lang w:val="en-GB" w:eastAsia="en-US"/>
    </w:rPr>
  </w:style>
  <w:style w:type="paragraph" w:customStyle="1" w:styleId="ReportLevel1">
    <w:name w:val="Report Level 1"/>
    <w:basedOn w:val="Normal"/>
    <w:next w:val="Normal"/>
    <w:link w:val="ReportLevel1Char0"/>
    <w:qFormat/>
    <w:pPr>
      <w:keepNext/>
      <w:tabs>
        <w:tab w:val="left" w:pos="1077"/>
      </w:tabs>
      <w:outlineLvl w:val="0"/>
    </w:pPr>
    <w:rPr>
      <w:rFonts w:eastAsia="宋体"/>
      <w:b/>
      <w:caps/>
      <w:sz w:val="24"/>
    </w:rPr>
  </w:style>
  <w:style w:type="paragraph" w:styleId="List3">
    <w:name w:val="List 3"/>
    <w:basedOn w:val="Normal"/>
    <w:qFormat/>
    <w:pPr>
      <w:ind w:left="1080" w:hanging="360"/>
    </w:pPr>
  </w:style>
  <w:style w:type="paragraph" w:styleId="TOC7">
    <w:name w:val="toc 7"/>
    <w:basedOn w:val="TOC2"/>
    <w:next w:val="Normal"/>
    <w:uiPriority w:val="39"/>
    <w:qFormat/>
    <w:pPr>
      <w:ind w:left="1320"/>
    </w:pPr>
    <w:rPr>
      <w:smallCaps w:val="0"/>
      <w:sz w:val="18"/>
    </w:rPr>
  </w:style>
  <w:style w:type="paragraph" w:styleId="TOC2">
    <w:name w:val="toc 2"/>
    <w:basedOn w:val="Normal"/>
    <w:next w:val="Normal"/>
    <w:uiPriority w:val="39"/>
    <w:qFormat/>
    <w:pPr>
      <w:ind w:left="220"/>
    </w:pPr>
    <w:rPr>
      <w:smallCaps/>
      <w:sz w:val="20"/>
    </w:rPr>
  </w:style>
  <w:style w:type="paragraph" w:styleId="ListNumber2">
    <w:name w:val="List Number 2"/>
    <w:basedOn w:val="Normal"/>
    <w:qFormat/>
    <w:pPr>
      <w:numPr>
        <w:numId w:val="2"/>
      </w:numPr>
    </w:pPr>
  </w:style>
  <w:style w:type="paragraph" w:styleId="TableofAuthorities">
    <w:name w:val="table of authorities"/>
    <w:basedOn w:val="Normal"/>
    <w:next w:val="Normal"/>
    <w:semiHidden/>
    <w:qFormat/>
    <w:pPr>
      <w:ind w:left="220" w:hanging="220"/>
    </w:pPr>
  </w:style>
  <w:style w:type="paragraph" w:styleId="NoteHeading">
    <w:name w:val="Note Heading"/>
    <w:basedOn w:val="Normal"/>
    <w:next w:val="Normal"/>
    <w:link w:val="a17"/>
    <w:qFormat/>
  </w:style>
  <w:style w:type="paragraph" w:styleId="ListBullet4">
    <w:name w:val="List Bullet 4"/>
    <w:basedOn w:val="Normal"/>
    <w:qFormat/>
    <w:pPr>
      <w:numPr>
        <w:numId w:val="3"/>
      </w:numPr>
    </w:pPr>
  </w:style>
  <w:style w:type="paragraph" w:styleId="Index8">
    <w:name w:val="index 8"/>
    <w:basedOn w:val="Normal"/>
    <w:next w:val="Normal"/>
    <w:semiHidden/>
    <w:qFormat/>
    <w:pPr>
      <w:ind w:left="1760" w:hanging="220"/>
    </w:pPr>
  </w:style>
  <w:style w:type="paragraph" w:styleId="E-mailSignature">
    <w:name w:val="E-mail Signature"/>
    <w:basedOn w:val="Normal"/>
    <w:link w:val="a18"/>
    <w:qFormat/>
  </w:style>
  <w:style w:type="paragraph" w:styleId="ListNumber">
    <w:name w:val="List Number"/>
    <w:basedOn w:val="Normal"/>
    <w:qFormat/>
    <w:pPr>
      <w:numPr>
        <w:numId w:val="4"/>
      </w:numPr>
      <w:spacing w:before="138"/>
    </w:pPr>
  </w:style>
  <w:style w:type="paragraph" w:styleId="NormalIndent">
    <w:name w:val="Normal Indent"/>
    <w:aliases w:val="正文不缩进,正文不缩进 Char,正文不缩进 Char Char Char,正文双线,正文对齐,正文缩进 Char Char Char,正文缩进 Char Char Char Char Char,正文非缩进,正文非缩进 Char,正文非缩进 Char Char,正文（首行缩进两字）,正文（首行缩进两字） Char,正文（首行缩进两字） Char Char,正文（首行缩进两字）＋行距：1.5倍行距,段1,特点,缩进,表正文"/>
    <w:basedOn w:val="Normal"/>
    <w:link w:val="a25"/>
    <w:qFormat/>
    <w:pPr>
      <w:ind w:left="720"/>
    </w:pPr>
  </w:style>
  <w:style w:type="paragraph" w:styleId="Caption">
    <w:name w:val="caption"/>
    <w:basedOn w:val="Normal"/>
    <w:next w:val="Normal"/>
    <w:qFormat/>
    <w:pPr>
      <w:tabs>
        <w:tab w:val="right" w:pos="9360"/>
      </w:tabs>
      <w:spacing w:before="400"/>
    </w:pPr>
    <w:rPr>
      <w:rFonts w:ascii="Arial" w:hAnsi="Arial"/>
      <w:sz w:val="28"/>
    </w:rPr>
  </w:style>
  <w:style w:type="paragraph" w:styleId="Index5">
    <w:name w:val="index 5"/>
    <w:basedOn w:val="Normal"/>
    <w:next w:val="Normal"/>
    <w:semiHidden/>
    <w:qFormat/>
    <w:pPr>
      <w:ind w:left="1100" w:hanging="220"/>
    </w:pPr>
  </w:style>
  <w:style w:type="paragraph" w:styleId="ListBullet">
    <w:name w:val="List Bullet"/>
    <w:basedOn w:val="Normal"/>
    <w:qFormat/>
    <w:pPr>
      <w:numPr>
        <w:numId w:val="5"/>
      </w:numPr>
    </w:pPr>
  </w:style>
  <w:style w:type="paragraph" w:styleId="EnvelopeAddress">
    <w:name w:val="envelope address"/>
    <w:basedOn w:val="Normal"/>
    <w:qFormat/>
    <w:pPr>
      <w:framePr w:w="7920" w:h="1980" w:hRule="exact" w:hSpace="180" w:wrap="around" w:hAnchor="page" w:xAlign="center" w:yAlign="bottom"/>
      <w:ind w:left="2880"/>
    </w:pPr>
    <w:rPr>
      <w:rFonts w:ascii="Arial" w:hAnsi="Arial" w:cs="Arial"/>
      <w:sz w:val="24"/>
      <w:szCs w:val="24"/>
    </w:rPr>
  </w:style>
  <w:style w:type="paragraph" w:styleId="DocumentMap">
    <w:name w:val="Document Map"/>
    <w:basedOn w:val="Normal"/>
    <w:link w:val="a3"/>
    <w:semiHidden/>
    <w:qFormat/>
    <w:pPr>
      <w:shd w:val="clear" w:color="auto" w:fill="000080"/>
    </w:pPr>
    <w:rPr>
      <w:rFonts w:ascii="Tahoma" w:hAnsi="Tahoma"/>
    </w:rPr>
  </w:style>
  <w:style w:type="paragraph" w:styleId="TOAHeading">
    <w:name w:val="toa heading"/>
    <w:basedOn w:val="Normal"/>
    <w:next w:val="Normal"/>
    <w:semiHidden/>
    <w:qFormat/>
    <w:pPr>
      <w:spacing w:before="120"/>
    </w:pPr>
    <w:rPr>
      <w:rFonts w:ascii="Arial" w:hAnsi="Arial" w:cs="Arial"/>
      <w:b/>
      <w:bCs/>
      <w:sz w:val="24"/>
      <w:szCs w:val="24"/>
    </w:rPr>
  </w:style>
  <w:style w:type="paragraph" w:styleId="CommentText">
    <w:name w:val="annotation text"/>
    <w:basedOn w:val="Normal"/>
    <w:link w:val="a1"/>
    <w:semiHidden/>
    <w:qFormat/>
    <w:rPr>
      <w:sz w:val="20"/>
    </w:rPr>
  </w:style>
  <w:style w:type="paragraph" w:styleId="Index6">
    <w:name w:val="index 6"/>
    <w:basedOn w:val="Normal"/>
    <w:next w:val="Normal"/>
    <w:semiHidden/>
    <w:qFormat/>
    <w:pPr>
      <w:ind w:left="1320" w:hanging="220"/>
    </w:pPr>
  </w:style>
  <w:style w:type="paragraph" w:styleId="Salutation">
    <w:name w:val="Salutation"/>
    <w:basedOn w:val="Normal"/>
    <w:next w:val="Normal"/>
    <w:link w:val="a8"/>
    <w:qFormat/>
  </w:style>
  <w:style w:type="paragraph" w:styleId="BodyText3">
    <w:name w:val="Body Text 3"/>
    <w:basedOn w:val="Normal"/>
    <w:link w:val="31"/>
    <w:unhideWhenUsed/>
    <w:qFormat/>
    <w:pPr>
      <w:spacing w:after="120"/>
    </w:pPr>
    <w:rPr>
      <w:sz w:val="16"/>
      <w:szCs w:val="16"/>
    </w:rPr>
  </w:style>
  <w:style w:type="paragraph" w:styleId="Closing">
    <w:name w:val="Closing"/>
    <w:basedOn w:val="Normal"/>
    <w:link w:val="a14"/>
    <w:qFormat/>
    <w:pPr>
      <w:ind w:left="4320"/>
    </w:pPr>
  </w:style>
  <w:style w:type="paragraph" w:styleId="ListBullet3">
    <w:name w:val="List Bullet 3"/>
    <w:basedOn w:val="Normal"/>
    <w:qFormat/>
    <w:pPr>
      <w:numPr>
        <w:numId w:val="6"/>
      </w:numPr>
    </w:pPr>
  </w:style>
  <w:style w:type="paragraph" w:styleId="BodyText">
    <w:name w:val="Body Text"/>
    <w:basedOn w:val="Normal"/>
    <w:link w:val="a2"/>
    <w:uiPriority w:val="1"/>
    <w:qFormat/>
    <w:pPr>
      <w:ind w:left="720"/>
    </w:pPr>
  </w:style>
  <w:style w:type="paragraph" w:styleId="BodyTextIndent">
    <w:name w:val="Body Text Indent"/>
    <w:basedOn w:val="Normal"/>
    <w:link w:val="a5"/>
    <w:qFormat/>
    <w:pPr>
      <w:ind w:left="851"/>
    </w:pPr>
    <w:rPr>
      <w:rFonts w:eastAsia="金梅簡中明"/>
      <w:sz w:val="24"/>
      <w:lang w:eastAsia="zh-TW"/>
    </w:rPr>
  </w:style>
  <w:style w:type="paragraph" w:styleId="ListNumber3">
    <w:name w:val="List Number 3"/>
    <w:basedOn w:val="Normal"/>
    <w:qFormat/>
    <w:pPr>
      <w:numPr>
        <w:numId w:val="7"/>
      </w:numPr>
    </w:pPr>
  </w:style>
  <w:style w:type="paragraph" w:styleId="List2">
    <w:name w:val="List 2"/>
    <w:basedOn w:val="List"/>
    <w:qFormat/>
    <w:pPr>
      <w:spacing w:before="0"/>
    </w:pPr>
  </w:style>
  <w:style w:type="paragraph" w:styleId="List">
    <w:name w:val="List"/>
    <w:basedOn w:val="Normal"/>
    <w:qFormat/>
    <w:pPr>
      <w:tabs>
        <w:tab w:val="left" w:pos="1077"/>
      </w:tabs>
      <w:spacing w:before="138"/>
      <w:ind w:left="1077" w:hanging="1077"/>
    </w:pPr>
  </w:style>
  <w:style w:type="paragraph" w:styleId="ListContinue">
    <w:name w:val="List Continue"/>
    <w:basedOn w:val="Normal"/>
    <w:qFormat/>
    <w:pPr>
      <w:spacing w:after="120"/>
      <w:ind w:left="360"/>
    </w:pPr>
  </w:style>
  <w:style w:type="paragraph" w:styleId="BlockText">
    <w:name w:val="Block Text"/>
    <w:basedOn w:val="Normal"/>
    <w:qFormat/>
    <w:pPr>
      <w:spacing w:after="120"/>
      <w:ind w:left="1440" w:right="1440"/>
    </w:pPr>
  </w:style>
  <w:style w:type="paragraph" w:styleId="ListBullet2">
    <w:name w:val="List Bullet 2"/>
    <w:basedOn w:val="Normal"/>
    <w:qFormat/>
    <w:pPr>
      <w:numPr>
        <w:numId w:val="8"/>
      </w:numPr>
    </w:pPr>
  </w:style>
  <w:style w:type="paragraph" w:styleId="HTMLAddress">
    <w:name w:val="HTML Address"/>
    <w:basedOn w:val="Normal"/>
    <w:link w:val="HTML"/>
    <w:qFormat/>
    <w:rPr>
      <w:i/>
      <w:iCs/>
    </w:rPr>
  </w:style>
  <w:style w:type="paragraph" w:styleId="Index4">
    <w:name w:val="index 4"/>
    <w:basedOn w:val="Normal"/>
    <w:next w:val="Normal"/>
    <w:semiHidden/>
    <w:qFormat/>
    <w:pPr>
      <w:ind w:left="880" w:hanging="220"/>
    </w:pPr>
  </w:style>
  <w:style w:type="paragraph" w:styleId="TOC5">
    <w:name w:val="toc 5"/>
    <w:basedOn w:val="TOC1"/>
    <w:next w:val="Normal"/>
    <w:uiPriority w:val="39"/>
    <w:qFormat/>
    <w:pPr>
      <w:spacing w:before="0" w:after="0"/>
      <w:ind w:left="880"/>
    </w:pPr>
    <w:rPr>
      <w:b w:val="0"/>
      <w:caps w:val="0"/>
      <w:sz w:val="18"/>
    </w:rPr>
  </w:style>
  <w:style w:type="paragraph" w:styleId="TOC1">
    <w:name w:val="toc 1"/>
    <w:basedOn w:val="Normal"/>
    <w:next w:val="Normal"/>
    <w:uiPriority w:val="39"/>
    <w:qFormat/>
    <w:pPr>
      <w:spacing w:before="120" w:after="120"/>
    </w:pPr>
    <w:rPr>
      <w:b/>
      <w:caps/>
      <w:sz w:val="20"/>
    </w:rPr>
  </w:style>
  <w:style w:type="paragraph" w:styleId="TOC3">
    <w:name w:val="toc 3"/>
    <w:basedOn w:val="Normal"/>
    <w:next w:val="Normal"/>
    <w:uiPriority w:val="39"/>
    <w:qFormat/>
    <w:pPr>
      <w:ind w:left="440"/>
    </w:pPr>
    <w:rPr>
      <w:i/>
      <w:sz w:val="20"/>
    </w:rPr>
  </w:style>
  <w:style w:type="paragraph" w:styleId="PlainText">
    <w:name w:val="Plain Text"/>
    <w:basedOn w:val="Normal"/>
    <w:link w:val="a6"/>
    <w:qFormat/>
    <w:rPr>
      <w:rFonts w:ascii="Courier New" w:hAnsi="Courier New" w:cs="Courier New"/>
      <w:sz w:val="20"/>
    </w:rPr>
  </w:style>
  <w:style w:type="paragraph" w:styleId="ListBullet5">
    <w:name w:val="List Bullet 5"/>
    <w:basedOn w:val="Normal"/>
    <w:qFormat/>
    <w:pPr>
      <w:numPr>
        <w:numId w:val="9"/>
      </w:numPr>
    </w:pPr>
  </w:style>
  <w:style w:type="paragraph" w:styleId="ListNumber4">
    <w:name w:val="List Number 4"/>
    <w:basedOn w:val="Normal"/>
    <w:qFormat/>
    <w:pPr>
      <w:numPr>
        <w:numId w:val="10"/>
      </w:numPr>
    </w:pPr>
  </w:style>
  <w:style w:type="paragraph" w:styleId="TOC8">
    <w:name w:val="toc 8"/>
    <w:basedOn w:val="TOC3"/>
    <w:next w:val="Normal"/>
    <w:uiPriority w:val="39"/>
    <w:qFormat/>
    <w:pPr>
      <w:ind w:left="1540"/>
    </w:pPr>
    <w:rPr>
      <w:i w:val="0"/>
      <w:sz w:val="18"/>
    </w:rPr>
  </w:style>
  <w:style w:type="paragraph" w:styleId="Index3">
    <w:name w:val="index 3"/>
    <w:basedOn w:val="Normal"/>
    <w:next w:val="Normal"/>
    <w:semiHidden/>
    <w:qFormat/>
    <w:pPr>
      <w:ind w:left="660" w:hanging="220"/>
    </w:pPr>
  </w:style>
  <w:style w:type="paragraph" w:styleId="Date">
    <w:name w:val="Date"/>
    <w:basedOn w:val="Normal"/>
    <w:next w:val="Normal"/>
    <w:link w:val="a4"/>
    <w:qFormat/>
    <w:pPr>
      <w:jc w:val="right"/>
    </w:pPr>
    <w:rPr>
      <w:rFonts w:eastAsia="金梅簡中明"/>
      <w:sz w:val="24"/>
      <w:lang w:eastAsia="zh-TW"/>
    </w:rPr>
  </w:style>
  <w:style w:type="paragraph" w:styleId="BodyTextIndent2">
    <w:name w:val="Body Text Indent 2"/>
    <w:basedOn w:val="Normal"/>
    <w:link w:val="20"/>
    <w:unhideWhenUsed/>
    <w:qFormat/>
    <w:pPr>
      <w:spacing w:after="120" w:line="480" w:lineRule="auto"/>
      <w:ind w:left="420" w:leftChars="200"/>
    </w:pPr>
  </w:style>
  <w:style w:type="paragraph" w:styleId="EndnoteText">
    <w:name w:val="endnote text"/>
    <w:basedOn w:val="Normal"/>
    <w:link w:val="a12"/>
    <w:semiHidden/>
    <w:qFormat/>
    <w:rPr>
      <w:sz w:val="20"/>
    </w:rPr>
  </w:style>
  <w:style w:type="paragraph" w:styleId="ListContinue5">
    <w:name w:val="List Continue 5"/>
    <w:basedOn w:val="Normal"/>
    <w:qFormat/>
    <w:pPr>
      <w:spacing w:after="120"/>
      <w:ind w:left="1800"/>
    </w:pPr>
  </w:style>
  <w:style w:type="paragraph" w:styleId="BalloonText">
    <w:name w:val="Balloon Text"/>
    <w:basedOn w:val="Normal"/>
    <w:link w:val="a19"/>
    <w:qFormat/>
    <w:rPr>
      <w:rFonts w:ascii="宋体" w:eastAsia="宋体"/>
      <w:sz w:val="18"/>
      <w:szCs w:val="18"/>
    </w:rPr>
  </w:style>
  <w:style w:type="paragraph" w:styleId="Footer">
    <w:name w:val="footer"/>
    <w:basedOn w:val="Normal"/>
    <w:link w:val="a"/>
    <w:qFormat/>
    <w:pPr>
      <w:tabs>
        <w:tab w:val="center" w:pos="4153"/>
        <w:tab w:val="right" w:pos="8306"/>
      </w:tabs>
    </w:pPr>
  </w:style>
  <w:style w:type="paragraph" w:styleId="EnvelopeReturn">
    <w:name w:val="envelope return"/>
    <w:basedOn w:val="Normal"/>
    <w:qFormat/>
    <w:rPr>
      <w:rFonts w:ascii="Arial" w:hAnsi="Arial" w:cs="Arial"/>
      <w:sz w:val="20"/>
    </w:rPr>
  </w:style>
  <w:style w:type="paragraph" w:styleId="Header">
    <w:name w:val="header"/>
    <w:basedOn w:val="Normal"/>
    <w:link w:val="a0"/>
    <w:qFormat/>
    <w:pPr>
      <w:tabs>
        <w:tab w:val="center" w:pos="4153"/>
        <w:tab w:val="right" w:pos="8306"/>
      </w:tabs>
    </w:pPr>
  </w:style>
  <w:style w:type="paragraph" w:styleId="Signature">
    <w:name w:val="Signature"/>
    <w:basedOn w:val="Normal"/>
    <w:link w:val="a13"/>
    <w:qFormat/>
    <w:pPr>
      <w:ind w:left="4320"/>
    </w:pPr>
  </w:style>
  <w:style w:type="paragraph" w:styleId="ListContinue4">
    <w:name w:val="List Continue 4"/>
    <w:basedOn w:val="Normal"/>
    <w:qFormat/>
    <w:pPr>
      <w:spacing w:after="120"/>
      <w:ind w:left="1440"/>
    </w:pPr>
  </w:style>
  <w:style w:type="paragraph" w:styleId="TOC4">
    <w:name w:val="toc 4"/>
    <w:basedOn w:val="Normal"/>
    <w:next w:val="Normal"/>
    <w:uiPriority w:val="39"/>
    <w:unhideWhenUsed/>
    <w:qFormat/>
    <w:pPr>
      <w:ind w:left="1260" w:leftChars="600"/>
    </w:pPr>
  </w:style>
  <w:style w:type="paragraph" w:styleId="IndexHeading">
    <w:name w:val="index heading"/>
    <w:basedOn w:val="Normal"/>
    <w:next w:val="Index1"/>
    <w:semiHidden/>
    <w:qFormat/>
    <w:rPr>
      <w:rFonts w:ascii="Arial" w:hAnsi="Arial" w:cs="Arial"/>
      <w:b/>
      <w:bCs/>
    </w:rPr>
  </w:style>
  <w:style w:type="paragraph" w:styleId="Index1">
    <w:name w:val="index 1"/>
    <w:basedOn w:val="Normal"/>
    <w:next w:val="Normal"/>
    <w:semiHidden/>
    <w:qFormat/>
    <w:pPr>
      <w:ind w:left="220" w:hanging="220"/>
    </w:pPr>
  </w:style>
  <w:style w:type="paragraph" w:styleId="Subtitle">
    <w:name w:val="Subtitle"/>
    <w:basedOn w:val="Normal"/>
    <w:link w:val="a7"/>
    <w:qFormat/>
    <w:pPr>
      <w:spacing w:after="60"/>
      <w:jc w:val="center"/>
      <w:outlineLvl w:val="1"/>
    </w:pPr>
    <w:rPr>
      <w:rFonts w:ascii="Arial" w:hAnsi="Arial" w:cs="Arial"/>
      <w:sz w:val="24"/>
      <w:szCs w:val="24"/>
    </w:rPr>
  </w:style>
  <w:style w:type="paragraph" w:styleId="ListNumber5">
    <w:name w:val="List Number 5"/>
    <w:basedOn w:val="Normal"/>
    <w:qFormat/>
    <w:pPr>
      <w:numPr>
        <w:numId w:val="11"/>
      </w:numPr>
    </w:pPr>
  </w:style>
  <w:style w:type="paragraph" w:styleId="FootnoteText">
    <w:name w:val="footnote text"/>
    <w:basedOn w:val="Normal"/>
    <w:link w:val="a16"/>
    <w:semiHidden/>
    <w:qFormat/>
    <w:rPr>
      <w:sz w:val="20"/>
    </w:rPr>
  </w:style>
  <w:style w:type="paragraph" w:styleId="TOC6">
    <w:name w:val="toc 6"/>
    <w:basedOn w:val="TOC1"/>
    <w:next w:val="Normal"/>
    <w:uiPriority w:val="39"/>
    <w:qFormat/>
    <w:pPr>
      <w:spacing w:before="0" w:after="0"/>
      <w:ind w:left="1100"/>
    </w:pPr>
    <w:rPr>
      <w:b w:val="0"/>
      <w:caps w:val="0"/>
      <w:sz w:val="18"/>
    </w:rPr>
  </w:style>
  <w:style w:type="paragraph" w:styleId="List5">
    <w:name w:val="List 5"/>
    <w:basedOn w:val="Normal"/>
    <w:qFormat/>
    <w:pPr>
      <w:ind w:left="1800" w:hanging="360"/>
    </w:pPr>
  </w:style>
  <w:style w:type="paragraph" w:styleId="BodyTextIndent3">
    <w:name w:val="Body Text Indent 3"/>
    <w:basedOn w:val="Normal"/>
    <w:link w:val="30"/>
    <w:qFormat/>
    <w:pPr>
      <w:autoSpaceDE w:val="0"/>
      <w:autoSpaceDN w:val="0"/>
      <w:adjustRightInd w:val="0"/>
      <w:ind w:left="720"/>
    </w:pPr>
    <w:rPr>
      <w:sz w:val="24"/>
      <w:lang w:val="en-US" w:eastAsia="zh-CN"/>
    </w:rPr>
  </w:style>
  <w:style w:type="paragraph" w:styleId="Index7">
    <w:name w:val="index 7"/>
    <w:basedOn w:val="Normal"/>
    <w:next w:val="Normal"/>
    <w:semiHidden/>
    <w:qFormat/>
    <w:pPr>
      <w:ind w:left="1540" w:hanging="220"/>
    </w:pPr>
  </w:style>
  <w:style w:type="paragraph" w:styleId="Index9">
    <w:name w:val="index 9"/>
    <w:basedOn w:val="Normal"/>
    <w:next w:val="Normal"/>
    <w:semiHidden/>
    <w:qFormat/>
    <w:pPr>
      <w:ind w:left="1980" w:hanging="220"/>
    </w:pPr>
  </w:style>
  <w:style w:type="paragraph" w:styleId="TableofFigures">
    <w:name w:val="table of figures"/>
    <w:basedOn w:val="Normal"/>
    <w:next w:val="Normal"/>
    <w:semiHidden/>
    <w:qFormat/>
    <w:pPr>
      <w:ind w:left="440" w:hanging="440"/>
    </w:pPr>
  </w:style>
  <w:style w:type="paragraph" w:styleId="TOC9">
    <w:name w:val="toc 9"/>
    <w:basedOn w:val="Normal"/>
    <w:next w:val="Normal"/>
    <w:uiPriority w:val="39"/>
    <w:qFormat/>
    <w:pPr>
      <w:ind w:left="1760"/>
    </w:pPr>
    <w:rPr>
      <w:sz w:val="18"/>
    </w:rPr>
  </w:style>
  <w:style w:type="paragraph" w:styleId="BodyText2">
    <w:name w:val="Body Text 2"/>
    <w:basedOn w:val="Normal"/>
    <w:link w:val="21"/>
    <w:qFormat/>
    <w:pPr>
      <w:widowControl w:val="0"/>
    </w:pPr>
    <w:rPr>
      <w:rFonts w:ascii="金梅簡中明" w:eastAsia="金梅簡中明"/>
      <w:b/>
      <w:kern w:val="2"/>
      <w:sz w:val="24"/>
      <w:lang w:val="en-US" w:eastAsia="zh-TW"/>
    </w:rPr>
  </w:style>
  <w:style w:type="paragraph" w:styleId="List4">
    <w:name w:val="List 4"/>
    <w:basedOn w:val="Normal"/>
    <w:qFormat/>
    <w:pPr>
      <w:ind w:left="1440" w:hanging="360"/>
    </w:pPr>
  </w:style>
  <w:style w:type="paragraph" w:styleId="ListContinue2">
    <w:name w:val="List Continue 2"/>
    <w:basedOn w:val="Normal"/>
    <w:qFormat/>
    <w:pPr>
      <w:spacing w:after="120"/>
      <w:ind w:left="720"/>
    </w:pPr>
  </w:style>
  <w:style w:type="paragraph" w:styleId="MessageHeader">
    <w:name w:val="Message Header"/>
    <w:basedOn w:val="Normal"/>
    <w:link w:val="a15"/>
    <w:qFormat/>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HTMLPreformatted">
    <w:name w:val="HTML Preformatted"/>
    <w:basedOn w:val="Normal"/>
    <w:link w:val="HTML0"/>
    <w:qFormat/>
    <w:rPr>
      <w:rFonts w:ascii="Courier New" w:hAnsi="Courier New" w:cs="Courier New"/>
      <w:sz w:val="20"/>
    </w:rPr>
  </w:style>
  <w:style w:type="paragraph" w:styleId="NormalWeb">
    <w:name w:val="Normal (Web)"/>
    <w:basedOn w:val="Normal"/>
    <w:uiPriority w:val="99"/>
    <w:qFormat/>
    <w:pPr>
      <w:spacing w:before="100" w:beforeAutospacing="1"/>
    </w:pPr>
    <w:rPr>
      <w:szCs w:val="24"/>
    </w:rPr>
  </w:style>
  <w:style w:type="paragraph" w:styleId="ListContinue3">
    <w:name w:val="List Continue 3"/>
    <w:basedOn w:val="Normal"/>
    <w:qFormat/>
    <w:pPr>
      <w:spacing w:after="120"/>
      <w:ind w:left="1080"/>
    </w:pPr>
  </w:style>
  <w:style w:type="paragraph" w:styleId="Index2">
    <w:name w:val="index 2"/>
    <w:basedOn w:val="Normal"/>
    <w:next w:val="Normal"/>
    <w:semiHidden/>
    <w:qFormat/>
    <w:pPr>
      <w:ind w:left="440" w:hanging="220"/>
    </w:pPr>
  </w:style>
  <w:style w:type="paragraph" w:styleId="Title">
    <w:name w:val="Title"/>
    <w:basedOn w:val="Normal"/>
    <w:link w:val="a11"/>
    <w:qFormat/>
    <w:pPr>
      <w:spacing w:before="240" w:after="60"/>
      <w:jc w:val="center"/>
      <w:outlineLvl w:val="0"/>
    </w:pPr>
    <w:rPr>
      <w:rFonts w:ascii="Arial" w:hAnsi="Arial" w:cs="Arial"/>
      <w:b/>
      <w:bCs/>
      <w:kern w:val="28"/>
      <w:sz w:val="32"/>
      <w:szCs w:val="32"/>
    </w:rPr>
  </w:style>
  <w:style w:type="paragraph" w:styleId="CommentSubject">
    <w:name w:val="annotation subject"/>
    <w:basedOn w:val="CommentText"/>
    <w:next w:val="CommentText"/>
    <w:link w:val="a22"/>
    <w:semiHidden/>
    <w:unhideWhenUsed/>
    <w:qFormat/>
    <w:rPr>
      <w:b/>
      <w:bCs/>
    </w:rPr>
  </w:style>
  <w:style w:type="paragraph" w:styleId="BodyTextFirstIndent">
    <w:name w:val="Body Text First Indent"/>
    <w:basedOn w:val="BodyText"/>
    <w:link w:val="a10"/>
    <w:qFormat/>
    <w:pPr>
      <w:spacing w:after="120"/>
      <w:ind w:left="0" w:firstLine="210"/>
    </w:pPr>
  </w:style>
  <w:style w:type="paragraph" w:styleId="BodyTextFirstIndent2">
    <w:name w:val="Body Text First Indent 2"/>
    <w:basedOn w:val="BodyTextIndent"/>
    <w:link w:val="22"/>
    <w:qFormat/>
    <w:pPr>
      <w:spacing w:after="120"/>
      <w:ind w:left="360" w:firstLine="210"/>
    </w:pPr>
    <w:rPr>
      <w:rFonts w:eastAsia="PMingLiU"/>
      <w:sz w:val="22"/>
      <w:lang w:eastAsia="en-US"/>
    </w:rPr>
  </w:style>
  <w:style w:type="table" w:styleId="TableGrid">
    <w:name w:val="Table Grid"/>
    <w:basedOn w:val="TableNormal"/>
    <w:uiPriority w:val="59"/>
    <w:qFormat/>
    <w:rPr>
      <w:rFonts w:eastAsia="PMingLi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PageNumber">
    <w:name w:val="page number"/>
    <w:basedOn w:val="DefaultParagraphFont"/>
    <w:qFormat/>
  </w:style>
  <w:style w:type="character" w:styleId="FollowedHyperlink">
    <w:name w:val="FollowedHyperlink"/>
    <w:qFormat/>
    <w:rPr>
      <w:color w:val="800080"/>
      <w:u w:val="single"/>
    </w:rPr>
  </w:style>
  <w:style w:type="character" w:styleId="Emphasis">
    <w:name w:val="Emphasis"/>
    <w:uiPriority w:val="20"/>
    <w:qFormat/>
    <w:rPr>
      <w:i/>
      <w:iCs/>
    </w:rPr>
  </w:style>
  <w:style w:type="character" w:styleId="Hyperlink">
    <w:name w:val="Hyperlink"/>
    <w:uiPriority w:val="99"/>
    <w:qFormat/>
    <w:rPr>
      <w:color w:val="auto"/>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10">
    <w:name w:val="标题 1 字符"/>
    <w:basedOn w:val="DefaultParagraphFont"/>
    <w:link w:val="Heading1"/>
    <w:qFormat/>
    <w:rPr>
      <w:rFonts w:cs="Arial"/>
      <w:b/>
      <w:caps/>
      <w:sz w:val="24"/>
      <w:lang w:val="en-GB" w:eastAsia="en-US"/>
    </w:rPr>
  </w:style>
  <w:style w:type="character" w:customStyle="1" w:styleId="2">
    <w:name w:val="标题 2 字符"/>
    <w:basedOn w:val="DefaultParagraphFont"/>
    <w:link w:val="Heading2"/>
    <w:uiPriority w:val="9"/>
    <w:qFormat/>
    <w:rPr>
      <w:rFonts w:cs="Arial"/>
      <w:b/>
      <w:sz w:val="24"/>
      <w:lang w:val="en-GB" w:eastAsia="en-US"/>
    </w:rPr>
  </w:style>
  <w:style w:type="character" w:customStyle="1" w:styleId="3">
    <w:name w:val="标题 3 字符"/>
    <w:basedOn w:val="DefaultParagraphFont"/>
    <w:link w:val="Heading3"/>
    <w:qFormat/>
    <w:rPr>
      <w:rFonts w:cs="Arial"/>
      <w:b/>
      <w:lang w:val="en-GB" w:eastAsia="en-US"/>
    </w:rPr>
  </w:style>
  <w:style w:type="character" w:customStyle="1" w:styleId="4">
    <w:name w:val="标题 4 字符"/>
    <w:basedOn w:val="DefaultParagraphFont"/>
    <w:link w:val="Heading4"/>
    <w:uiPriority w:val="9"/>
    <w:qFormat/>
    <w:rPr>
      <w:rFonts w:cs="Arial"/>
      <w:b/>
      <w:lang w:val="en-GB" w:eastAsia="en-US"/>
    </w:rPr>
  </w:style>
  <w:style w:type="character" w:customStyle="1" w:styleId="5">
    <w:name w:val="标题 5 字符"/>
    <w:basedOn w:val="DefaultParagraphFont"/>
    <w:link w:val="Heading5"/>
    <w:qFormat/>
    <w:rPr>
      <w:rFonts w:ascii="Arial" w:eastAsia="PMingLiU" w:hAnsi="Arial" w:cs="Times New Roman"/>
      <w:kern w:val="0"/>
      <w:sz w:val="36"/>
      <w:szCs w:val="20"/>
      <w:lang w:val="en-GB" w:eastAsia="en-US"/>
    </w:rPr>
  </w:style>
  <w:style w:type="character" w:customStyle="1" w:styleId="6">
    <w:name w:val="标题 6 字符"/>
    <w:basedOn w:val="DefaultParagraphFont"/>
    <w:link w:val="Heading6"/>
    <w:qFormat/>
    <w:rPr>
      <w:rFonts w:ascii="Times New Roman" w:eastAsia="PMingLiU" w:hAnsi="Times New Roman" w:cs="Times New Roman"/>
      <w:i/>
      <w:kern w:val="0"/>
      <w:sz w:val="22"/>
      <w:szCs w:val="20"/>
      <w:lang w:val="en-GB" w:eastAsia="en-US"/>
    </w:rPr>
  </w:style>
  <w:style w:type="character" w:customStyle="1" w:styleId="7">
    <w:name w:val="标题 7 字符"/>
    <w:basedOn w:val="DefaultParagraphFont"/>
    <w:link w:val="Heading7"/>
    <w:qFormat/>
    <w:rPr>
      <w:rFonts w:ascii="Arial" w:eastAsia="PMingLiU" w:hAnsi="Arial" w:cs="Times New Roman"/>
      <w:kern w:val="0"/>
      <w:sz w:val="22"/>
      <w:szCs w:val="20"/>
      <w:lang w:val="en-GB" w:eastAsia="en-US"/>
    </w:rPr>
  </w:style>
  <w:style w:type="character" w:customStyle="1" w:styleId="8">
    <w:name w:val="标题 8 字符"/>
    <w:basedOn w:val="DefaultParagraphFont"/>
    <w:link w:val="Heading8"/>
    <w:qFormat/>
    <w:rPr>
      <w:rFonts w:ascii="Arial" w:eastAsia="PMingLiU" w:hAnsi="Arial" w:cs="Times New Roman"/>
      <w:i/>
      <w:kern w:val="0"/>
      <w:sz w:val="22"/>
      <w:szCs w:val="20"/>
      <w:lang w:val="en-GB" w:eastAsia="en-US"/>
    </w:rPr>
  </w:style>
  <w:style w:type="character" w:customStyle="1" w:styleId="9">
    <w:name w:val="标题 9 字符"/>
    <w:basedOn w:val="DefaultParagraphFont"/>
    <w:link w:val="Heading9"/>
    <w:qFormat/>
    <w:rPr>
      <w:rFonts w:ascii="Arial" w:eastAsia="PMingLiU" w:hAnsi="Arial" w:cs="Times New Roman"/>
      <w:b/>
      <w:i/>
      <w:kern w:val="0"/>
      <w:sz w:val="18"/>
      <w:szCs w:val="20"/>
      <w:lang w:val="en-GB" w:eastAsia="en-US"/>
    </w:rPr>
  </w:style>
  <w:style w:type="character" w:customStyle="1" w:styleId="HR-12">
    <w:name w:val="HR-12"/>
    <w:qFormat/>
    <w:rPr>
      <w:rFonts w:ascii="Arial" w:hAnsi="Arial"/>
      <w:sz w:val="24"/>
    </w:rPr>
  </w:style>
  <w:style w:type="character" w:customStyle="1" w:styleId="a">
    <w:name w:val="页脚 字符"/>
    <w:basedOn w:val="DefaultParagraphFont"/>
    <w:link w:val="Footer"/>
    <w:qFormat/>
    <w:rPr>
      <w:rFonts w:ascii="Times New Roman" w:eastAsia="PMingLiU" w:hAnsi="Times New Roman" w:cs="Times New Roman"/>
      <w:kern w:val="0"/>
      <w:sz w:val="22"/>
      <w:szCs w:val="20"/>
      <w:lang w:val="en-GB" w:eastAsia="en-US"/>
    </w:rPr>
  </w:style>
  <w:style w:type="character" w:customStyle="1" w:styleId="a0">
    <w:name w:val="页眉 字符"/>
    <w:basedOn w:val="DefaultParagraphFont"/>
    <w:link w:val="Header"/>
    <w:qFormat/>
    <w:rPr>
      <w:rFonts w:ascii="Times New Roman" w:eastAsia="PMingLiU" w:hAnsi="Times New Roman" w:cs="Times New Roman"/>
      <w:kern w:val="0"/>
      <w:sz w:val="22"/>
      <w:szCs w:val="20"/>
      <w:lang w:val="en-GB" w:eastAsia="en-US"/>
    </w:rPr>
  </w:style>
  <w:style w:type="character" w:customStyle="1" w:styleId="HR-10">
    <w:name w:val="HR-10"/>
    <w:qFormat/>
    <w:rPr>
      <w:rFonts w:ascii="Arial" w:hAnsi="Arial"/>
      <w:sz w:val="20"/>
    </w:rPr>
  </w:style>
  <w:style w:type="character" w:customStyle="1" w:styleId="a1">
    <w:name w:val="批注文字 字符"/>
    <w:basedOn w:val="DefaultParagraphFont"/>
    <w:link w:val="CommentText"/>
    <w:semiHidden/>
    <w:qFormat/>
    <w:rPr>
      <w:rFonts w:ascii="Times New Roman" w:eastAsia="PMingLiU" w:hAnsi="Times New Roman" w:cs="Times New Roman"/>
      <w:kern w:val="0"/>
      <w:sz w:val="20"/>
      <w:szCs w:val="20"/>
      <w:lang w:val="en-GB" w:eastAsia="en-US"/>
    </w:rPr>
  </w:style>
  <w:style w:type="paragraph" w:customStyle="1" w:styleId="ReportLevel2">
    <w:name w:val="Report Level 2"/>
    <w:basedOn w:val="ReportLevel1"/>
    <w:next w:val="Normal"/>
    <w:link w:val="ReportLevel2Char1"/>
    <w:qFormat/>
    <w:pPr>
      <w:numPr>
        <w:ilvl w:val="1"/>
        <w:numId w:val="12"/>
      </w:numPr>
      <w:outlineLvl w:val="1"/>
    </w:pPr>
    <w:rPr>
      <w:b w:val="0"/>
      <w:caps w:val="0"/>
    </w:rPr>
  </w:style>
  <w:style w:type="character" w:customStyle="1" w:styleId="ReportLevel2Char1">
    <w:name w:val="Report Level 2 Char1"/>
    <w:link w:val="ReportLevel2"/>
    <w:qFormat/>
    <w:rPr>
      <w:sz w:val="24"/>
      <w:lang w:val="en-GB" w:eastAsia="en-US"/>
    </w:rPr>
  </w:style>
  <w:style w:type="paragraph" w:customStyle="1" w:styleId="ReportLevel3">
    <w:name w:val="Report Level 3"/>
    <w:basedOn w:val="ReportLevel1"/>
    <w:next w:val="Normal"/>
    <w:link w:val="ReportLevel3Char"/>
    <w:qFormat/>
    <w:pPr>
      <w:numPr>
        <w:ilvl w:val="2"/>
        <w:numId w:val="12"/>
      </w:numPr>
      <w:jc w:val="both"/>
      <w:outlineLvl w:val="2"/>
    </w:pPr>
    <w:rPr>
      <w:rFonts w:eastAsia="PMingLiU"/>
      <w:b w:val="0"/>
      <w:caps w:val="0"/>
    </w:rPr>
  </w:style>
  <w:style w:type="character" w:customStyle="1" w:styleId="ReportLevel3Char">
    <w:name w:val="Report Level 3 Char"/>
    <w:link w:val="ReportLevel3"/>
    <w:qFormat/>
    <w:rPr>
      <w:rFonts w:eastAsia="PMingLiU"/>
      <w:sz w:val="24"/>
      <w:lang w:val="en-GB" w:eastAsia="en-US"/>
    </w:rPr>
  </w:style>
  <w:style w:type="paragraph" w:customStyle="1" w:styleId="ReportLevel4">
    <w:name w:val="Report Level 4"/>
    <w:basedOn w:val="ReportLevel3"/>
    <w:next w:val="Normal"/>
    <w:qFormat/>
    <w:pPr>
      <w:numPr>
        <w:ilvl w:val="3"/>
      </w:numPr>
      <w:outlineLvl w:val="3"/>
    </w:pPr>
  </w:style>
  <w:style w:type="character" w:customStyle="1" w:styleId="30">
    <w:name w:val="正文文本缩进 3 字符"/>
    <w:basedOn w:val="DefaultParagraphFont"/>
    <w:link w:val="BodyTextIndent3"/>
    <w:qFormat/>
    <w:rPr>
      <w:rFonts w:ascii="Times New Roman" w:eastAsia="PMingLiU" w:hAnsi="Times New Roman" w:cs="Times New Roman"/>
      <w:kern w:val="0"/>
      <w:sz w:val="24"/>
      <w:szCs w:val="20"/>
    </w:rPr>
  </w:style>
  <w:style w:type="paragraph" w:customStyle="1" w:styleId="ReportText">
    <w:name w:val="Report Text"/>
    <w:basedOn w:val="Normal"/>
    <w:link w:val="ReportTextChar3"/>
    <w:qFormat/>
    <w:pPr>
      <w:ind w:left="1080"/>
      <w:jc w:val="both"/>
    </w:pPr>
    <w:rPr>
      <w:rFonts w:eastAsia="宋体"/>
      <w:sz w:val="24"/>
    </w:rPr>
  </w:style>
  <w:style w:type="character" w:customStyle="1" w:styleId="ReportTextChar3">
    <w:name w:val="Report Text Char3"/>
    <w:basedOn w:val="DefaultParagraphFont"/>
    <w:link w:val="ReportText"/>
    <w:qFormat/>
    <w:locked/>
    <w:rPr>
      <w:rFonts w:ascii="Times New Roman" w:eastAsia="宋体" w:hAnsi="Times New Roman" w:cs="Times New Roman"/>
      <w:kern w:val="0"/>
      <w:sz w:val="24"/>
      <w:szCs w:val="20"/>
      <w:lang w:val="en-GB" w:eastAsia="en-US"/>
    </w:rPr>
  </w:style>
  <w:style w:type="character" w:customStyle="1" w:styleId="31">
    <w:name w:val="正文文本 3 字符"/>
    <w:basedOn w:val="DefaultParagraphFont"/>
    <w:link w:val="BodyText3"/>
    <w:uiPriority w:val="99"/>
    <w:qFormat/>
    <w:rPr>
      <w:rFonts w:ascii="Times New Roman" w:eastAsia="PMingLiU" w:hAnsi="Times New Roman" w:cs="Times New Roman"/>
      <w:kern w:val="0"/>
      <w:sz w:val="16"/>
      <w:szCs w:val="16"/>
      <w:lang w:val="en-GB" w:eastAsia="en-US"/>
    </w:rPr>
  </w:style>
  <w:style w:type="paragraph" w:customStyle="1" w:styleId="ReportLevel5">
    <w:name w:val="Report Level 5"/>
    <w:basedOn w:val="ReportLevel3"/>
    <w:qFormat/>
    <w:pPr>
      <w:keepNext w:val="0"/>
      <w:numPr>
        <w:ilvl w:val="0"/>
        <w:numId w:val="0"/>
      </w:numPr>
      <w:tabs>
        <w:tab w:val="clear" w:pos="1077"/>
        <w:tab w:val="left" w:pos="1080"/>
      </w:tabs>
      <w:spacing w:after="240"/>
      <w:ind w:left="1080" w:hanging="1080"/>
    </w:pPr>
    <w:rPr>
      <w:rFonts w:eastAsia="宋体"/>
      <w:lang w:val="en-US" w:eastAsia="zh-CN"/>
    </w:rPr>
  </w:style>
  <w:style w:type="character" w:customStyle="1" w:styleId="20">
    <w:name w:val="正文文本缩进 2 字符"/>
    <w:basedOn w:val="DefaultParagraphFont"/>
    <w:link w:val="BodyTextIndent2"/>
    <w:uiPriority w:val="99"/>
    <w:qFormat/>
    <w:rPr>
      <w:rFonts w:ascii="Times New Roman" w:eastAsia="PMingLiU" w:hAnsi="Times New Roman" w:cs="Times New Roman"/>
      <w:kern w:val="0"/>
      <w:sz w:val="22"/>
      <w:szCs w:val="20"/>
      <w:lang w:val="en-GB" w:eastAsia="en-US"/>
    </w:rPr>
  </w:style>
  <w:style w:type="paragraph" w:customStyle="1" w:styleId="ReportList1">
    <w:name w:val="Report List 1"/>
    <w:basedOn w:val="List"/>
    <w:qFormat/>
    <w:pPr>
      <w:numPr>
        <w:numId w:val="13"/>
      </w:numPr>
      <w:spacing w:before="0" w:after="138"/>
    </w:pPr>
  </w:style>
  <w:style w:type="paragraph" w:customStyle="1" w:styleId="ReportList2">
    <w:name w:val="Report List 2"/>
    <w:basedOn w:val="ReportList1"/>
    <w:qFormat/>
    <w:pPr>
      <w:numPr>
        <w:numId w:val="14"/>
      </w:numPr>
      <w:tabs>
        <w:tab w:val="clear" w:pos="1440"/>
      </w:tabs>
      <w:spacing w:after="0"/>
    </w:pPr>
  </w:style>
  <w:style w:type="character" w:customStyle="1" w:styleId="8pt">
    <w:name w:val="8pt"/>
    <w:qFormat/>
    <w:rPr>
      <w:rFonts w:ascii="Arial" w:hAnsi="Arial"/>
      <w:sz w:val="16"/>
    </w:rPr>
  </w:style>
  <w:style w:type="paragraph" w:customStyle="1" w:styleId="ReportHeading">
    <w:name w:val="Report Heading"/>
    <w:basedOn w:val="Normal"/>
    <w:next w:val="ReportText"/>
    <w:qFormat/>
    <w:pPr>
      <w:tabs>
        <w:tab w:val="left" w:pos="2160"/>
      </w:tabs>
      <w:spacing w:before="120" w:after="138"/>
      <w:ind w:firstLine="1080"/>
    </w:pPr>
    <w:rPr>
      <w:rFonts w:ascii="Arial" w:hAnsi="Arial"/>
      <w:b/>
    </w:rPr>
  </w:style>
  <w:style w:type="paragraph" w:customStyle="1" w:styleId="HR-14">
    <w:name w:val="HR-14"/>
    <w:basedOn w:val="Normal"/>
    <w:next w:val="Normal"/>
    <w:qFormat/>
    <w:rPr>
      <w:rFonts w:ascii="Arial" w:hAnsi="Arial"/>
      <w:sz w:val="28"/>
    </w:rPr>
  </w:style>
  <w:style w:type="character" w:customStyle="1" w:styleId="AB-10">
    <w:name w:val="AB-10"/>
    <w:qFormat/>
    <w:rPr>
      <w:rFonts w:ascii="Arial" w:hAnsi="Arial"/>
      <w:b/>
      <w:sz w:val="20"/>
    </w:rPr>
  </w:style>
  <w:style w:type="paragraph" w:customStyle="1" w:styleId="HR-13">
    <w:name w:val="HR-13"/>
    <w:basedOn w:val="Normal"/>
    <w:next w:val="Normal"/>
    <w:qFormat/>
    <w:rPr>
      <w:rFonts w:ascii="Arial" w:hAnsi="Arial"/>
      <w:sz w:val="26"/>
    </w:rPr>
  </w:style>
  <w:style w:type="paragraph" w:customStyle="1" w:styleId="AB-18">
    <w:name w:val="AB-18"/>
    <w:basedOn w:val="HR-13"/>
    <w:qFormat/>
    <w:rPr>
      <w:b/>
      <w:bCs/>
    </w:rPr>
  </w:style>
  <w:style w:type="paragraph" w:customStyle="1" w:styleId="AB-14">
    <w:name w:val="AB-14"/>
    <w:basedOn w:val="Normal"/>
    <w:next w:val="Normal"/>
    <w:qFormat/>
    <w:rPr>
      <w:rFonts w:ascii="Arial" w:hAnsi="Arial"/>
      <w:b/>
      <w:sz w:val="28"/>
    </w:rPr>
  </w:style>
  <w:style w:type="paragraph" w:customStyle="1" w:styleId="ReportList">
    <w:name w:val="Report List"/>
    <w:basedOn w:val="ReportText"/>
    <w:qFormat/>
  </w:style>
  <w:style w:type="character" w:customStyle="1" w:styleId="a2">
    <w:name w:val="正文文本 字符"/>
    <w:basedOn w:val="DefaultParagraphFont"/>
    <w:link w:val="BodyText"/>
    <w:qFormat/>
    <w:rPr>
      <w:rFonts w:ascii="Times New Roman" w:eastAsia="PMingLiU" w:hAnsi="Times New Roman" w:cs="Times New Roman"/>
      <w:kern w:val="0"/>
      <w:sz w:val="22"/>
      <w:szCs w:val="20"/>
      <w:lang w:val="en-GB" w:eastAsia="en-US"/>
    </w:rPr>
  </w:style>
  <w:style w:type="paragraph" w:customStyle="1" w:styleId="Label">
    <w:name w:val="Label"/>
    <w:basedOn w:val="Normal"/>
    <w:next w:val="Normal"/>
    <w:qFormat/>
    <w:pPr>
      <w:spacing w:before="120"/>
    </w:pPr>
    <w:rPr>
      <w:rFonts w:ascii="Arial" w:hAnsi="Arial"/>
      <w:sz w:val="16"/>
    </w:rPr>
  </w:style>
  <w:style w:type="paragraph" w:customStyle="1" w:styleId="Headinginput">
    <w:name w:val="Heading input"/>
    <w:basedOn w:val="Normal"/>
    <w:next w:val="Normal"/>
    <w:qFormat/>
    <w:pPr>
      <w:spacing w:before="80"/>
    </w:pPr>
  </w:style>
  <w:style w:type="character" w:customStyle="1" w:styleId="HR-8">
    <w:name w:val="HR-8"/>
    <w:qFormat/>
    <w:rPr>
      <w:rFonts w:ascii="Arial" w:hAnsi="Arial"/>
      <w:sz w:val="16"/>
    </w:rPr>
  </w:style>
  <w:style w:type="paragraph" w:customStyle="1" w:styleId="Filename">
    <w:name w:val="Filename"/>
    <w:basedOn w:val="Footer"/>
    <w:qFormat/>
    <w:pPr>
      <w:spacing w:before="72"/>
    </w:pPr>
    <w:rPr>
      <w:caps/>
      <w:sz w:val="12"/>
    </w:rPr>
  </w:style>
  <w:style w:type="character" w:customStyle="1" w:styleId="a3">
    <w:name w:val="文档结构图 字符"/>
    <w:basedOn w:val="DefaultParagraphFont"/>
    <w:link w:val="DocumentMap"/>
    <w:semiHidden/>
    <w:qFormat/>
    <w:rPr>
      <w:rFonts w:ascii="Tahoma" w:eastAsia="PMingLiU" w:hAnsi="Tahoma" w:cs="Times New Roman"/>
      <w:kern w:val="0"/>
      <w:sz w:val="22"/>
      <w:szCs w:val="20"/>
      <w:shd w:val="clear" w:color="auto" w:fill="000080"/>
      <w:lang w:val="en-GB" w:eastAsia="en-US"/>
    </w:rPr>
  </w:style>
  <w:style w:type="paragraph" w:customStyle="1" w:styleId="ClauseNum1">
    <w:name w:val="ClauseNum 1"/>
    <w:basedOn w:val="Heading1"/>
    <w:qFormat/>
    <w:pPr>
      <w:keepNext/>
      <w:pageBreakBefore/>
    </w:pPr>
  </w:style>
  <w:style w:type="paragraph" w:customStyle="1" w:styleId="AppendixLetter">
    <w:name w:val="Appendix Letter"/>
    <w:basedOn w:val="HR-18"/>
    <w:next w:val="Normal"/>
    <w:qFormat/>
    <w:pPr>
      <w:numPr>
        <w:ilvl w:val="1"/>
        <w:numId w:val="15"/>
      </w:numPr>
      <w:tabs>
        <w:tab w:val="clear" w:pos="1080"/>
        <w:tab w:val="left" w:pos="1800"/>
      </w:tabs>
    </w:pPr>
    <w:rPr>
      <w:sz w:val="26"/>
    </w:rPr>
  </w:style>
  <w:style w:type="paragraph" w:customStyle="1" w:styleId="HR-18">
    <w:name w:val="HR-18"/>
    <w:basedOn w:val="Normal"/>
    <w:next w:val="Normal"/>
    <w:qFormat/>
    <w:rPr>
      <w:rFonts w:ascii="Arial" w:hAnsi="Arial"/>
      <w:sz w:val="36"/>
    </w:rPr>
  </w:style>
  <w:style w:type="paragraph" w:customStyle="1" w:styleId="AppendixLevel1">
    <w:name w:val="Appendix Level 1"/>
    <w:basedOn w:val="Normal"/>
    <w:next w:val="ReportText"/>
    <w:qFormat/>
    <w:pPr>
      <w:keepNext/>
      <w:tabs>
        <w:tab w:val="left" w:pos="1080"/>
      </w:tabs>
      <w:spacing w:before="240" w:after="138"/>
      <w:ind w:left="1080" w:hanging="1080"/>
      <w:outlineLvl w:val="1"/>
    </w:pPr>
    <w:rPr>
      <w:rFonts w:ascii="Arial" w:hAnsi="Arial"/>
      <w:b/>
      <w:caps/>
      <w:sz w:val="24"/>
    </w:rPr>
  </w:style>
  <w:style w:type="paragraph" w:customStyle="1" w:styleId="AppendixLevel2">
    <w:name w:val="Appendix Level 2"/>
    <w:basedOn w:val="AppendixLevel1"/>
    <w:next w:val="ReportText"/>
    <w:qFormat/>
    <w:pPr>
      <w:outlineLvl w:val="2"/>
    </w:pPr>
    <w:rPr>
      <w:caps w:val="0"/>
    </w:rPr>
  </w:style>
  <w:style w:type="paragraph" w:customStyle="1" w:styleId="AppendixLevel3">
    <w:name w:val="Appendix Level 3"/>
    <w:basedOn w:val="AppendixLevel1"/>
    <w:next w:val="ReportText"/>
    <w:qFormat/>
    <w:pPr>
      <w:spacing w:before="120"/>
      <w:outlineLvl w:val="3"/>
    </w:pPr>
    <w:rPr>
      <w:caps w:val="0"/>
      <w:sz w:val="20"/>
    </w:rPr>
  </w:style>
  <w:style w:type="paragraph" w:customStyle="1" w:styleId="AppendixLevel4">
    <w:name w:val="Appendix Level 4"/>
    <w:basedOn w:val="AppendixLevel3"/>
    <w:next w:val="ReportText"/>
    <w:qFormat/>
    <w:pPr>
      <w:outlineLvl w:val="4"/>
    </w:pPr>
  </w:style>
  <w:style w:type="paragraph" w:customStyle="1" w:styleId="AppendixTitle">
    <w:name w:val="Appendix Title"/>
    <w:basedOn w:val="HR-18"/>
    <w:next w:val="Normal"/>
    <w:qFormat/>
    <w:pPr>
      <w:outlineLvl w:val="0"/>
    </w:pPr>
    <w:rPr>
      <w:b/>
      <w:sz w:val="26"/>
    </w:rPr>
  </w:style>
  <w:style w:type="paragraph" w:customStyle="1" w:styleId="ClauseNum2">
    <w:name w:val="ClauseNum 2"/>
    <w:basedOn w:val="Heading2"/>
    <w:qFormat/>
    <w:pPr>
      <w:keepNext/>
    </w:pPr>
  </w:style>
  <w:style w:type="paragraph" w:customStyle="1" w:styleId="ClauseNum3">
    <w:name w:val="ClauseNum 3"/>
    <w:basedOn w:val="Heading3"/>
    <w:qFormat/>
  </w:style>
  <w:style w:type="paragraph" w:customStyle="1" w:styleId="ClauseNum4">
    <w:name w:val="ClauseNum 4"/>
    <w:basedOn w:val="Heading4"/>
    <w:qFormat/>
  </w:style>
  <w:style w:type="paragraph" w:customStyle="1" w:styleId="ReportExecSummary">
    <w:name w:val="Report Exec Summary"/>
    <w:basedOn w:val="ReportLevel1"/>
    <w:next w:val="Normal"/>
    <w:qFormat/>
    <w:pPr>
      <w:tabs>
        <w:tab w:val="clear" w:pos="1077"/>
        <w:tab w:val="left" w:pos="1080"/>
      </w:tabs>
      <w:spacing w:after="138"/>
      <w:outlineLvl w:val="9"/>
    </w:pPr>
    <w:rPr>
      <w:rFonts w:eastAsia="PMingLiU"/>
    </w:rPr>
  </w:style>
  <w:style w:type="paragraph" w:customStyle="1" w:styleId="ReportExecSummaryText">
    <w:name w:val="Report Exec Summary Text"/>
    <w:basedOn w:val="ReportText"/>
    <w:qFormat/>
    <w:pPr>
      <w:ind w:left="0"/>
      <w:jc w:val="left"/>
    </w:pPr>
  </w:style>
  <w:style w:type="paragraph" w:customStyle="1" w:styleId="ReportReference">
    <w:name w:val="Report Reference"/>
    <w:basedOn w:val="Normal"/>
    <w:qFormat/>
    <w:pPr>
      <w:numPr>
        <w:numId w:val="16"/>
      </w:numPr>
      <w:tabs>
        <w:tab w:val="left" w:pos="1080"/>
        <w:tab w:val="clear" w:pos="2736"/>
      </w:tabs>
      <w:spacing w:before="240"/>
      <w:ind w:left="1080" w:hanging="1080"/>
    </w:pPr>
  </w:style>
  <w:style w:type="character" w:customStyle="1" w:styleId="a4">
    <w:name w:val="日期 字符"/>
    <w:basedOn w:val="DefaultParagraphFont"/>
    <w:link w:val="Date"/>
    <w:qFormat/>
    <w:rPr>
      <w:rFonts w:ascii="Times New Roman" w:eastAsia="金梅簡中明" w:hAnsi="Times New Roman" w:cs="Times New Roman"/>
      <w:kern w:val="0"/>
      <w:sz w:val="24"/>
      <w:szCs w:val="20"/>
      <w:lang w:val="en-GB" w:eastAsia="zh-TW"/>
    </w:rPr>
  </w:style>
  <w:style w:type="character" w:customStyle="1" w:styleId="a5">
    <w:name w:val="正文文本缩进 字符"/>
    <w:basedOn w:val="DefaultParagraphFont"/>
    <w:link w:val="BodyTextIndent"/>
    <w:qFormat/>
    <w:rPr>
      <w:rFonts w:ascii="Times New Roman" w:eastAsia="金梅簡中明" w:hAnsi="Times New Roman" w:cs="Times New Roman"/>
      <w:kern w:val="0"/>
      <w:sz w:val="24"/>
      <w:szCs w:val="20"/>
      <w:lang w:val="en-GB" w:eastAsia="zh-TW"/>
    </w:rPr>
  </w:style>
  <w:style w:type="character" w:customStyle="1" w:styleId="21">
    <w:name w:val="正文文本 2 字符"/>
    <w:basedOn w:val="DefaultParagraphFont"/>
    <w:link w:val="BodyText2"/>
    <w:qFormat/>
    <w:rPr>
      <w:rFonts w:ascii="金梅簡中明" w:eastAsia="金梅簡中明" w:hAnsi="Times New Roman" w:cs="Times New Roman"/>
      <w:b/>
      <w:sz w:val="24"/>
      <w:szCs w:val="20"/>
      <w:lang w:eastAsia="zh-TW"/>
    </w:rPr>
  </w:style>
  <w:style w:type="paragraph" w:customStyle="1" w:styleId="level3">
    <w:name w:val="level 3"/>
    <w:basedOn w:val="Normal"/>
    <w:qFormat/>
    <w:pPr>
      <w:widowControl w:val="0"/>
      <w:tabs>
        <w:tab w:val="left" w:pos="1080"/>
      </w:tabs>
      <w:autoSpaceDE w:val="0"/>
      <w:autoSpaceDN w:val="0"/>
      <w:adjustRightInd w:val="0"/>
      <w:spacing w:line="360" w:lineRule="auto"/>
    </w:pPr>
    <w:rPr>
      <w:rFonts w:eastAsia="宋体" w:cs="Arial"/>
      <w:sz w:val="24"/>
      <w:szCs w:val="24"/>
      <w:lang w:val="en-US" w:eastAsia="zh-CN"/>
    </w:rPr>
  </w:style>
  <w:style w:type="paragraph" w:customStyle="1" w:styleId="level1">
    <w:name w:val="level 1"/>
    <w:basedOn w:val="Normal"/>
    <w:qFormat/>
    <w:pPr>
      <w:widowControl w:val="0"/>
      <w:tabs>
        <w:tab w:val="left" w:pos="1080"/>
      </w:tabs>
      <w:autoSpaceDE w:val="0"/>
      <w:autoSpaceDN w:val="0"/>
      <w:adjustRightInd w:val="0"/>
      <w:spacing w:line="360" w:lineRule="auto"/>
    </w:pPr>
    <w:rPr>
      <w:rFonts w:eastAsia="宋体" w:cs="Arial"/>
      <w:sz w:val="24"/>
      <w:szCs w:val="24"/>
      <w:lang w:val="en-US" w:eastAsia="zh-CN"/>
    </w:rPr>
  </w:style>
  <w:style w:type="character" w:customStyle="1" w:styleId="HTML">
    <w:name w:val="HTML 地址 字符"/>
    <w:basedOn w:val="DefaultParagraphFont"/>
    <w:link w:val="HTMLAddress"/>
    <w:qFormat/>
    <w:rPr>
      <w:rFonts w:ascii="Times New Roman" w:eastAsia="PMingLiU" w:hAnsi="Times New Roman" w:cs="Times New Roman"/>
      <w:i/>
      <w:iCs/>
      <w:kern w:val="0"/>
      <w:sz w:val="22"/>
      <w:szCs w:val="20"/>
      <w:lang w:val="en-GB" w:eastAsia="en-US"/>
    </w:rPr>
  </w:style>
  <w:style w:type="character" w:customStyle="1" w:styleId="HTML0">
    <w:name w:val="HTML 预设格式 字符"/>
    <w:basedOn w:val="DefaultParagraphFont"/>
    <w:link w:val="HTMLPreformatted"/>
    <w:qFormat/>
    <w:rPr>
      <w:rFonts w:ascii="Courier New" w:eastAsia="PMingLiU" w:hAnsi="Courier New" w:cs="Courier New"/>
      <w:kern w:val="0"/>
      <w:sz w:val="20"/>
      <w:szCs w:val="20"/>
      <w:lang w:val="en-GB" w:eastAsia="en-US"/>
    </w:rPr>
  </w:style>
  <w:style w:type="character" w:customStyle="1" w:styleId="a6">
    <w:name w:val="纯文本 字符"/>
    <w:basedOn w:val="DefaultParagraphFont"/>
    <w:link w:val="PlainText"/>
    <w:qFormat/>
    <w:rPr>
      <w:rFonts w:ascii="Courier New" w:eastAsia="PMingLiU" w:hAnsi="Courier New" w:cs="Courier New"/>
      <w:kern w:val="0"/>
      <w:sz w:val="20"/>
      <w:szCs w:val="20"/>
      <w:lang w:val="en-GB" w:eastAsia="en-US"/>
    </w:rPr>
  </w:style>
  <w:style w:type="character" w:customStyle="1" w:styleId="a7">
    <w:name w:val="副标题 字符"/>
    <w:basedOn w:val="DefaultParagraphFont"/>
    <w:link w:val="Subtitle"/>
    <w:qFormat/>
    <w:rPr>
      <w:rFonts w:ascii="Arial" w:eastAsia="PMingLiU" w:hAnsi="Arial" w:cs="Arial"/>
      <w:kern w:val="0"/>
      <w:sz w:val="24"/>
      <w:szCs w:val="24"/>
      <w:lang w:val="en-GB" w:eastAsia="en-US"/>
    </w:rPr>
  </w:style>
  <w:style w:type="character" w:customStyle="1" w:styleId="a8">
    <w:name w:val="称呼 字符"/>
    <w:basedOn w:val="DefaultParagraphFont"/>
    <w:link w:val="Salutation"/>
    <w:qFormat/>
    <w:rPr>
      <w:rFonts w:ascii="Times New Roman" w:eastAsia="PMingLiU" w:hAnsi="Times New Roman" w:cs="Times New Roman"/>
      <w:kern w:val="0"/>
      <w:sz w:val="22"/>
      <w:szCs w:val="20"/>
      <w:lang w:val="en-GB" w:eastAsia="en-US"/>
    </w:rPr>
  </w:style>
  <w:style w:type="character" w:customStyle="1" w:styleId="a9">
    <w:name w:val="宏文本 字符"/>
    <w:basedOn w:val="DefaultParagraphFont"/>
    <w:link w:val="Macro"/>
    <w:semiHidden/>
    <w:qFormat/>
    <w:rPr>
      <w:rFonts w:ascii="Courier New" w:eastAsia="PMingLiU" w:hAnsi="Courier New" w:cs="Courier New"/>
      <w:kern w:val="0"/>
      <w:sz w:val="20"/>
      <w:szCs w:val="20"/>
      <w:lang w:val="en-GB" w:eastAsia="en-US"/>
    </w:rPr>
  </w:style>
  <w:style w:type="character" w:customStyle="1" w:styleId="a10">
    <w:name w:val="正文首行缩进 字符"/>
    <w:basedOn w:val="a2"/>
    <w:link w:val="BodyTextFirstIndent"/>
    <w:qFormat/>
    <w:rPr>
      <w:rFonts w:ascii="Times New Roman" w:eastAsia="PMingLiU" w:hAnsi="Times New Roman" w:cs="Times New Roman"/>
      <w:kern w:val="0"/>
      <w:sz w:val="22"/>
      <w:szCs w:val="20"/>
      <w:lang w:val="en-GB" w:eastAsia="en-US"/>
    </w:rPr>
  </w:style>
  <w:style w:type="character" w:customStyle="1" w:styleId="22">
    <w:name w:val="正文首行缩进 2 字符"/>
    <w:basedOn w:val="a5"/>
    <w:link w:val="BodyTextFirstIndent2"/>
    <w:qFormat/>
    <w:rPr>
      <w:rFonts w:ascii="Times New Roman" w:eastAsia="PMingLiU" w:hAnsi="Times New Roman" w:cs="Times New Roman"/>
      <w:kern w:val="0"/>
      <w:sz w:val="22"/>
      <w:szCs w:val="20"/>
      <w:lang w:val="en-GB" w:eastAsia="en-US"/>
    </w:rPr>
  </w:style>
  <w:style w:type="character" w:customStyle="1" w:styleId="a11">
    <w:name w:val="标题 字符"/>
    <w:basedOn w:val="DefaultParagraphFont"/>
    <w:link w:val="Title"/>
    <w:qFormat/>
    <w:rPr>
      <w:rFonts w:ascii="Arial" w:eastAsia="PMingLiU" w:hAnsi="Arial" w:cs="Arial"/>
      <w:b/>
      <w:bCs/>
      <w:kern w:val="28"/>
      <w:sz w:val="32"/>
      <w:szCs w:val="32"/>
      <w:lang w:val="en-GB" w:eastAsia="en-US"/>
    </w:rPr>
  </w:style>
  <w:style w:type="character" w:customStyle="1" w:styleId="a12">
    <w:name w:val="尾注文本 字符"/>
    <w:basedOn w:val="DefaultParagraphFont"/>
    <w:link w:val="EndnoteText"/>
    <w:semiHidden/>
    <w:qFormat/>
    <w:rPr>
      <w:rFonts w:ascii="Times New Roman" w:eastAsia="PMingLiU" w:hAnsi="Times New Roman" w:cs="Times New Roman"/>
      <w:kern w:val="0"/>
      <w:sz w:val="20"/>
      <w:szCs w:val="20"/>
      <w:lang w:val="en-GB" w:eastAsia="en-US"/>
    </w:rPr>
  </w:style>
  <w:style w:type="character" w:customStyle="1" w:styleId="a13">
    <w:name w:val="签名 字符"/>
    <w:basedOn w:val="DefaultParagraphFont"/>
    <w:link w:val="Signature"/>
    <w:qFormat/>
    <w:rPr>
      <w:rFonts w:ascii="Times New Roman" w:eastAsia="PMingLiU" w:hAnsi="Times New Roman" w:cs="Times New Roman"/>
      <w:kern w:val="0"/>
      <w:sz w:val="22"/>
      <w:szCs w:val="20"/>
      <w:lang w:val="en-GB" w:eastAsia="en-US"/>
    </w:rPr>
  </w:style>
  <w:style w:type="character" w:customStyle="1" w:styleId="a14">
    <w:name w:val="结束语 字符"/>
    <w:basedOn w:val="DefaultParagraphFont"/>
    <w:link w:val="Closing"/>
    <w:qFormat/>
    <w:rPr>
      <w:rFonts w:ascii="Times New Roman" w:eastAsia="PMingLiU" w:hAnsi="Times New Roman" w:cs="Times New Roman"/>
      <w:kern w:val="0"/>
      <w:sz w:val="22"/>
      <w:szCs w:val="20"/>
      <w:lang w:val="en-GB" w:eastAsia="en-US"/>
    </w:rPr>
  </w:style>
  <w:style w:type="character" w:customStyle="1" w:styleId="a15">
    <w:name w:val="信息标题 字符"/>
    <w:basedOn w:val="DefaultParagraphFont"/>
    <w:link w:val="MessageHeader"/>
    <w:qFormat/>
    <w:rPr>
      <w:rFonts w:ascii="Arial" w:eastAsia="PMingLiU" w:hAnsi="Arial" w:cs="Arial"/>
      <w:kern w:val="0"/>
      <w:sz w:val="24"/>
      <w:szCs w:val="24"/>
      <w:shd w:val="pct20" w:color="auto" w:fill="auto"/>
      <w:lang w:val="en-GB" w:eastAsia="en-US"/>
    </w:rPr>
  </w:style>
  <w:style w:type="character" w:customStyle="1" w:styleId="a16">
    <w:name w:val="脚注文本 字符"/>
    <w:basedOn w:val="DefaultParagraphFont"/>
    <w:link w:val="FootnoteText"/>
    <w:semiHidden/>
    <w:qFormat/>
    <w:rPr>
      <w:rFonts w:ascii="Times New Roman" w:eastAsia="PMingLiU" w:hAnsi="Times New Roman" w:cs="Times New Roman"/>
      <w:kern w:val="0"/>
      <w:sz w:val="20"/>
      <w:szCs w:val="20"/>
      <w:lang w:val="en-GB" w:eastAsia="en-US"/>
    </w:rPr>
  </w:style>
  <w:style w:type="character" w:customStyle="1" w:styleId="a17">
    <w:name w:val="注释标题 字符"/>
    <w:basedOn w:val="DefaultParagraphFont"/>
    <w:link w:val="NoteHeading"/>
    <w:qFormat/>
    <w:rPr>
      <w:rFonts w:ascii="Times New Roman" w:eastAsia="PMingLiU" w:hAnsi="Times New Roman" w:cs="Times New Roman"/>
      <w:kern w:val="0"/>
      <w:sz w:val="22"/>
      <w:szCs w:val="20"/>
      <w:lang w:val="en-GB" w:eastAsia="en-US"/>
    </w:rPr>
  </w:style>
  <w:style w:type="character" w:customStyle="1" w:styleId="a18">
    <w:name w:val="电子邮件签名 字符"/>
    <w:basedOn w:val="DefaultParagraphFont"/>
    <w:link w:val="E-mailSignature"/>
    <w:qFormat/>
    <w:rPr>
      <w:rFonts w:ascii="Times New Roman" w:eastAsia="PMingLiU" w:hAnsi="Times New Roman" w:cs="Times New Roman"/>
      <w:kern w:val="0"/>
      <w:sz w:val="22"/>
      <w:szCs w:val="20"/>
      <w:lang w:val="en-GB" w:eastAsia="en-US"/>
    </w:rPr>
  </w:style>
  <w:style w:type="paragraph" w:customStyle="1" w:styleId="BalloonText1">
    <w:name w:val="Balloon Text1"/>
    <w:basedOn w:val="Normal"/>
    <w:semiHidden/>
    <w:qFormat/>
    <w:rPr>
      <w:rFonts w:ascii="Tahoma" w:hAnsi="Tahoma" w:cs="Tahoma"/>
      <w:sz w:val="16"/>
      <w:szCs w:val="16"/>
    </w:rPr>
  </w:style>
  <w:style w:type="paragraph" w:styleId="ListParagraph">
    <w:name w:val="List Paragraph"/>
    <w:basedOn w:val="Normal"/>
    <w:uiPriority w:val="34"/>
    <w:qFormat/>
    <w:pPr>
      <w:ind w:left="420"/>
    </w:pPr>
  </w:style>
  <w:style w:type="paragraph" w:customStyle="1" w:styleId="level2">
    <w:name w:val="level 2"/>
    <w:basedOn w:val="Normal"/>
    <w:qFormat/>
    <w:pPr>
      <w:tabs>
        <w:tab w:val="left" w:pos="240"/>
        <w:tab w:val="left" w:pos="1140"/>
        <w:tab w:val="left" w:pos="1620"/>
      </w:tabs>
      <w:jc w:val="both"/>
    </w:pPr>
    <w:rPr>
      <w:sz w:val="24"/>
      <w:lang w:val="en-US" w:eastAsia="zh-TW"/>
    </w:rPr>
  </w:style>
  <w:style w:type="paragraph" w:customStyle="1" w:styleId="Level20">
    <w:name w:val="Level 2"/>
    <w:basedOn w:val="Normal"/>
    <w:qFormat/>
    <w:pPr>
      <w:numPr>
        <w:ilvl w:val="3"/>
        <w:numId w:val="17"/>
      </w:numPr>
      <w:tabs>
        <w:tab w:val="left" w:pos="1080"/>
        <w:tab w:val="clear" w:pos="2016"/>
      </w:tabs>
      <w:spacing w:line="360" w:lineRule="auto"/>
      <w:ind w:left="1080" w:hanging="1080"/>
      <w:jc w:val="both"/>
    </w:pPr>
    <w:rPr>
      <w:rFonts w:eastAsia="宋体"/>
      <w:sz w:val="24"/>
    </w:rPr>
  </w:style>
  <w:style w:type="paragraph" w:customStyle="1" w:styleId="Level4">
    <w:name w:val="Level 4"/>
    <w:basedOn w:val="Normal"/>
    <w:qFormat/>
    <w:pPr>
      <w:tabs>
        <w:tab w:val="left" w:pos="2016"/>
      </w:tabs>
      <w:ind w:left="2016" w:hanging="936"/>
    </w:pPr>
  </w:style>
  <w:style w:type="paragraph" w:customStyle="1" w:styleId="AB-13">
    <w:name w:val="AB-13"/>
    <w:basedOn w:val="HR-13"/>
    <w:qFormat/>
    <w:pPr>
      <w:tabs>
        <w:tab w:val="left" w:pos="1080"/>
      </w:tabs>
      <w:spacing w:line="360" w:lineRule="auto"/>
    </w:pPr>
    <w:rPr>
      <w:rFonts w:eastAsia="宋体"/>
      <w:b/>
      <w:bCs/>
    </w:rPr>
  </w:style>
  <w:style w:type="paragraph" w:customStyle="1" w:styleId="ReportTable">
    <w:name w:val="Report Table"/>
    <w:basedOn w:val="ReportText"/>
    <w:qFormat/>
    <w:pPr>
      <w:tabs>
        <w:tab w:val="left" w:pos="1080"/>
      </w:tabs>
      <w:spacing w:before="60" w:after="60" w:line="360" w:lineRule="auto"/>
      <w:ind w:left="0"/>
      <w:jc w:val="left"/>
    </w:pPr>
    <w:rPr>
      <w:sz w:val="20"/>
    </w:rPr>
  </w:style>
  <w:style w:type="paragraph" w:customStyle="1" w:styleId="AppendixHeading">
    <w:name w:val="Appendix Heading"/>
    <w:basedOn w:val="ReportHeading"/>
    <w:next w:val="ReportText"/>
    <w:qFormat/>
    <w:pPr>
      <w:keepNext/>
      <w:tabs>
        <w:tab w:val="left" w:pos="1080"/>
        <w:tab w:val="clear" w:pos="2160"/>
      </w:tabs>
      <w:spacing w:line="360" w:lineRule="auto"/>
      <w:ind w:left="1080" w:firstLine="0"/>
    </w:pPr>
    <w:rPr>
      <w:rFonts w:eastAsia="宋体" w:cs="Arial"/>
      <w:sz w:val="24"/>
    </w:rPr>
  </w:style>
  <w:style w:type="paragraph" w:customStyle="1" w:styleId="Level10">
    <w:name w:val="Level 1"/>
    <w:basedOn w:val="Normal"/>
    <w:qFormat/>
    <w:pPr>
      <w:numPr>
        <w:ilvl w:val="2"/>
        <w:numId w:val="18"/>
      </w:numPr>
      <w:tabs>
        <w:tab w:val="left" w:pos="1440"/>
        <w:tab w:val="clear" w:pos="2167"/>
      </w:tabs>
      <w:ind w:left="1440"/>
    </w:pPr>
  </w:style>
  <w:style w:type="paragraph" w:customStyle="1" w:styleId="Level30">
    <w:name w:val="Level 3"/>
    <w:basedOn w:val="Normal"/>
    <w:qFormat/>
    <w:pPr>
      <w:tabs>
        <w:tab w:val="left" w:pos="2167"/>
      </w:tabs>
      <w:ind w:left="2167" w:hanging="360"/>
    </w:pPr>
  </w:style>
  <w:style w:type="paragraph" w:customStyle="1" w:styleId="P1">
    <w:name w:val="P1"/>
    <w:qFormat/>
    <w:pPr>
      <w:widowControl w:val="0"/>
      <w:adjustRightInd w:val="0"/>
      <w:spacing w:after="240" w:line="0" w:lineRule="atLeast"/>
      <w:ind w:left="2304" w:hanging="576"/>
      <w:jc w:val="both"/>
      <w:textAlignment w:val="baseline"/>
    </w:pPr>
    <w:rPr>
      <w:rFonts w:eastAsia="全真中明體"/>
      <w:spacing w:val="30"/>
      <w:sz w:val="24"/>
      <w:lang w:val="en-GB" w:eastAsia="zh-TW"/>
    </w:rPr>
  </w:style>
  <w:style w:type="character" w:customStyle="1" w:styleId="a19">
    <w:name w:val="批注框文本 字符"/>
    <w:basedOn w:val="DefaultParagraphFont"/>
    <w:link w:val="BalloonText"/>
    <w:qFormat/>
    <w:rPr>
      <w:rFonts w:ascii="宋体" w:eastAsia="宋体" w:hAnsi="Times New Roman" w:cs="Times New Roman"/>
      <w:kern w:val="0"/>
      <w:sz w:val="18"/>
      <w:szCs w:val="18"/>
      <w:lang w:val="en-GB" w:eastAsia="en-US"/>
    </w:rPr>
  </w:style>
  <w:style w:type="paragraph" w:customStyle="1" w:styleId="H1">
    <w:name w:val="H1"/>
    <w:qFormat/>
    <w:pPr>
      <w:widowControl w:val="0"/>
      <w:adjustRightInd w:val="0"/>
      <w:spacing w:after="240"/>
      <w:textAlignment w:val="baseline"/>
    </w:pPr>
    <w:rPr>
      <w:rFonts w:eastAsia="全真中明體"/>
      <w:b/>
      <w:caps/>
      <w:spacing w:val="30"/>
      <w:sz w:val="24"/>
      <w:lang w:val="en-GB" w:eastAsia="zh-TW"/>
    </w:rPr>
  </w:style>
  <w:style w:type="paragraph" w:customStyle="1" w:styleId="P3">
    <w:name w:val="P3"/>
    <w:qFormat/>
    <w:pPr>
      <w:widowControl w:val="0"/>
      <w:adjustRightInd w:val="0"/>
      <w:spacing w:after="240"/>
      <w:ind w:left="2880" w:hanging="576"/>
      <w:jc w:val="both"/>
      <w:textAlignment w:val="baseline"/>
    </w:pPr>
    <w:rPr>
      <w:rFonts w:eastAsia="全真中明體"/>
      <w:spacing w:val="30"/>
      <w:sz w:val="24"/>
      <w:lang w:val="en-GB" w:eastAsia="zh-TW"/>
    </w:rPr>
  </w:style>
  <w:style w:type="paragraph" w:customStyle="1" w:styleId="P5">
    <w:name w:val="P5"/>
    <w:qFormat/>
    <w:pPr>
      <w:widowControl w:val="0"/>
      <w:adjustRightInd w:val="0"/>
      <w:spacing w:after="240"/>
      <w:ind w:left="2304"/>
      <w:jc w:val="both"/>
      <w:textAlignment w:val="baseline"/>
    </w:pPr>
    <w:rPr>
      <w:rFonts w:ascii="全真中明體" w:eastAsia="全真中明體"/>
      <w:spacing w:val="30"/>
      <w:sz w:val="24"/>
      <w:lang w:val="en-GB" w:eastAsia="zh-TW"/>
    </w:rPr>
  </w:style>
  <w:style w:type="paragraph" w:customStyle="1" w:styleId="P6">
    <w:name w:val="P6"/>
    <w:qFormat/>
    <w:pPr>
      <w:widowControl w:val="0"/>
      <w:adjustRightInd w:val="0"/>
      <w:spacing w:after="240"/>
      <w:ind w:left="3456" w:hanging="576"/>
      <w:jc w:val="both"/>
      <w:textAlignment w:val="baseline"/>
    </w:pPr>
    <w:rPr>
      <w:rFonts w:eastAsia="全真中明體"/>
      <w:spacing w:val="30"/>
      <w:sz w:val="24"/>
      <w:lang w:val="en-GB" w:eastAsia="zh-TW"/>
    </w:rPr>
  </w:style>
  <w:style w:type="paragraph" w:customStyle="1" w:styleId="P2">
    <w:name w:val="P2"/>
    <w:qFormat/>
    <w:pPr>
      <w:widowControl w:val="0"/>
      <w:adjustRightInd w:val="0"/>
      <w:spacing w:after="240"/>
      <w:ind w:left="1728"/>
      <w:jc w:val="both"/>
      <w:textAlignment w:val="baseline"/>
    </w:pPr>
    <w:rPr>
      <w:rFonts w:eastAsia="全真中明體"/>
      <w:spacing w:val="30"/>
      <w:sz w:val="24"/>
      <w:lang w:val="en-GB" w:eastAsia="zh-TW"/>
    </w:rPr>
  </w:style>
  <w:style w:type="paragraph" w:customStyle="1" w:styleId="11">
    <w:name w:val="样式1"/>
    <w:basedOn w:val="Normal"/>
    <w:qFormat/>
    <w:pPr>
      <w:widowControl w:val="0"/>
      <w:spacing w:line="500" w:lineRule="exact"/>
      <w:ind w:left="250" w:hanging="250" w:hangingChars="250"/>
      <w:jc w:val="both"/>
    </w:pPr>
    <w:rPr>
      <w:rFonts w:eastAsia="宋体"/>
      <w:kern w:val="2"/>
      <w:sz w:val="24"/>
      <w:szCs w:val="24"/>
      <w:lang w:val="en-US" w:eastAsia="zh-CN"/>
    </w:rPr>
  </w:style>
  <w:style w:type="paragraph" w:customStyle="1" w:styleId="12">
    <w:name w:val="样式 1"/>
    <w:basedOn w:val="Heading1"/>
    <w:qFormat/>
    <w:pPr>
      <w:keepNext/>
      <w:widowControl w:val="0"/>
      <w:numPr>
        <w:numId w:val="0"/>
      </w:numPr>
      <w:spacing w:line="480" w:lineRule="exact"/>
      <w:jc w:val="both"/>
    </w:pPr>
    <w:rPr>
      <w:rFonts w:cs="Times New Roman"/>
      <w:b w:val="0"/>
      <w:caps w:val="0"/>
      <w:kern w:val="2"/>
      <w:szCs w:val="24"/>
      <w:lang w:val="en-US" w:eastAsia="zh-CN"/>
    </w:rPr>
  </w:style>
  <w:style w:type="paragraph" w:customStyle="1" w:styleId="a20">
    <w:name w:val="正文表标题"/>
    <w:next w:val="Normal"/>
    <w:qFormat/>
    <w:pPr>
      <w:tabs>
        <w:tab w:val="left" w:pos="360"/>
      </w:tabs>
      <w:ind w:left="360" w:hanging="360"/>
      <w:jc w:val="center"/>
    </w:pPr>
    <w:rPr>
      <w:rFonts w:ascii="黑体" w:eastAsia="黑体"/>
      <w:sz w:val="21"/>
      <w:szCs w:val="21"/>
    </w:rPr>
  </w:style>
  <w:style w:type="paragraph" w:customStyle="1" w:styleId="Spec3-Points">
    <w:name w:val="(Spec) 3-Points"/>
    <w:qFormat/>
    <w:pPr>
      <w:widowControl w:val="0"/>
      <w:numPr>
        <w:ilvl w:val="3"/>
        <w:numId w:val="19"/>
      </w:numPr>
      <w:spacing w:after="120"/>
      <w:jc w:val="both"/>
    </w:pPr>
    <w:rPr>
      <w:rFonts w:ascii="Arial" w:hAnsi="Arial" w:cs="Arial"/>
      <w:kern w:val="2"/>
      <w:sz w:val="22"/>
      <w:szCs w:val="22"/>
    </w:rPr>
  </w:style>
  <w:style w:type="paragraph" w:customStyle="1" w:styleId="Spec1-StyleHeading">
    <w:name w:val="(Spec) 1-Style Heading"/>
    <w:next w:val="Normal"/>
    <w:qFormat/>
    <w:pPr>
      <w:tabs>
        <w:tab w:val="left" w:pos="1701"/>
      </w:tabs>
      <w:spacing w:before="480" w:line="480" w:lineRule="auto"/>
      <w:ind w:left="1701" w:hanging="1701"/>
      <w:jc w:val="both"/>
    </w:pPr>
    <w:rPr>
      <w:rFonts w:ascii="Arial" w:hAnsi="Arial" w:cs="Arial"/>
      <w:b/>
      <w:bCs/>
      <w:kern w:val="52"/>
      <w:sz w:val="28"/>
      <w:szCs w:val="28"/>
      <w:lang w:eastAsia="zh-TW"/>
      <w14:shadow w14:blurRad="50800" w14:dist="38100" w14:dir="2700000" w14:sx="100000" w14:sy="100000" w14:kx="0" w14:ky="0" w14:algn="tl">
        <w14:srgbClr w14:val="000000">
          <w14:alpha w14:val="60000"/>
        </w14:srgbClr>
      </w14:shadow>
    </w:rPr>
  </w:style>
  <w:style w:type="paragraph" w:customStyle="1" w:styleId="Spec4-Points">
    <w:name w:val="(Spec) 4-Points"/>
    <w:qFormat/>
    <w:pPr>
      <w:widowControl w:val="0"/>
      <w:adjustRightInd w:val="0"/>
      <w:snapToGrid w:val="0"/>
      <w:spacing w:before="120" w:after="120"/>
      <w:jc w:val="both"/>
    </w:pPr>
    <w:rPr>
      <w:rFonts w:ascii="Arial" w:hAnsi="Arial"/>
      <w:kern w:val="2"/>
      <w:sz w:val="22"/>
      <w:szCs w:val="22"/>
    </w:rPr>
  </w:style>
  <w:style w:type="paragraph" w:customStyle="1" w:styleId="Spec2-Nos">
    <w:name w:val="(Spec) 2-Nos"/>
    <w:qFormat/>
    <w:pPr>
      <w:numPr>
        <w:ilvl w:val="2"/>
        <w:numId w:val="19"/>
      </w:numPr>
      <w:tabs>
        <w:tab w:val="left" w:pos="567"/>
        <w:tab w:val="clear" w:pos="1134"/>
      </w:tabs>
      <w:spacing w:after="240"/>
      <w:ind w:left="567" w:hanging="567"/>
      <w:jc w:val="both"/>
    </w:pPr>
    <w:rPr>
      <w:rFonts w:ascii="Arial" w:hAnsi="Arial" w:cs="Arial"/>
      <w:sz w:val="22"/>
      <w:szCs w:val="22"/>
    </w:rPr>
  </w:style>
  <w:style w:type="paragraph" w:customStyle="1" w:styleId="Spec3-Nos">
    <w:name w:val="(Spec) 3-Nos"/>
    <w:basedOn w:val="Normal"/>
    <w:qFormat/>
    <w:pPr>
      <w:widowControl w:val="0"/>
      <w:tabs>
        <w:tab w:val="left" w:pos="1134"/>
      </w:tabs>
      <w:ind w:left="1134" w:hanging="680"/>
    </w:pPr>
    <w:rPr>
      <w:kern w:val="2"/>
      <w:sz w:val="24"/>
      <w:lang w:val="en-US" w:eastAsia="zh-TW"/>
    </w:rPr>
  </w:style>
  <w:style w:type="paragraph" w:customStyle="1" w:styleId="SpecOthers">
    <w:name w:val="(Spec) Others"/>
    <w:link w:val="SpecOthersChar"/>
    <w:qFormat/>
    <w:pPr>
      <w:widowControl w:val="0"/>
      <w:spacing w:after="120"/>
      <w:ind w:left="851"/>
      <w:jc w:val="both"/>
    </w:pPr>
    <w:rPr>
      <w:rFonts w:ascii="Arial" w:hAnsi="Arial"/>
      <w:kern w:val="2"/>
      <w:sz w:val="22"/>
      <w:szCs w:val="28"/>
    </w:rPr>
  </w:style>
  <w:style w:type="character" w:customStyle="1" w:styleId="SpecOthersChar">
    <w:name w:val="(Spec) Others Char"/>
    <w:link w:val="SpecOthers"/>
    <w:qFormat/>
    <w:rPr>
      <w:rFonts w:ascii="Arial" w:eastAsia="宋体" w:hAnsi="Arial" w:cs="Times New Roman"/>
      <w:sz w:val="22"/>
      <w:szCs w:val="28"/>
    </w:rPr>
  </w:style>
  <w:style w:type="paragraph" w:customStyle="1" w:styleId="Spec6-Subicons">
    <w:name w:val="(Spec) 6-Sub.icons"/>
    <w:basedOn w:val="Normal"/>
    <w:link w:val="Spec6-SubiconsChar"/>
    <w:semiHidden/>
    <w:qFormat/>
    <w:pPr>
      <w:widowControl w:val="0"/>
      <w:numPr>
        <w:numId w:val="20"/>
      </w:numPr>
      <w:tabs>
        <w:tab w:val="left" w:pos="522"/>
        <w:tab w:val="left" w:pos="1418"/>
        <w:tab w:val="left" w:pos="2340"/>
        <w:tab w:val="clear" w:pos="2790"/>
        <w:tab w:val="left" w:pos="5640"/>
      </w:tabs>
      <w:adjustRightInd w:val="0"/>
      <w:snapToGrid w:val="0"/>
      <w:ind w:left="2340" w:hanging="450"/>
    </w:pPr>
    <w:rPr>
      <w:rFonts w:ascii="Arial" w:eastAsia="宋体" w:hAnsi="Arial"/>
      <w:kern w:val="2"/>
      <w:sz w:val="24"/>
      <w:szCs w:val="24"/>
      <w:lang w:val="en-US" w:eastAsia="zh-CN"/>
    </w:rPr>
  </w:style>
  <w:style w:type="character" w:customStyle="1" w:styleId="Spec6-SubiconsChar">
    <w:name w:val="(Spec) 6-Sub.icons Char"/>
    <w:link w:val="Spec6-Subicons"/>
    <w:semiHidden/>
    <w:qFormat/>
    <w:rPr>
      <w:rFonts w:ascii="Arial" w:hAnsi="Arial"/>
      <w:kern w:val="2"/>
      <w:sz w:val="24"/>
      <w:szCs w:val="24"/>
    </w:rPr>
  </w:style>
  <w:style w:type="paragraph" w:customStyle="1" w:styleId="Spec8-Normal">
    <w:name w:val="(Spec) 8-Normal"/>
    <w:link w:val="Spec8-Normal0"/>
    <w:semiHidden/>
    <w:qFormat/>
    <w:pPr>
      <w:numPr>
        <w:ilvl w:val="1"/>
        <w:numId w:val="21"/>
      </w:numPr>
      <w:tabs>
        <w:tab w:val="left" w:pos="1620"/>
      </w:tabs>
      <w:spacing w:after="120"/>
      <w:ind w:hanging="540"/>
    </w:pPr>
    <w:rPr>
      <w:rFonts w:ascii="Arial" w:hAnsi="Arial"/>
      <w:kern w:val="52"/>
      <w:sz w:val="22"/>
      <w:szCs w:val="22"/>
    </w:rPr>
  </w:style>
  <w:style w:type="character" w:customStyle="1" w:styleId="Spec8-Normal0">
    <w:name w:val="(Spec) 8-Normal 字元"/>
    <w:link w:val="Spec8-Normal"/>
    <w:semiHidden/>
    <w:qFormat/>
    <w:rPr>
      <w:rFonts w:ascii="Arial" w:hAnsi="Arial"/>
      <w:kern w:val="52"/>
      <w:sz w:val="22"/>
      <w:szCs w:val="22"/>
    </w:rPr>
  </w:style>
  <w:style w:type="paragraph" w:customStyle="1" w:styleId="Default">
    <w:name w:val="Default"/>
    <w:link w:val="DefaultChar"/>
    <w:qFormat/>
    <w:pPr>
      <w:widowControl w:val="0"/>
      <w:autoSpaceDE w:val="0"/>
      <w:autoSpaceDN w:val="0"/>
      <w:adjustRightInd w:val="0"/>
    </w:pPr>
    <w:rPr>
      <w:rFonts w:ascii="华文楷体" w:eastAsia="华文楷体"/>
      <w:color w:val="000000"/>
      <w:sz w:val="24"/>
      <w:szCs w:val="24"/>
      <w:lang w:eastAsia="en-US"/>
    </w:rPr>
  </w:style>
  <w:style w:type="paragraph" w:customStyle="1" w:styleId="locationlist">
    <w:name w:val="locationlist"/>
    <w:basedOn w:val="Normal"/>
    <w:qFormat/>
    <w:pPr>
      <w:spacing w:before="30" w:after="60"/>
    </w:pPr>
    <w:rPr>
      <w:rFonts w:eastAsia="宋体"/>
      <w:szCs w:val="22"/>
      <w:lang w:val="en-US" w:eastAsia="zh-CN"/>
    </w:rPr>
  </w:style>
  <w:style w:type="paragraph" w:customStyle="1" w:styleId="SubLevel1">
    <w:name w:val="Sub Level 1"/>
    <w:basedOn w:val="Normal"/>
    <w:qFormat/>
    <w:pPr>
      <w:tabs>
        <w:tab w:val="left" w:pos="1253"/>
      </w:tabs>
      <w:ind w:left="1253" w:hanging="720"/>
    </w:pPr>
  </w:style>
  <w:style w:type="paragraph" w:customStyle="1" w:styleId="SubLevel2">
    <w:name w:val="Sub Level 2"/>
    <w:basedOn w:val="Normal"/>
    <w:qFormat/>
    <w:pPr>
      <w:tabs>
        <w:tab w:val="left" w:pos="2102"/>
      </w:tabs>
      <w:ind w:left="2102" w:hanging="849"/>
    </w:pPr>
  </w:style>
  <w:style w:type="paragraph" w:customStyle="1" w:styleId="SubLevel3">
    <w:name w:val="Sub Level 3"/>
    <w:basedOn w:val="Normal"/>
    <w:qFormat/>
    <w:pPr>
      <w:tabs>
        <w:tab w:val="left" w:pos="2102"/>
      </w:tabs>
      <w:ind w:left="2102" w:hanging="849"/>
    </w:pPr>
  </w:style>
  <w:style w:type="paragraph" w:customStyle="1" w:styleId="SubLevel4">
    <w:name w:val="Sub Level 4"/>
    <w:basedOn w:val="Normal"/>
    <w:qFormat/>
    <w:pPr>
      <w:numPr>
        <w:ilvl w:val="3"/>
        <w:numId w:val="22"/>
      </w:numPr>
    </w:pPr>
  </w:style>
  <w:style w:type="paragraph" w:customStyle="1" w:styleId="xl26">
    <w:name w:val="xl26"/>
    <w:basedOn w:val="Normal"/>
    <w:qFormat/>
    <w:pPr>
      <w:spacing w:before="100" w:beforeAutospacing="1" w:after="100" w:afterAutospacing="1"/>
      <w:jc w:val="center"/>
    </w:pPr>
    <w:rPr>
      <w:rFonts w:ascii="Arial Unicode MS" w:eastAsia="Arial Unicode MS" w:hAnsi="Arial Unicode MS" w:cs="Arial Unicode MS"/>
      <w:sz w:val="24"/>
      <w:szCs w:val="24"/>
      <w:u w:val="single"/>
      <w:lang w:val="en-US"/>
    </w:rPr>
  </w:style>
  <w:style w:type="paragraph" w:customStyle="1" w:styleId="xl24">
    <w:name w:val="xl24"/>
    <w:basedOn w:val="Normal"/>
    <w:qFormat/>
    <w:pPr>
      <w:spacing w:before="100" w:beforeAutospacing="1" w:after="100" w:afterAutospacing="1"/>
      <w:jc w:val="center"/>
    </w:pPr>
    <w:rPr>
      <w:rFonts w:ascii="Arial Unicode MS" w:eastAsia="Arial Unicode MS" w:hAnsi="Arial Unicode MS" w:cs="Arial Unicode MS"/>
      <w:sz w:val="24"/>
      <w:szCs w:val="24"/>
      <w:lang w:val="en-US"/>
    </w:rPr>
  </w:style>
  <w:style w:type="paragraph" w:customStyle="1" w:styleId="xl72">
    <w:name w:val="xl72"/>
    <w:basedOn w:val="Normal"/>
    <w:qFormat/>
    <w:pPr>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6"/>
      <w:szCs w:val="16"/>
      <w:lang w:val="en-US"/>
    </w:rPr>
  </w:style>
  <w:style w:type="paragraph" w:customStyle="1" w:styleId="font5">
    <w:name w:val="font5"/>
    <w:basedOn w:val="Normal"/>
    <w:qFormat/>
    <w:pPr>
      <w:spacing w:before="100" w:beforeAutospacing="1" w:after="100" w:afterAutospacing="1"/>
    </w:pPr>
    <w:rPr>
      <w:rFonts w:ascii="Arial" w:eastAsia="Arial Unicode MS" w:hAnsi="Arial" w:cs="Arial"/>
      <w:sz w:val="16"/>
      <w:szCs w:val="16"/>
      <w:lang w:val="en-US"/>
    </w:rPr>
  </w:style>
  <w:style w:type="paragraph" w:customStyle="1" w:styleId="font7">
    <w:name w:val="font7"/>
    <w:basedOn w:val="Normal"/>
    <w:qFormat/>
    <w:pPr>
      <w:spacing w:before="100" w:beforeAutospacing="1" w:after="100" w:afterAutospacing="1"/>
    </w:pPr>
    <w:rPr>
      <w:rFonts w:ascii="宋体" w:eastAsia="宋体" w:hAnsi="宋体" w:cs="Arial Unicode MS" w:hint="eastAsia"/>
      <w:b/>
      <w:bCs/>
      <w:sz w:val="20"/>
      <w:lang w:val="en-US"/>
    </w:rPr>
  </w:style>
  <w:style w:type="paragraph" w:customStyle="1" w:styleId="xl36">
    <w:name w:val="xl36"/>
    <w:basedOn w:val="Normal"/>
    <w:qFormat/>
    <w:pPr>
      <w:spacing w:before="100" w:beforeAutospacing="1" w:after="100" w:afterAutospacing="1"/>
      <w:textAlignment w:val="center"/>
    </w:pPr>
    <w:rPr>
      <w:rFonts w:ascii="宋体" w:eastAsia="宋体" w:hAnsi="宋体" w:cs="Arial Unicode MS" w:hint="eastAsia"/>
      <w:sz w:val="16"/>
      <w:szCs w:val="16"/>
      <w:lang w:val="en-US"/>
    </w:rPr>
  </w:style>
  <w:style w:type="paragraph" w:customStyle="1" w:styleId="xl42">
    <w:name w:val="xl42"/>
    <w:basedOn w:val="Normal"/>
    <w:qFormat/>
    <w:pPr>
      <w:pBdr>
        <w:bottom w:val="single" w:sz="4" w:space="0" w:color="auto"/>
      </w:pBdr>
      <w:spacing w:before="100" w:beforeAutospacing="1" w:after="100" w:afterAutospacing="1"/>
      <w:jc w:val="center"/>
      <w:textAlignment w:val="center"/>
    </w:pPr>
    <w:rPr>
      <w:rFonts w:ascii="宋体" w:eastAsia="宋体" w:hAnsi="宋体" w:cs="Arial Unicode MS" w:hint="eastAsia"/>
      <w:b/>
      <w:bCs/>
      <w:sz w:val="16"/>
      <w:szCs w:val="16"/>
      <w:lang w:val="en-US"/>
    </w:rPr>
  </w:style>
  <w:style w:type="paragraph" w:customStyle="1" w:styleId="xl62">
    <w:name w:val="xl62"/>
    <w:basedOn w:val="Normal"/>
    <w:qFormat/>
    <w:pPr>
      <w:pBdr>
        <w:left w:val="single" w:sz="4" w:space="0" w:color="auto"/>
      </w:pBdr>
      <w:spacing w:before="100" w:beforeAutospacing="1" w:after="100" w:afterAutospacing="1"/>
      <w:textAlignment w:val="center"/>
    </w:pPr>
    <w:rPr>
      <w:rFonts w:ascii="Arial Unicode MS" w:eastAsia="Arial Unicode MS" w:hAnsi="Arial Unicode MS" w:cs="Arial Unicode MS"/>
      <w:sz w:val="16"/>
      <w:szCs w:val="16"/>
      <w:lang w:val="en-US"/>
    </w:rPr>
  </w:style>
  <w:style w:type="character" w:customStyle="1" w:styleId="a21">
    <w:name w:val="引用 字符"/>
    <w:basedOn w:val="DefaultParagraphFont"/>
    <w:link w:val="Quote"/>
    <w:uiPriority w:val="29"/>
    <w:qFormat/>
    <w:rPr>
      <w:rFonts w:ascii="Times New Roman" w:eastAsia="PMingLiU" w:hAnsi="Times New Roman" w:cs="Times New Roman"/>
      <w:i/>
      <w:iCs/>
      <w:color w:val="404040" w:themeColor="text1" w:themeTint="BF"/>
      <w:kern w:val="0"/>
      <w:sz w:val="22"/>
      <w:szCs w:val="20"/>
      <w:lang w:val="en-GB" w:eastAsia="en-US"/>
    </w:rPr>
  </w:style>
  <w:style w:type="paragraph" w:styleId="Quote">
    <w:name w:val="Quote"/>
    <w:basedOn w:val="Normal"/>
    <w:next w:val="Normal"/>
    <w:link w:val="a21"/>
    <w:uiPriority w:val="29"/>
    <w:qFormat/>
    <w:pPr>
      <w:spacing w:before="200" w:after="160"/>
      <w:ind w:left="864" w:right="864"/>
      <w:jc w:val="center"/>
    </w:pPr>
    <w:rPr>
      <w:i/>
      <w:iCs/>
      <w:color w:val="404040" w:themeColor="text1" w:themeTint="BF"/>
    </w:rPr>
  </w:style>
  <w:style w:type="character" w:customStyle="1" w:styleId="Char10">
    <w:name w:val="引用 Char1"/>
    <w:basedOn w:val="DefaultParagraphFont"/>
    <w:uiPriority w:val="29"/>
    <w:qFormat/>
    <w:rPr>
      <w:rFonts w:ascii="Times New Roman" w:eastAsia="PMingLiU" w:hAnsi="Times New Roman" w:cs="Times New Roman"/>
      <w:i/>
      <w:iCs/>
      <w:color w:val="404040" w:themeColor="text1" w:themeTint="BF"/>
      <w:kern w:val="0"/>
      <w:sz w:val="22"/>
      <w:szCs w:val="20"/>
      <w:lang w:val="en-GB" w:eastAsia="en-US"/>
    </w:rPr>
  </w:style>
  <w:style w:type="character" w:customStyle="1" w:styleId="a22">
    <w:name w:val="批注主题 字符"/>
    <w:basedOn w:val="a1"/>
    <w:link w:val="CommentSubject"/>
    <w:semiHidden/>
    <w:qFormat/>
    <w:rPr>
      <w:rFonts w:ascii="Times New Roman" w:eastAsia="PMingLiU" w:hAnsi="Times New Roman" w:cs="Times New Roman"/>
      <w:b/>
      <w:bCs/>
      <w:kern w:val="0"/>
      <w:sz w:val="20"/>
      <w:szCs w:val="20"/>
      <w:lang w:val="en-GB" w:eastAsia="en-US"/>
    </w:rPr>
  </w:style>
  <w:style w:type="character" w:customStyle="1" w:styleId="Char11">
    <w:name w:val="批注主题 Char1"/>
    <w:basedOn w:val="a1"/>
    <w:uiPriority w:val="99"/>
    <w:semiHidden/>
    <w:qFormat/>
    <w:rPr>
      <w:rFonts w:ascii="Times New Roman" w:eastAsia="PMingLiU" w:hAnsi="Times New Roman" w:cs="Times New Roman"/>
      <w:b/>
      <w:bCs/>
      <w:kern w:val="0"/>
      <w:sz w:val="20"/>
      <w:szCs w:val="20"/>
      <w:lang w:val="en-GB" w:eastAsia="en-US"/>
    </w:rPr>
  </w:style>
  <w:style w:type="character" w:customStyle="1" w:styleId="a23">
    <w:name w:val="明显引用 字符"/>
    <w:basedOn w:val="DefaultParagraphFont"/>
    <w:link w:val="IntenseQuote"/>
    <w:uiPriority w:val="30"/>
    <w:qFormat/>
    <w:rPr>
      <w:rFonts w:ascii="Times New Roman" w:eastAsia="PMingLiU" w:hAnsi="Times New Roman" w:cs="Times New Roman"/>
      <w:i/>
      <w:iCs/>
      <w:color w:val="5B9BD5" w:themeColor="accent1"/>
      <w:kern w:val="0"/>
      <w:sz w:val="22"/>
      <w:szCs w:val="20"/>
      <w:lang w:val="en-GB" w:eastAsia="en-US"/>
    </w:rPr>
  </w:style>
  <w:style w:type="paragraph" w:styleId="IntenseQuote">
    <w:name w:val="Intense Quote"/>
    <w:basedOn w:val="Normal"/>
    <w:next w:val="Normal"/>
    <w:link w:val="a23"/>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har12">
    <w:name w:val="明显引用 Char1"/>
    <w:basedOn w:val="DefaultParagraphFont"/>
    <w:uiPriority w:val="30"/>
    <w:qFormat/>
    <w:rPr>
      <w:rFonts w:ascii="Times New Roman" w:eastAsia="PMingLiU" w:hAnsi="Times New Roman" w:cs="Times New Roman"/>
      <w:i/>
      <w:iCs/>
      <w:color w:val="5B9BD5" w:themeColor="accent1"/>
      <w:kern w:val="0"/>
      <w:sz w:val="22"/>
      <w:szCs w:val="20"/>
      <w:lang w:val="en-GB" w:eastAsia="en-US"/>
    </w:rPr>
  </w:style>
  <w:style w:type="paragraph" w:customStyle="1" w:styleId="TOC10">
    <w:name w:val="TOC 标题1"/>
    <w:basedOn w:val="Heading1"/>
    <w:next w:val="Normal"/>
    <w:uiPriority w:val="39"/>
    <w:unhideWhenUsed/>
    <w:qFormat/>
    <w:pPr>
      <w:keepNext/>
      <w:keepLines/>
      <w:numPr>
        <w:numId w:val="0"/>
      </w:numPr>
      <w:tabs>
        <w:tab w:val="clear" w:pos="1080"/>
      </w:tabs>
      <w:spacing w:before="240" w:line="259" w:lineRule="auto"/>
      <w:outlineLvl w:val="9"/>
    </w:pPr>
    <w:rPr>
      <w:rFonts w:asciiTheme="majorHAnsi" w:eastAsiaTheme="majorEastAsia" w:hAnsiTheme="majorHAnsi" w:cstheme="majorBidi"/>
      <w:b w:val="0"/>
      <w:caps w:val="0"/>
      <w:color w:val="2E74B5" w:themeColor="accent1" w:themeShade="BF"/>
      <w:sz w:val="32"/>
      <w:szCs w:val="32"/>
      <w:lang w:val="en-US" w:eastAsia="zh-CN"/>
    </w:rPr>
  </w:style>
  <w:style w:type="paragraph" w:customStyle="1" w:styleId="13">
    <w:name w:val="修订1"/>
    <w:hidden/>
    <w:uiPriority w:val="99"/>
    <w:semiHidden/>
    <w:qFormat/>
    <w:rPr>
      <w:rFonts w:eastAsia="PMingLiU"/>
      <w:sz w:val="22"/>
      <w:lang w:val="en-GB" w:eastAsia="en-US"/>
    </w:rPr>
  </w:style>
  <w:style w:type="paragraph" w:customStyle="1" w:styleId="1ReportLevel1">
    <w:name w:val="1.Report Level 1"/>
    <w:basedOn w:val="Normal"/>
    <w:next w:val="ReportText"/>
    <w:qFormat/>
    <w:pPr>
      <w:keepNext/>
      <w:outlineLvl w:val="0"/>
    </w:pPr>
    <w:rPr>
      <w:rFonts w:eastAsia="宋体"/>
      <w:b/>
      <w:caps/>
      <w:sz w:val="24"/>
    </w:rPr>
  </w:style>
  <w:style w:type="paragraph" w:customStyle="1" w:styleId="Reportlevel10">
    <w:name w:val="Report level1"/>
    <w:basedOn w:val="Heading1"/>
    <w:next w:val="1ReportLevel1"/>
    <w:link w:val="Reportlevel1Char"/>
    <w:qFormat/>
    <w:pPr>
      <w:keepNext/>
      <w:tabs>
        <w:tab w:val="clear" w:pos="720"/>
        <w:tab w:val="clear" w:pos="1080"/>
      </w:tabs>
      <w:spacing w:line="360" w:lineRule="auto"/>
      <w:ind w:left="425" w:hanging="425"/>
    </w:pPr>
    <w:rPr>
      <w:rFonts w:ascii="宋体" w:hAnsi="宋体" w:cs="Times New Roman"/>
      <w:szCs w:val="24"/>
    </w:rPr>
  </w:style>
  <w:style w:type="character" w:customStyle="1" w:styleId="Reportlevel1Char">
    <w:name w:val="Report level1 Char"/>
    <w:basedOn w:val="10"/>
    <w:link w:val="Reportlevel10"/>
    <w:qFormat/>
    <w:rPr>
      <w:rFonts w:ascii="宋体" w:hAnsi="宋体" w:cs="Arial"/>
      <w:b/>
      <w:caps/>
      <w:sz w:val="24"/>
      <w:szCs w:val="24"/>
      <w:lang w:val="en-GB" w:eastAsia="en-US"/>
    </w:rPr>
  </w:style>
  <w:style w:type="paragraph" w:customStyle="1" w:styleId="ListAlpha">
    <w:name w:val="List Alpha"/>
    <w:basedOn w:val="Normal"/>
    <w:qFormat/>
    <w:pPr>
      <w:numPr>
        <w:numId w:val="23"/>
      </w:numPr>
      <w:spacing w:after="120"/>
      <w:jc w:val="both"/>
    </w:pPr>
    <w:rPr>
      <w:rFonts w:ascii="Frutiger 45 Light" w:eastAsia="宋体" w:hAnsi="Frutiger 45 Light"/>
      <w:lang w:eastAsia="zh-CN"/>
    </w:rPr>
  </w:style>
  <w:style w:type="paragraph" w:styleId="NoSpacing">
    <w:name w:val="No Spacing"/>
    <w:basedOn w:val="Heading1"/>
    <w:link w:val="a24"/>
    <w:uiPriority w:val="1"/>
    <w:qFormat/>
    <w:pPr>
      <w:widowControl w:val="0"/>
      <w:numPr>
        <w:numId w:val="0"/>
      </w:numPr>
      <w:tabs>
        <w:tab w:val="clear" w:pos="1080"/>
      </w:tabs>
      <w:ind w:left="567" w:hanging="567"/>
    </w:pPr>
    <w:rPr>
      <w:rFonts w:asciiTheme="minorHAnsi" w:eastAsiaTheme="minorEastAsia" w:hAnsiTheme="minorHAnsi" w:cstheme="minorBidi"/>
      <w:b w:val="0"/>
      <w:caps w:val="0"/>
      <w:szCs w:val="24"/>
      <w:lang w:val="en-US"/>
    </w:rPr>
  </w:style>
  <w:style w:type="character" w:customStyle="1" w:styleId="DefaultChar">
    <w:name w:val="Default Char"/>
    <w:link w:val="Default"/>
    <w:qFormat/>
    <w:rPr>
      <w:rFonts w:ascii="华文楷体" w:eastAsia="华文楷体" w:hAnsi="Times New Roman" w:cs="Times New Roman"/>
      <w:color w:val="000000"/>
      <w:kern w:val="0"/>
      <w:sz w:val="24"/>
      <w:szCs w:val="24"/>
      <w:lang w:eastAsia="en-US"/>
    </w:rPr>
  </w:style>
  <w:style w:type="character" w:customStyle="1" w:styleId="ReportLevel2Char">
    <w:name w:val="Report Level 2 Char"/>
    <w:qFormat/>
    <w:rPr>
      <w:rFonts w:ascii="Calibri" w:eastAsia="宋体" w:hAnsi="Calibri"/>
      <w:sz w:val="24"/>
      <w:szCs w:val="24"/>
      <w:lang w:val="zh-CN" w:eastAsia="zh-CN"/>
    </w:rPr>
  </w:style>
  <w:style w:type="character" w:customStyle="1" w:styleId="ReportLevel1Char0">
    <w:name w:val="Report Level 1 Char"/>
    <w:link w:val="ReportLevel1"/>
    <w:qFormat/>
    <w:rPr>
      <w:b/>
      <w:caps/>
      <w:sz w:val="24"/>
      <w:lang w:val="en-GB" w:eastAsia="en-US"/>
    </w:rPr>
  </w:style>
  <w:style w:type="character" w:customStyle="1" w:styleId="a24">
    <w:name w:val="无间隔 字符"/>
    <w:basedOn w:val="DefaultParagraphFont"/>
    <w:link w:val="NoSpacing"/>
    <w:uiPriority w:val="1"/>
    <w:qFormat/>
    <w:rPr>
      <w:sz w:val="24"/>
      <w:szCs w:val="24"/>
      <w:lang w:eastAsia="en-US"/>
    </w:rPr>
  </w:style>
  <w:style w:type="paragraph" w:customStyle="1" w:styleId="H2">
    <w:name w:val="H2"/>
    <w:qFormat/>
    <w:pPr>
      <w:widowControl w:val="0"/>
      <w:adjustRightInd w:val="0"/>
      <w:spacing w:after="240" w:line="0" w:lineRule="atLeast"/>
      <w:textAlignment w:val="baseline"/>
    </w:pPr>
    <w:rPr>
      <w:rFonts w:eastAsia="全真中明體"/>
      <w:b/>
      <w:spacing w:val="20"/>
      <w:sz w:val="24"/>
      <w:lang w:val="en-GB" w:eastAsia="zh-TW"/>
    </w:rPr>
  </w:style>
  <w:style w:type="paragraph" w:customStyle="1" w:styleId="P7">
    <w:name w:val="P7"/>
    <w:qFormat/>
    <w:pPr>
      <w:widowControl w:val="0"/>
      <w:tabs>
        <w:tab w:val="left" w:pos="576"/>
      </w:tabs>
      <w:adjustRightInd w:val="0"/>
      <w:spacing w:after="240" w:line="0" w:lineRule="atLeast"/>
      <w:ind w:left="1728" w:hanging="1728"/>
      <w:jc w:val="both"/>
      <w:textAlignment w:val="baseline"/>
    </w:pPr>
    <w:rPr>
      <w:rFonts w:eastAsia="全真中明體"/>
      <w:spacing w:val="20"/>
      <w:sz w:val="24"/>
      <w:lang w:val="en-GB" w:eastAsia="zh-TW"/>
    </w:rPr>
  </w:style>
  <w:style w:type="paragraph" w:customStyle="1" w:styleId="Role">
    <w:name w:val="Role"/>
    <w:qFormat/>
    <w:pPr>
      <w:spacing w:before="160" w:after="120"/>
    </w:pPr>
    <w:rPr>
      <w:rFonts w:ascii="Arial" w:hAnsi="Arial" w:cstheme="minorBidi"/>
      <w:b/>
      <w:color w:val="44546A" w:themeColor="text2"/>
      <w:sz w:val="26"/>
      <w:szCs w:val="22"/>
      <w:lang w:val="en-GB" w:eastAsia="en-US"/>
    </w:rPr>
  </w:style>
  <w:style w:type="paragraph" w:customStyle="1" w:styleId="Cover-1">
    <w:name w:val="Cover-1"/>
    <w:basedOn w:val="Normal"/>
    <w:qFormat/>
    <w:pPr>
      <w:tabs>
        <w:tab w:val="left" w:pos="-1440"/>
        <w:tab w:val="left" w:pos="-720"/>
      </w:tabs>
      <w:suppressAutoHyphens/>
      <w:spacing w:after="43"/>
      <w:jc w:val="center"/>
    </w:pPr>
    <w:rPr>
      <w:rFonts w:eastAsia="宋体" w:hAnsi="Arial"/>
      <w:spacing w:val="-2"/>
      <w:sz w:val="20"/>
      <w:lang w:val="en-US" w:eastAsia="zh-TW"/>
    </w:rPr>
  </w:style>
  <w:style w:type="paragraph" w:customStyle="1" w:styleId="Normal1">
    <w:name w:val="Normal1"/>
    <w:basedOn w:val="H1"/>
    <w:qFormat/>
    <w:pPr>
      <w:spacing w:line="0" w:lineRule="atLeast"/>
    </w:pPr>
  </w:style>
  <w:style w:type="paragraph" w:customStyle="1" w:styleId="P8">
    <w:name w:val="P8"/>
    <w:basedOn w:val="P6"/>
    <w:qFormat/>
    <w:pPr>
      <w:spacing w:line="0" w:lineRule="atLeast"/>
      <w:ind w:left="4052"/>
    </w:pPr>
  </w:style>
  <w:style w:type="paragraph" w:customStyle="1" w:styleId="P">
    <w:name w:val="P"/>
    <w:basedOn w:val="P6"/>
    <w:qFormat/>
    <w:pPr>
      <w:spacing w:line="0" w:lineRule="atLeast"/>
      <w:ind w:left="4052"/>
    </w:pPr>
  </w:style>
  <w:style w:type="paragraph" w:customStyle="1" w:styleId="1stindent">
    <w:name w:val="1st indent"/>
    <w:basedOn w:val="Normal"/>
    <w:qFormat/>
    <w:pPr>
      <w:jc w:val="center"/>
    </w:pPr>
    <w:rPr>
      <w:rFonts w:eastAsia="黑体" w:hAnsi="Arial" w:cs="Arial"/>
      <w:b/>
      <w:bCs/>
      <w:sz w:val="32"/>
      <w:lang w:eastAsia="zh-TW"/>
    </w:rPr>
  </w:style>
  <w:style w:type="paragraph" w:customStyle="1" w:styleId="P4">
    <w:name w:val="P4"/>
    <w:qFormat/>
    <w:pPr>
      <w:widowControl w:val="0"/>
      <w:adjustRightInd w:val="0"/>
      <w:spacing w:after="240" w:line="0" w:lineRule="atLeast"/>
      <w:ind w:left="2880"/>
      <w:jc w:val="both"/>
      <w:textAlignment w:val="baseline"/>
    </w:pPr>
    <w:rPr>
      <w:rFonts w:eastAsia="全真中明體"/>
      <w:spacing w:val="30"/>
      <w:sz w:val="24"/>
      <w:lang w:val="en-GB" w:eastAsia="zh-TW"/>
    </w:rPr>
  </w:style>
  <w:style w:type="character" w:customStyle="1" w:styleId="12Char">
    <w:name w:val="（1）（2） Char"/>
    <w:basedOn w:val="DefaultParagraphFont"/>
    <w:link w:val="120"/>
    <w:qFormat/>
    <w:rPr>
      <w:rFonts w:ascii="宋体" w:hAnsi="宋体"/>
    </w:rPr>
  </w:style>
  <w:style w:type="paragraph" w:customStyle="1" w:styleId="120">
    <w:name w:val="（1）（2）"/>
    <w:basedOn w:val="Normal"/>
    <w:link w:val="12Char"/>
    <w:qFormat/>
    <w:pPr>
      <w:ind w:left="846" w:right="210" w:hanging="420"/>
      <w:jc w:val="both"/>
    </w:pPr>
    <w:rPr>
      <w:rFonts w:ascii="宋体" w:eastAsia="宋体" w:hAnsi="宋体"/>
      <w:sz w:val="20"/>
      <w:lang w:val="en-US" w:eastAsia="zh-CN"/>
    </w:rPr>
  </w:style>
  <w:style w:type="paragraph" w:customStyle="1" w:styleId="cc">
    <w:name w:val="cc正文"/>
    <w:basedOn w:val="Normal"/>
    <w:link w:val="ccChar"/>
    <w:qFormat/>
    <w:pPr>
      <w:ind w:firstLine="420"/>
      <w:jc w:val="both"/>
    </w:pPr>
    <w:rPr>
      <w:rFonts w:ascii="宋体" w:eastAsia="宋体" w:hAnsi="宋体"/>
      <w:sz w:val="20"/>
      <w:lang w:val="en-US" w:eastAsia="zh-CN"/>
    </w:rPr>
  </w:style>
  <w:style w:type="character" w:customStyle="1" w:styleId="ccChar">
    <w:name w:val="cc正文 Char"/>
    <w:basedOn w:val="DefaultParagraphFont"/>
    <w:link w:val="cc"/>
    <w:qFormat/>
    <w:rPr>
      <w:rFonts w:ascii="宋体" w:hAnsi="宋体"/>
    </w:rPr>
  </w:style>
  <w:style w:type="paragraph" w:customStyle="1" w:styleId="TableParagraph">
    <w:name w:val="Table Paragraph"/>
    <w:basedOn w:val="Normal"/>
    <w:uiPriority w:val="1"/>
    <w:qFormat/>
    <w:pPr>
      <w:widowControl w:val="0"/>
      <w:autoSpaceDE w:val="0"/>
      <w:autoSpaceDN w:val="0"/>
      <w:adjustRightInd w:val="0"/>
    </w:pPr>
    <w:rPr>
      <w:rFonts w:eastAsiaTheme="minorEastAsia"/>
      <w:sz w:val="24"/>
      <w:szCs w:val="24"/>
      <w:lang w:val="en-US" w:eastAsia="zh-CN"/>
    </w:rPr>
  </w:style>
  <w:style w:type="paragraph" w:customStyle="1" w:styleId="Style13">
    <w:name w:val="Style13"/>
    <w:basedOn w:val="Normal"/>
    <w:link w:val="Style13Char"/>
    <w:qFormat/>
    <w:pPr>
      <w:widowControl w:val="0"/>
      <w:spacing w:before="120" w:after="120" w:line="360" w:lineRule="auto"/>
      <w:ind w:left="565" w:leftChars="269"/>
      <w:jc w:val="both"/>
    </w:pPr>
    <w:rPr>
      <w:rFonts w:ascii="华文细黑" w:eastAsia="华文细黑" w:hAnsi="华文细黑"/>
      <w:color w:val="000000"/>
      <w:kern w:val="2"/>
      <w:sz w:val="21"/>
      <w:szCs w:val="21"/>
      <w:lang w:val="zh-CN" w:eastAsia="zh-CN"/>
    </w:rPr>
  </w:style>
  <w:style w:type="character" w:customStyle="1" w:styleId="Style13Char">
    <w:name w:val="Style13 Char"/>
    <w:link w:val="Style13"/>
    <w:qFormat/>
    <w:rPr>
      <w:rFonts w:ascii="华文细黑" w:eastAsia="华文细黑" w:hAnsi="华文细黑"/>
      <w:color w:val="000000"/>
      <w:kern w:val="2"/>
      <w:sz w:val="21"/>
      <w:szCs w:val="21"/>
      <w:lang w:val="zh-CN" w:eastAsia="zh-CN"/>
    </w:rPr>
  </w:style>
  <w:style w:type="paragraph" w:customStyle="1" w:styleId="Style14">
    <w:name w:val="Style14"/>
    <w:basedOn w:val="Normal"/>
    <w:link w:val="Style14Char"/>
    <w:qFormat/>
    <w:pPr>
      <w:widowControl w:val="0"/>
      <w:spacing w:line="360" w:lineRule="auto"/>
      <w:ind w:left="567"/>
      <w:jc w:val="both"/>
    </w:pPr>
    <w:rPr>
      <w:rFonts w:ascii="华文细黑" w:eastAsia="华文细黑" w:hAnsi="华文细黑"/>
      <w:kern w:val="2"/>
      <w:sz w:val="21"/>
      <w:szCs w:val="21"/>
      <w:lang w:val="zh-CN" w:eastAsia="zh-CN"/>
    </w:rPr>
  </w:style>
  <w:style w:type="character" w:customStyle="1" w:styleId="Style14Char">
    <w:name w:val="Style14 Char"/>
    <w:link w:val="Style14"/>
    <w:qFormat/>
    <w:rPr>
      <w:rFonts w:ascii="华文细黑" w:eastAsia="华文细黑" w:hAnsi="华文细黑"/>
      <w:kern w:val="2"/>
      <w:sz w:val="21"/>
      <w:szCs w:val="21"/>
      <w:lang w:val="zh-CN" w:eastAsia="zh-CN"/>
    </w:rPr>
  </w:style>
  <w:style w:type="character" w:customStyle="1" w:styleId="a25">
    <w:name w:val="正文缩进 字符"/>
    <w:aliases w:val="正文不缩进 Char Char Char 字符,正文不缩进 Char 字符,正文不缩进 字符,正文双线 字符,正文对齐 字符,正文缩进 Char Char Char Char Char 字符,正文缩进 Char Char Char 字符,正文非缩进 Char Char 字符,正文非缩进 Char 字符,正文非缩进 字符,正文（首行缩进两字） Char Char 字符,正文（首行缩进两字） Char 字符,正文（首行缩进两字） 字符,段1 字符,特点 字符,缩进 字符,表正文 字符"/>
    <w:link w:val="NormalIndent"/>
    <w:rsid w:val="00711B35"/>
    <w:rPr>
      <w:rFonts w:eastAsia="PMingLiU"/>
      <w:sz w:val="22"/>
      <w:lang w:val="en-GB" w:eastAsia="en-US"/>
    </w:rPr>
  </w:style>
  <w:style w:type="paragraph" w:styleId="Revision">
    <w:name w:val="Revision"/>
    <w:hidden/>
    <w:uiPriority w:val="99"/>
    <w:semiHidden/>
    <w:rsid w:val="00561FC5"/>
    <w:rPr>
      <w:rFonts w:eastAsia="PMingLiU"/>
      <w:sz w:val="22"/>
      <w:lang w:val="en-GB" w:eastAsia="en-US"/>
    </w:rPr>
  </w:style>
  <w:style w:type="table" w:customStyle="1" w:styleId="TableGrid0">
    <w:name w:val="Table Grid_0"/>
    <w:basedOn w:val="TableNormal"/>
    <w:uiPriority w:val="59"/>
    <w:qFormat/>
    <w:rPr>
      <w:rFonts w:eastAsia="PMingLi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2.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footer" Target="footer5.xml" /><Relationship Id="rId18" Type="http://schemas.openxmlformats.org/officeDocument/2006/relationships/header" Target="header8.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7.xml" /><Relationship Id="rId22" Type="http://schemas.openxmlformats.org/officeDocument/2006/relationships/header" Target="header10.xml" /><Relationship Id="rId23" Type="http://schemas.openxmlformats.org/officeDocument/2006/relationships/footer" Target="footer8.xml" /><Relationship Id="rId24" Type="http://schemas.openxmlformats.org/officeDocument/2006/relationships/header" Target="header11.xml" /><Relationship Id="rId25" Type="http://schemas.openxmlformats.org/officeDocument/2006/relationships/footer" Target="footer9.xml" /><Relationship Id="rId26" Type="http://schemas.openxmlformats.org/officeDocument/2006/relationships/header" Target="header12.xml" /><Relationship Id="rId27" Type="http://schemas.openxmlformats.org/officeDocument/2006/relationships/footer" Target="footer10.xml" /><Relationship Id="rId28" Type="http://schemas.openxmlformats.org/officeDocument/2006/relationships/hyperlink" Target="https://d.book118.com/068006075002006043"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95B2A1-2586-48F4-8B43-E499E38A45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319</TotalTime>
  <Pages>13</Pages>
  <Words>3741</Words>
  <Characters>21326</Characters>
  <Application>Microsoft Office Word</Application>
  <DocSecurity>0</DocSecurity>
  <Lines>177</Lines>
  <Paragraphs>50</Paragraphs>
  <ScaleCrop>false</ScaleCrop>
  <Company/>
  <LinksUpToDate>false</LinksUpToDate>
  <CharactersWithSpaces>25017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S国际设计中心-林娴</dc:creator>
  <cp:lastModifiedBy>windows</cp:lastModifiedBy>
  <cp:revision>45</cp:revision>
  <cp:lastPrinted>2023-10-20T02:52:00Z</cp:lastPrinted>
  <dcterms:created xsi:type="dcterms:W3CDTF">2021-03-05T07:17:00Z</dcterms:created>
  <dcterms:modified xsi:type="dcterms:W3CDTF">2024-03-06T07:35:00Z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1C54F924AC944A03B156B5AFE0F2D41B</vt:lpwstr>
  </property>
  <property fmtid="{D5CDD505-2E9C-101B-9397-08002B2CF9AE}" pid="3" name="KSOProductBuildVer">
    <vt:lpwstr>2052-11.1.0.11115</vt:lpwstr>
  </property>
</Properties>
</file>