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5C1CDD" w:rsidP="005C1CDD" w14:paraId="09CA7583" w14:textId="77777777">
      <w:pPr>
        <w:spacing w:before="48" w:beforeLines="20" w:after="360" w:afterLines="150" w:line="360" w:lineRule="auto"/>
        <w:jc w:val="center"/>
        <w:rPr>
          <w:rFonts w:ascii="华文中宋" w:eastAsia="华文中宋" w:hAnsi="华文中宋"/>
          <w:b/>
          <w:sz w:val="30"/>
        </w:rPr>
      </w:pPr>
      <w:r w:rsidRPr="005C1CDD">
        <w:rPr>
          <w:rFonts w:ascii="华文中宋" w:eastAsia="华文中宋" w:hAnsi="华文中宋"/>
          <w:b/>
          <w:sz w:val="30"/>
        </w:rPr>
        <w:t>2024</w:t>
      </w:r>
      <w:r w:rsidRPr="005C1CDD">
        <w:rPr>
          <w:rFonts w:ascii="华文中宋" w:eastAsia="华文中宋" w:hAnsi="华文中宋"/>
          <w:b/>
          <w:sz w:val="30"/>
        </w:rPr>
        <w:t>广西河池南丹县参加广西双选会（南宁专场）招聘教师</w:t>
      </w:r>
      <w:r w:rsidRPr="005C1CDD">
        <w:rPr>
          <w:rFonts w:ascii="华文中宋" w:eastAsia="华文中宋" w:hAnsi="华文中宋"/>
          <w:b/>
          <w:sz w:val="30"/>
        </w:rPr>
        <w:t>40</w:t>
      </w:r>
      <w:r w:rsidRPr="005C1CDD">
        <w:rPr>
          <w:rFonts w:ascii="华文中宋" w:eastAsia="华文中宋" w:hAnsi="华文中宋"/>
          <w:b/>
          <w:sz w:val="30"/>
        </w:rPr>
        <w:t>人笔试备考题库及答案解析</w:t>
      </w:r>
    </w:p>
    <w:p w:rsidR="00A77B3E" w14:paraId="370AD518"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359DBD88" w14:textId="77777777">
      <w:pPr>
        <w:spacing w:after="260" w:line="360" w:lineRule="auto"/>
      </w:pPr>
      <w:r>
        <w:rPr>
          <w:rFonts w:ascii="微软雅黑" w:eastAsia="微软雅黑" w:cs="微软雅黑"/>
        </w:rPr>
        <w:t>一、选择题</w:t>
      </w:r>
    </w:p>
    <w:p w:rsidR="006D34C4" w14:paraId="7F7CCCA4" w14:textId="77777777">
      <w:pPr>
        <w:pStyle w:val="NormalWeb"/>
        <w:widowControl/>
        <w:spacing w:beforeAutospacing="0" w:after="260" w:afterAutospacing="0" w:line="360" w:lineRule="auto"/>
      </w:pPr>
      <w:r w:rsidRPr="006D34C4">
        <w:rPr>
          <w:rFonts w:ascii="微软雅黑" w:eastAsia="微软雅黑" w:cs="微软雅黑"/>
          <w:color w:val="0000FF"/>
          <w:szCs w:val="14"/>
        </w:rPr>
        <w:t>1</w:t>
      </w:r>
      <w:r w:rsidRPr="006D34C4">
        <w:rPr>
          <w:rFonts w:ascii="微软雅黑" w:eastAsia="微软雅黑" w:cs="微软雅黑"/>
          <w:color w:val="0000FF"/>
          <w:szCs w:val="14"/>
        </w:rPr>
        <w:t>．</w:t>
      </w:r>
      <w:r w:rsidRPr="006D34C4">
        <w:rPr>
          <w:rFonts w:ascii="微软雅黑" w:eastAsia="微软雅黑" w:cs="微软雅黑"/>
          <w:szCs w:val="14"/>
        </w:rPr>
        <w:t>中国古代演戏的场所在历史上有过各种不同的名称和形态。就建筑而言，唐代称为戏场，宋代称为</w:t>
      </w:r>
      <w:r w:rsidRPr="006D34C4">
        <w:rPr>
          <w:rFonts w:ascii="微软雅黑" w:eastAsia="微软雅黑" w:cs="微软雅黑"/>
          <w:szCs w:val="14"/>
        </w:rPr>
        <w:t>()</w:t>
      </w:r>
      <w:r w:rsidRPr="006D34C4">
        <w:rPr>
          <w:rFonts w:ascii="微软雅黑" w:eastAsia="微软雅黑" w:cs="微软雅黑"/>
          <w:szCs w:val="14"/>
        </w:rPr>
        <w:t>。</w:t>
      </w:r>
    </w:p>
    <w:p w:rsidR="006D34C4" w14:paraId="71C39F4B"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、戏园</w:t>
      </w:r>
    </w:p>
    <w:p w:rsidR="006D34C4" w14:paraId="78C2F9DA"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、勾阑</w:t>
      </w:r>
    </w:p>
    <w:p w:rsidR="006D34C4" w14:paraId="6AF818E7"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、戏台</w:t>
      </w:r>
    </w:p>
    <w:p w:rsidR="006D34C4" w14:paraId="4AE047BC"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、戏楼</w:t>
      </w:r>
    </w:p>
    <w:p w:rsidR="006D34C4" w14:paraId="192CCDD7"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B</w:t>
      </w:r>
    </w:p>
    <w:p w:rsidR="006D34C4" w14:paraId="66E18313"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戏场泛指中国古代演戏的场所，在历史上有过各种不同的名称和形态。唐代中国戏剧已具雏形，至宋，金两代正式形成。各个朝代的演戏场所随着戏剧艺术的发展而演进。就建筑而言，以唐代的戏场，宋代的勾阑</w:t>
      </w:r>
      <w:r w:rsidRPr="006D34C4">
        <w:rPr>
          <w:rFonts w:ascii="微软雅黑" w:eastAsia="微软雅黑" w:cs="微软雅黑"/>
          <w:szCs w:val="14"/>
        </w:rPr>
        <w:t>(</w:t>
      </w:r>
      <w:r w:rsidRPr="006D34C4">
        <w:rPr>
          <w:rFonts w:ascii="微软雅黑" w:eastAsia="微软雅黑" w:cs="微软雅黑"/>
          <w:szCs w:val="14"/>
        </w:rPr>
        <w:t>也作勾栏，构栏</w:t>
      </w:r>
      <w:r w:rsidRPr="006D34C4">
        <w:rPr>
          <w:rFonts w:ascii="微软雅黑" w:eastAsia="微软雅黑" w:cs="微软雅黑"/>
          <w:szCs w:val="14"/>
        </w:rPr>
        <w:t>)</w:t>
      </w:r>
      <w:r w:rsidRPr="006D34C4">
        <w:rPr>
          <w:rFonts w:ascii="微软雅黑" w:eastAsia="微软雅黑" w:cs="微软雅黑"/>
          <w:szCs w:val="14"/>
        </w:rPr>
        <w:t>，元代的戏台和清代的戏楼，戏园为其主流。故选</w:t>
      </w:r>
      <w:r w:rsidRPr="006D34C4">
        <w:rPr>
          <w:rFonts w:ascii="微软雅黑" w:eastAsia="微软雅黑" w:cs="微软雅黑"/>
          <w:szCs w:val="14"/>
        </w:rPr>
        <w:t>B</w:t>
      </w:r>
      <w:r w:rsidRPr="006D34C4">
        <w:rPr>
          <w:rFonts w:ascii="微软雅黑" w:eastAsia="微软雅黑" w:cs="微软雅黑"/>
          <w:szCs w:val="14"/>
        </w:rPr>
        <w:t>。</w:t>
      </w:r>
    </w:p>
    <w:p w:rsidR="006D34C4" w14:paraId="746E652A" w14:textId="77777777">
      <w:pPr>
        <w:pStyle w:val="NormalWeb"/>
        <w:widowControl/>
        <w:spacing w:beforeAutospacing="0" w:after="260" w:afterAutospacing="0" w:line="360" w:lineRule="auto"/>
      </w:pPr>
      <w:r w:rsidRPr="006D34C4">
        <w:rPr>
          <w:rFonts w:ascii="微软雅黑" w:eastAsia="微软雅黑" w:cs="微软雅黑"/>
          <w:color w:val="0000FF"/>
          <w:szCs w:val="14"/>
        </w:rPr>
        <w:t>2</w:t>
      </w:r>
      <w:r w:rsidRPr="006D34C4">
        <w:rPr>
          <w:rFonts w:ascii="微软雅黑" w:eastAsia="微软雅黑" w:cs="微软雅黑"/>
          <w:color w:val="0000FF"/>
          <w:szCs w:val="14"/>
        </w:rPr>
        <w:t>．</w:t>
      </w:r>
      <w:r w:rsidRPr="006D34C4">
        <w:rPr>
          <w:rFonts w:ascii="微软雅黑" w:eastAsia="微软雅黑" w:cs="微软雅黑"/>
          <w:szCs w:val="14"/>
        </w:rPr>
        <w:t>在中国各政党中，各民主党派是</w:t>
      </w:r>
      <w:r w:rsidRPr="006D34C4">
        <w:rPr>
          <w:rFonts w:ascii="微软雅黑" w:eastAsia="微软雅黑" w:cs="微软雅黑"/>
          <w:szCs w:val="14"/>
        </w:rPr>
        <w:t>()</w:t>
      </w:r>
      <w:r w:rsidRPr="006D34C4">
        <w:rPr>
          <w:rFonts w:ascii="微软雅黑" w:eastAsia="微软雅黑" w:cs="微软雅黑"/>
          <w:szCs w:val="14"/>
        </w:rPr>
        <w:t>。</w:t>
      </w:r>
    </w:p>
    <w:p w:rsidR="006D34C4" w14:paraId="4A2BE05D"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、参政党</w:t>
      </w:r>
    </w:p>
    <w:p w:rsidR="006D34C4" w14:paraId="104B1D0A"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6D34C4">
        <w:rPr>
          <w:rFonts w:ascii="微软雅黑" w:eastAsia="微软雅黑" w:cs="微软雅黑"/>
          <w:szCs w:val="14"/>
        </w:rPr>
        <w:t>B</w:t>
      </w:r>
      <w:r w:rsidRPr="006D34C4">
        <w:rPr>
          <w:rFonts w:ascii="微软雅黑" w:eastAsia="微软雅黑" w:cs="微软雅黑"/>
          <w:szCs w:val="14"/>
        </w:rPr>
        <w:t>、执政党</w:t>
      </w:r>
    </w:p>
    <w:p w:rsidR="006D34C4" w14:paraId="2CA5C686"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、在野党</w:t>
      </w:r>
    </w:p>
    <w:p w:rsidR="006D34C4" w14:paraId="6EBDDDDD"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、反对党</w:t>
      </w:r>
    </w:p>
    <w:p w:rsidR="006D34C4" w14:paraId="04F569AA"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A</w:t>
      </w:r>
    </w:p>
    <w:p w:rsidR="006D34C4" w14:paraId="55E35455"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宪法规定了我国的政党制度是中国共产党领导的多党合作和政治协商制度，其中中国共产党是执政党，其他各民主党派是参政党。在野党是指政党政治国家内未执政的政党，和执政党是互斥的集合，通常也称反对党。故选</w:t>
      </w:r>
      <w:r w:rsidRPr="006D34C4">
        <w:rPr>
          <w:rFonts w:ascii="微软雅黑" w:eastAsia="微软雅黑" w:cs="微软雅黑"/>
          <w:szCs w:val="14"/>
        </w:rPr>
        <w:t>A</w:t>
      </w:r>
      <w:r w:rsidRPr="006D34C4">
        <w:rPr>
          <w:rFonts w:ascii="微软雅黑" w:eastAsia="微软雅黑" w:cs="微软雅黑"/>
          <w:szCs w:val="14"/>
        </w:rPr>
        <w:t>。</w:t>
      </w:r>
    </w:p>
    <w:p w:rsidR="006D34C4" w14:paraId="0D2715DA" w14:textId="77777777">
      <w:pPr>
        <w:pStyle w:val="NormalWeb"/>
        <w:widowControl/>
        <w:spacing w:beforeAutospacing="0" w:after="260" w:afterAutospacing="0" w:line="360" w:lineRule="auto"/>
      </w:pPr>
      <w:r w:rsidRPr="006D34C4">
        <w:rPr>
          <w:rFonts w:ascii="微软雅黑" w:eastAsia="微软雅黑" w:cs="微软雅黑"/>
          <w:color w:val="0000FF"/>
          <w:szCs w:val="14"/>
        </w:rPr>
        <w:t>3</w:t>
      </w:r>
      <w:r w:rsidRPr="006D34C4">
        <w:rPr>
          <w:rFonts w:ascii="微软雅黑" w:eastAsia="微软雅黑" w:cs="微软雅黑"/>
          <w:color w:val="0000FF"/>
          <w:szCs w:val="14"/>
        </w:rPr>
        <w:t>．</w:t>
      </w:r>
      <w:r w:rsidRPr="006D34C4">
        <w:rPr>
          <w:rFonts w:ascii="微软雅黑" w:eastAsia="微软雅黑" w:cs="微软雅黑"/>
          <w:szCs w:val="14"/>
        </w:rPr>
        <w:t>下列关于服务大局的说法中，不正确的是</w:t>
      </w:r>
      <w:r w:rsidRPr="006D34C4">
        <w:rPr>
          <w:rFonts w:ascii="微软雅黑" w:eastAsia="微软雅黑" w:cs="微软雅黑"/>
          <w:szCs w:val="14"/>
        </w:rPr>
        <w:t>()</w:t>
      </w:r>
      <w:r w:rsidRPr="006D34C4">
        <w:rPr>
          <w:rFonts w:ascii="微软雅黑" w:eastAsia="微软雅黑" w:cs="微软雅黑"/>
          <w:szCs w:val="14"/>
        </w:rPr>
        <w:t>。</w:t>
      </w:r>
    </w:p>
    <w:p w:rsidR="006D34C4" w14:paraId="2F7DFEEC"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、服务大局是对法治事业在我国社会主义事业全局中的正确定位</w:t>
      </w:r>
    </w:p>
    <w:p w:rsidR="006D34C4" w14:paraId="0FA97C74"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、服务大局是实现党和国家根本任务的必然要求</w:t>
      </w:r>
    </w:p>
    <w:p w:rsidR="006D34C4" w14:paraId="74182403"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、服务大局是社会主义法治的重要使命</w:t>
      </w:r>
    </w:p>
    <w:p w:rsidR="006D34C4" w14:paraId="5D2A77EE"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、服务大局是社会主义法治的根本要求</w:t>
      </w:r>
    </w:p>
    <w:p w:rsidR="006D34C4" w14:paraId="4147D494"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D</w:t>
      </w:r>
    </w:p>
    <w:p w:rsidR="006D34C4" w14:paraId="7BB319EA"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服务大局是对法治事业在我国社会主义事业全局中的正确定位，是实现党和国家根本任务的必然要求，从而也是社会主义法治的重要使命。故选</w:t>
      </w:r>
      <w:r w:rsidRPr="006D34C4">
        <w:rPr>
          <w:rFonts w:ascii="微软雅黑" w:eastAsia="微软雅黑" w:cs="微软雅黑"/>
          <w:szCs w:val="14"/>
        </w:rPr>
        <w:t>D</w:t>
      </w:r>
      <w:r w:rsidRPr="006D34C4">
        <w:rPr>
          <w:rFonts w:ascii="微软雅黑" w:eastAsia="微软雅黑" w:cs="微软雅黑"/>
          <w:szCs w:val="14"/>
        </w:rPr>
        <w:t>。</w:t>
      </w:r>
    </w:p>
    <w:p w:rsidR="006D34C4" w14:paraId="20F61248" w14:textId="77777777">
      <w:pPr>
        <w:pStyle w:val="NormalWeb"/>
        <w:widowControl/>
        <w:spacing w:beforeAutospacing="0" w:after="260" w:afterAutospacing="0" w:line="360" w:lineRule="auto"/>
      </w:pPr>
      <w:r w:rsidRPr="006D34C4">
        <w:rPr>
          <w:rFonts w:ascii="微软雅黑" w:eastAsia="微软雅黑" w:cs="微软雅黑"/>
          <w:color w:val="0000FF"/>
          <w:szCs w:val="14"/>
        </w:rPr>
        <w:t>4</w:t>
      </w:r>
      <w:r w:rsidRPr="006D34C4">
        <w:rPr>
          <w:rFonts w:ascii="微软雅黑" w:eastAsia="微软雅黑" w:cs="微软雅黑"/>
          <w:color w:val="0000FF"/>
          <w:szCs w:val="14"/>
        </w:rPr>
        <w:t>．</w:t>
      </w:r>
      <w:r w:rsidRPr="006D34C4">
        <w:rPr>
          <w:rFonts w:ascii="微软雅黑" w:eastAsia="微软雅黑" w:cs="微软雅黑"/>
          <w:szCs w:val="14"/>
        </w:rPr>
        <w:t>由于成长环境和性格不同，人们会形成不同的理想信念，从而使之具有</w:t>
      </w:r>
      <w:r w:rsidRPr="006D34C4">
        <w:rPr>
          <w:rFonts w:ascii="微软雅黑" w:eastAsia="微软雅黑" w:cs="微软雅黑"/>
          <w:szCs w:val="14"/>
        </w:rPr>
        <w:t>()</w:t>
      </w:r>
      <w:r w:rsidRPr="006D34C4">
        <w:rPr>
          <w:rFonts w:ascii="微软雅黑" w:eastAsia="微软雅黑" w:cs="微软雅黑"/>
          <w:szCs w:val="14"/>
        </w:rPr>
        <w:t>。</w:t>
      </w:r>
    </w:p>
    <w:p w:rsidR="006D34C4" w14:paraId="1B2819C4"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、阶级性</w:t>
      </w:r>
    </w:p>
    <w:p w:rsidR="006D34C4" w14:paraId="6C714439"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、实践性</w:t>
      </w:r>
    </w:p>
    <w:p w:rsidR="006D34C4" w14:paraId="50533E9C"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6D34C4">
        <w:rPr>
          <w:rFonts w:ascii="微软雅黑" w:eastAsia="微软雅黑" w:cs="微软雅黑"/>
          <w:szCs w:val="14"/>
        </w:rPr>
        <w:t>C</w:t>
      </w:r>
      <w:r w:rsidRPr="006D34C4">
        <w:rPr>
          <w:rFonts w:ascii="微软雅黑" w:eastAsia="微软雅黑" w:cs="微软雅黑"/>
          <w:szCs w:val="14"/>
        </w:rPr>
        <w:t>、共同性</w:t>
      </w:r>
    </w:p>
    <w:p w:rsidR="006D34C4" w14:paraId="2495C2E9"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、多样性</w:t>
      </w:r>
    </w:p>
    <w:p w:rsidR="006D34C4" w14:paraId="20632F20"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D</w:t>
      </w:r>
    </w:p>
    <w:p w:rsidR="006D34C4" w14:paraId="1813A73C"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理想信念具有多样性与共同性。由于成长环境和性格等的不同，人们会形成不同的理想信念，从而使之具有多样性。但同时，在一定的社会中，人们各自的理想信念又有相同之处，从而形成共同的理想信念。故选</w:t>
      </w:r>
      <w:r w:rsidRPr="006D34C4">
        <w:rPr>
          <w:rFonts w:ascii="微软雅黑" w:eastAsia="微软雅黑" w:cs="微软雅黑"/>
          <w:szCs w:val="14"/>
        </w:rPr>
        <w:t>D</w:t>
      </w:r>
      <w:r w:rsidRPr="006D34C4">
        <w:rPr>
          <w:rFonts w:ascii="微软雅黑" w:eastAsia="微软雅黑" w:cs="微软雅黑"/>
          <w:szCs w:val="14"/>
        </w:rPr>
        <w:t>。</w:t>
      </w:r>
    </w:p>
    <w:p w:rsidR="006D34C4" w14:paraId="45035CA6" w14:textId="77777777">
      <w:pPr>
        <w:pStyle w:val="NormalWeb"/>
        <w:widowControl/>
        <w:spacing w:beforeAutospacing="0" w:after="260" w:afterAutospacing="0" w:line="360" w:lineRule="auto"/>
      </w:pPr>
      <w:r w:rsidRPr="006D34C4">
        <w:rPr>
          <w:rFonts w:ascii="微软雅黑" w:eastAsia="微软雅黑" w:cs="微软雅黑"/>
          <w:color w:val="0000FF"/>
          <w:szCs w:val="14"/>
        </w:rPr>
        <w:t>5</w:t>
      </w:r>
      <w:r w:rsidRPr="006D34C4">
        <w:rPr>
          <w:rFonts w:ascii="微软雅黑" w:eastAsia="微软雅黑" w:cs="微软雅黑"/>
          <w:color w:val="0000FF"/>
          <w:szCs w:val="14"/>
        </w:rPr>
        <w:t>．</w:t>
      </w:r>
      <w:r w:rsidRPr="006D34C4">
        <w:rPr>
          <w:rFonts w:ascii="微软雅黑" w:eastAsia="微软雅黑" w:cs="微软雅黑"/>
          <w:szCs w:val="14"/>
        </w:rPr>
        <w:t>中国人早就知道应用天然磁石制成指南针，并借它来辨别方向。宋朝学者沈括在他的《梦溪笔谈》中说：</w:t>
      </w:r>
      <w:r w:rsidRPr="006D34C4">
        <w:rPr>
          <w:rFonts w:ascii="微软雅黑" w:eastAsia="微软雅黑" w:cs="微软雅黑"/>
          <w:szCs w:val="14"/>
        </w:rPr>
        <w:t>“</w:t>
      </w:r>
      <w:r w:rsidRPr="006D34C4">
        <w:rPr>
          <w:rFonts w:ascii="微软雅黑" w:eastAsia="微软雅黑" w:cs="微软雅黑"/>
          <w:szCs w:val="14"/>
        </w:rPr>
        <w:t>方家以磁石磨针锋，则能指南，然常微偏东，不全南也。</w:t>
      </w:r>
      <w:r w:rsidRPr="006D34C4">
        <w:rPr>
          <w:rFonts w:ascii="微软雅黑" w:eastAsia="微软雅黑" w:cs="微软雅黑"/>
          <w:szCs w:val="14"/>
        </w:rPr>
        <w:t>”</w:t>
      </w:r>
      <w:r w:rsidRPr="006D34C4">
        <w:rPr>
          <w:rFonts w:ascii="微软雅黑" w:eastAsia="微软雅黑" w:cs="微软雅黑"/>
          <w:szCs w:val="14"/>
        </w:rPr>
        <w:t>其原因是</w:t>
      </w:r>
      <w:r w:rsidRPr="006D34C4">
        <w:rPr>
          <w:rFonts w:ascii="微软雅黑" w:eastAsia="微软雅黑" w:cs="微软雅黑"/>
          <w:szCs w:val="14"/>
        </w:rPr>
        <w:t>()</w:t>
      </w:r>
      <w:r w:rsidRPr="006D34C4">
        <w:rPr>
          <w:rFonts w:ascii="微软雅黑" w:eastAsia="微软雅黑" w:cs="微软雅黑"/>
          <w:szCs w:val="14"/>
        </w:rPr>
        <w:t>。</w:t>
      </w:r>
    </w:p>
    <w:p w:rsidR="006D34C4" w14:paraId="2D061A75"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、全球磁极相对于地理南北极具有微小的偏角</w:t>
      </w:r>
    </w:p>
    <w:p w:rsidR="006D34C4" w14:paraId="5E31BF49"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、方家用</w:t>
      </w:r>
      <w:r w:rsidRPr="006D34C4">
        <w:rPr>
          <w:rFonts w:ascii="微软雅黑" w:eastAsia="微软雅黑" w:cs="微软雅黑"/>
          <w:szCs w:val="14"/>
        </w:rPr>
        <w:t>“</w:t>
      </w:r>
      <w:r w:rsidRPr="006D34C4">
        <w:rPr>
          <w:rFonts w:ascii="微软雅黑" w:eastAsia="微软雅黑" w:cs="微软雅黑"/>
          <w:szCs w:val="14"/>
        </w:rPr>
        <w:t>缕悬法</w:t>
      </w:r>
      <w:r w:rsidRPr="006D34C4">
        <w:rPr>
          <w:rFonts w:ascii="微软雅黑" w:eastAsia="微软雅黑" w:cs="微软雅黑"/>
          <w:szCs w:val="14"/>
        </w:rPr>
        <w:t>”</w:t>
      </w:r>
      <w:r w:rsidRPr="006D34C4">
        <w:rPr>
          <w:rFonts w:ascii="微软雅黑" w:eastAsia="微软雅黑" w:cs="微软雅黑"/>
          <w:szCs w:val="14"/>
        </w:rPr>
        <w:t>安装磁针时，受偏东的一个力牵制</w:t>
      </w:r>
    </w:p>
    <w:p w:rsidR="006D34C4" w14:paraId="358449FB"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、方家的针磨得太细，易受干扰</w:t>
      </w:r>
    </w:p>
    <w:p w:rsidR="006D34C4" w14:paraId="2F1702B1"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w:t>
      </w:r>
      <w:r w:rsidRPr="006D34C4">
        <w:rPr>
          <w:rFonts w:ascii="微软雅黑" w:eastAsia="微软雅黑" w:cs="微软雅黑"/>
          <w:szCs w:val="14"/>
        </w:rPr>
        <w:t>“</w:t>
      </w:r>
      <w:r w:rsidRPr="006D34C4">
        <w:rPr>
          <w:rFonts w:ascii="微软雅黑" w:eastAsia="微软雅黑" w:cs="微软雅黑"/>
          <w:szCs w:val="14"/>
        </w:rPr>
        <w:t>犹柏之指西，莫可原其理</w:t>
      </w:r>
      <w:r w:rsidRPr="006D34C4">
        <w:rPr>
          <w:rFonts w:ascii="微软雅黑" w:eastAsia="微软雅黑" w:cs="微软雅黑"/>
          <w:szCs w:val="14"/>
        </w:rPr>
        <w:t>”</w:t>
      </w:r>
    </w:p>
    <w:p w:rsidR="006D34C4" w14:paraId="20CF1858"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A</w:t>
      </w:r>
    </w:p>
    <w:p w:rsidR="006D34C4" w14:paraId="43E5ABDB"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磁石磨针锋，针磁化为一个小磁体，能够指南，说明受到了磁场作用，周围没有其他磁体，便只能是地球产生的磁场，说明地球是个巨大的磁体</w:t>
      </w:r>
      <w:r w:rsidRPr="006D34C4">
        <w:rPr>
          <w:rFonts w:ascii="微软雅黑" w:eastAsia="微软雅黑" w:cs="微软雅黑"/>
          <w:szCs w:val="14"/>
        </w:rPr>
        <w:t>;</w:t>
      </w:r>
      <w:r w:rsidRPr="006D34C4">
        <w:rPr>
          <w:rFonts w:ascii="微软雅黑" w:eastAsia="微软雅黑" w:cs="微软雅黑"/>
          <w:szCs w:val="14"/>
        </w:rPr>
        <w:t>“</w:t>
      </w:r>
      <w:r w:rsidRPr="006D34C4">
        <w:rPr>
          <w:rFonts w:ascii="微软雅黑" w:eastAsia="微软雅黑" w:cs="微软雅黑"/>
          <w:szCs w:val="14"/>
        </w:rPr>
        <w:t>常微偏东，不全南</w:t>
      </w:r>
      <w:r w:rsidRPr="006D34C4">
        <w:rPr>
          <w:rFonts w:ascii="微软雅黑" w:eastAsia="微软雅黑" w:cs="微软雅黑"/>
          <w:szCs w:val="14"/>
        </w:rPr>
        <w:t>(</w:t>
      </w:r>
      <w:r w:rsidRPr="006D34C4">
        <w:rPr>
          <w:rFonts w:ascii="微软雅黑" w:eastAsia="微软雅黑" w:cs="微软雅黑"/>
          <w:szCs w:val="14"/>
        </w:rPr>
        <w:t>不是正南方向</w:t>
      </w:r>
      <w:r w:rsidRPr="006D34C4">
        <w:rPr>
          <w:rFonts w:ascii="微软雅黑" w:eastAsia="微软雅黑" w:cs="微软雅黑"/>
          <w:szCs w:val="14"/>
        </w:rPr>
        <w:t>)</w:t>
      </w:r>
      <w:r w:rsidRPr="006D34C4">
        <w:rPr>
          <w:rFonts w:ascii="微软雅黑" w:eastAsia="微软雅黑" w:cs="微软雅黑"/>
          <w:szCs w:val="14"/>
        </w:rPr>
        <w:t>”</w:t>
      </w:r>
      <w:r w:rsidRPr="006D34C4">
        <w:rPr>
          <w:rFonts w:ascii="微软雅黑" w:eastAsia="微软雅黑" w:cs="微软雅黑"/>
          <w:szCs w:val="14"/>
        </w:rPr>
        <w:t>说明地球南北极和地磁极南北并不重合，存在地磁偏角。</w:t>
      </w:r>
      <w:r w:rsidRPr="006D34C4">
        <w:rPr>
          <w:rFonts w:ascii="微软雅黑" w:eastAsia="微软雅黑" w:cs="微软雅黑"/>
          <w:szCs w:val="14"/>
        </w:rPr>
        <w:t>“</w:t>
      </w:r>
      <w:r w:rsidRPr="006D34C4">
        <w:rPr>
          <w:rFonts w:ascii="微软雅黑" w:eastAsia="微软雅黑" w:cs="微软雅黑"/>
          <w:szCs w:val="14"/>
        </w:rPr>
        <w:t>磁石之指南，犹柏之指西，莫可原其理。</w:t>
      </w:r>
      <w:r w:rsidRPr="006D34C4">
        <w:rPr>
          <w:rFonts w:ascii="微软雅黑" w:eastAsia="微软雅黑" w:cs="微软雅黑"/>
          <w:szCs w:val="14"/>
        </w:rPr>
        <w:t>”</w:t>
      </w:r>
      <w:r w:rsidRPr="006D34C4">
        <w:rPr>
          <w:rFonts w:ascii="微软雅黑" w:eastAsia="微软雅黑" w:cs="微软雅黑"/>
          <w:szCs w:val="14"/>
        </w:rPr>
        <w:t>是指磁石就是有磁性的石头，跟现在指南针一样。磁石指向南方，和柏树的树枝指向西方</w:t>
      </w:r>
      <w:r w:rsidRPr="006D34C4">
        <w:rPr>
          <w:rFonts w:ascii="微软雅黑" w:eastAsia="微软雅黑" w:cs="微软雅黑"/>
          <w:szCs w:val="14"/>
        </w:rPr>
        <w:t>(</w:t>
      </w:r>
      <w:r w:rsidRPr="006D34C4">
        <w:rPr>
          <w:rFonts w:ascii="微软雅黑" w:eastAsia="微软雅黑" w:cs="微软雅黑"/>
          <w:szCs w:val="14"/>
        </w:rPr>
        <w:t>柏树的树枝长的都是朝西的</w:t>
      </w:r>
      <w:r w:rsidRPr="006D34C4">
        <w:rPr>
          <w:rFonts w:ascii="微软雅黑" w:eastAsia="微软雅黑" w:cs="微软雅黑"/>
          <w:szCs w:val="14"/>
        </w:rPr>
        <w:t>)</w:t>
      </w:r>
      <w:r w:rsidRPr="006D34C4">
        <w:rPr>
          <w:rFonts w:ascii="微软雅黑" w:eastAsia="微软雅黑" w:cs="微软雅黑"/>
          <w:szCs w:val="14"/>
        </w:rPr>
        <w:t>一样，不能说明</w:t>
      </w:r>
      <w:r w:rsidRPr="006D34C4">
        <w:rPr>
          <w:rFonts w:ascii="微软雅黑" w:eastAsia="微软雅黑" w:cs="微软雅黑"/>
          <w:szCs w:val="14"/>
        </w:rPr>
        <w:t>(</w:t>
      </w:r>
      <w:r w:rsidRPr="006D34C4">
        <w:rPr>
          <w:rFonts w:ascii="微软雅黑" w:eastAsia="微软雅黑" w:cs="微软雅黑"/>
          <w:szCs w:val="14"/>
        </w:rPr>
        <w:t>解释</w:t>
      </w:r>
      <w:r w:rsidRPr="006D34C4">
        <w:rPr>
          <w:rFonts w:ascii="微软雅黑" w:eastAsia="微软雅黑" w:cs="微软雅黑"/>
          <w:szCs w:val="14"/>
        </w:rPr>
        <w:t>)</w:t>
      </w:r>
      <w:r w:rsidRPr="006D34C4">
        <w:rPr>
          <w:rFonts w:ascii="微软雅黑" w:eastAsia="微软雅黑" w:cs="微软雅黑"/>
          <w:szCs w:val="14"/>
        </w:rPr>
        <w:t>其中的道理。指这种现象是本身就这样的，不能解释，他就是朝南了朝西了。故选</w:t>
      </w:r>
      <w:r w:rsidRPr="006D34C4">
        <w:rPr>
          <w:rFonts w:ascii="微软雅黑" w:eastAsia="微软雅黑" w:cs="微软雅黑"/>
          <w:szCs w:val="14"/>
        </w:rPr>
        <w:t>A</w:t>
      </w:r>
      <w:r w:rsidRPr="006D34C4">
        <w:rPr>
          <w:rFonts w:ascii="微软雅黑" w:eastAsia="微软雅黑" w:cs="微软雅黑"/>
          <w:szCs w:val="14"/>
        </w:rPr>
        <w:t>。</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https://d.book118.com/068011026134006032</w:t>
        </w:r>
      </w:hyperlink>
    </w:p>
    <w:p w:rsidR="006D34C4">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CDD" w:rsidP="00B77510" w14:paraId="079DB9C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C1CDD" w14:paraId="5D02966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CDD" w:rsidP="00B77510" w14:paraId="48EBF508" w14:textId="47D1E5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C1CDD" w14:paraId="1645EB5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CDD" w14:paraId="641AAE9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CDD"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C1CD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CDD" w:rsidP="00B77510" w14:textId="47D1E5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C1CD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CD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CDD"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C1CD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CDD" w:rsidP="00B77510" w14:textId="47D1E5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C1CD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CD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CDD" w14:paraId="36352BC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CDD" w14:paraId="3C3ADC8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CDD" w14:paraId="1A51008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CD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CDD"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CD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CD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CDD"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CD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C1CDD"/>
    <w:rsid w:val="006D34C4"/>
    <w:rsid w:val="00A77B3E"/>
    <w:rsid w:val="00B77510"/>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EA95988"/>
  <w15:docId w15:val="{862505B7-91D3-44E6-B66B-5219CFED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6D34C4"/>
    <w:pPr>
      <w:widowControl w:val="0"/>
      <w:spacing w:beforeAutospacing="1" w:afterAutospacing="1"/>
    </w:pPr>
    <w:rPr>
      <w:rFonts w:asciiTheme="minorHAnsi" w:hAnsiTheme="minorHAnsi"/>
    </w:rPr>
  </w:style>
  <w:style w:type="paragraph" w:styleId="Header">
    <w:name w:val="header"/>
    <w:basedOn w:val="Normal"/>
    <w:link w:val="a"/>
    <w:rsid w:val="005C1CDD"/>
    <w:pPr>
      <w:tabs>
        <w:tab w:val="center" w:pos="4153"/>
        <w:tab w:val="right" w:pos="8306"/>
      </w:tabs>
      <w:snapToGrid w:val="0"/>
      <w:jc w:val="center"/>
    </w:pPr>
    <w:rPr>
      <w:sz w:val="18"/>
      <w:szCs w:val="18"/>
    </w:rPr>
  </w:style>
  <w:style w:type="character" w:customStyle="1" w:styleId="a">
    <w:name w:val="页眉 字符"/>
    <w:basedOn w:val="DefaultParagraphFont"/>
    <w:link w:val="Header"/>
    <w:rsid w:val="005C1CDD"/>
    <w:rPr>
      <w:sz w:val="18"/>
      <w:szCs w:val="18"/>
    </w:rPr>
  </w:style>
  <w:style w:type="paragraph" w:styleId="Footer">
    <w:name w:val="footer"/>
    <w:basedOn w:val="Normal"/>
    <w:link w:val="a0"/>
    <w:rsid w:val="005C1CDD"/>
    <w:pPr>
      <w:tabs>
        <w:tab w:val="center" w:pos="4153"/>
        <w:tab w:val="right" w:pos="8306"/>
      </w:tabs>
      <w:snapToGrid w:val="0"/>
    </w:pPr>
    <w:rPr>
      <w:sz w:val="18"/>
      <w:szCs w:val="18"/>
    </w:rPr>
  </w:style>
  <w:style w:type="character" w:customStyle="1" w:styleId="a0">
    <w:name w:val="页脚 字符"/>
    <w:basedOn w:val="DefaultParagraphFont"/>
    <w:link w:val="Footer"/>
    <w:rsid w:val="005C1CDD"/>
    <w:rPr>
      <w:sz w:val="18"/>
      <w:szCs w:val="18"/>
    </w:rPr>
  </w:style>
  <w:style w:type="character" w:styleId="PageNumber">
    <w:name w:val="page number"/>
    <w:basedOn w:val="DefaultParagraphFont"/>
    <w:rsid w:val="005C1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6801102613400603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3063</Words>
  <Characters>17463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2024-01-30T13:05:00Z</dcterms:created>
  <dcterms:modified xsi:type="dcterms:W3CDTF">2024-01-30T13:05:00Z</dcterms:modified>
</cp:coreProperties>
</file>