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jc w:val="center"/>
        <w:outlineLvl w:val="0"/>
        <w:rPr>
          <w:rFonts w:ascii="Times New Roman" w:hAnsi="Times New Roman"/>
          <w:snapToGrid w:val="0"/>
          <w:sz w:val="30"/>
          <w:szCs w:val="30"/>
        </w:rPr>
      </w:pPr>
      <w:r>
        <w:rPr>
          <w:rFonts w:ascii="Times New Roman" w:hAnsi="Times New Roman" w:hint="eastAsia"/>
          <w:snapToGrid w:val="0"/>
          <w:sz w:val="30"/>
          <w:szCs w:val="30"/>
        </w:rPr>
        <w:t>一、建设项目基本情况</w:t>
      </w:r>
    </w:p>
    <w:tbl>
      <w:tblPr>
        <w:tblStyle w:val="TableNormal"/>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0" w:type="dxa"/>
          <w:bottom w:w="0" w:type="dxa"/>
          <w:right w:w="0" w:type="dxa"/>
        </w:tblCellMar>
      </w:tblPr>
      <w:tblGrid>
        <w:gridCol w:w="1766"/>
        <w:gridCol w:w="2425"/>
        <w:gridCol w:w="126"/>
        <w:gridCol w:w="1843"/>
        <w:gridCol w:w="142"/>
        <w:gridCol w:w="2846"/>
      </w:tblGrid>
      <w:tr>
        <w:tblPrEx>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建设项目名称</w:t>
            </w:r>
          </w:p>
        </w:tc>
        <w:tc>
          <w:tcPr>
            <w:tcW w:w="7382" w:type="dxa"/>
            <w:gridSpan w:val="5"/>
            <w:vAlign w:val="center"/>
          </w:tcPr>
          <w:p>
            <w:pPr>
              <w:adjustRightInd w:val="0"/>
              <w:snapToGrid w:val="0"/>
              <w:spacing w:line="440" w:lineRule="exact"/>
              <w:jc w:val="center"/>
              <w:rPr>
                <w:rFonts w:cs="宋体"/>
                <w:sz w:val="24"/>
                <w:szCs w:val="21"/>
              </w:rPr>
            </w:pPr>
            <w:r>
              <w:rPr>
                <w:rFonts w:cs="宋体" w:hint="eastAsia"/>
                <w:bCs/>
                <w:sz w:val="24"/>
                <w:szCs w:val="21"/>
              </w:rPr>
              <w:t>蒲城瑞腾建材有限公司</w:t>
            </w:r>
            <w:bookmarkStart w:id="0" w:name="_GoBack"/>
            <w:r>
              <w:rPr>
                <w:rFonts w:cs="宋体" w:hint="eastAsia"/>
                <w:bCs/>
                <w:sz w:val="24"/>
                <w:szCs w:val="21"/>
              </w:rPr>
              <w:t>年产100万块非遗古建雕砖提升改造项目</w:t>
            </w:r>
            <w:bookmarkEnd w:id="0"/>
          </w:p>
        </w:tc>
      </w:tr>
      <w:tr>
        <w:tblPrEx>
          <w:tblW w:w="5190" w:type="pct"/>
          <w:jc w:val="center"/>
          <w:tblLayout w:type="fixed"/>
          <w:tblCellMar>
            <w:top w:w="0" w:type="dxa"/>
            <w:left w:w="0" w:type="dxa"/>
            <w:bottom w:w="0" w:type="dxa"/>
            <w:right w:w="0" w:type="dxa"/>
          </w:tblCellMar>
        </w:tblPrEx>
        <w:trPr>
          <w:trHeight w:val="457"/>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项目代码</w:t>
            </w:r>
          </w:p>
        </w:tc>
        <w:tc>
          <w:tcPr>
            <w:tcW w:w="7382" w:type="dxa"/>
            <w:gridSpan w:val="5"/>
            <w:vAlign w:val="center"/>
          </w:tcPr>
          <w:p>
            <w:pPr>
              <w:adjustRightInd w:val="0"/>
              <w:snapToGrid w:val="0"/>
              <w:spacing w:line="440" w:lineRule="exact"/>
              <w:jc w:val="center"/>
              <w:rPr>
                <w:rFonts w:cs="宋体"/>
                <w:sz w:val="24"/>
                <w:szCs w:val="21"/>
              </w:rPr>
            </w:pPr>
            <w:r>
              <w:rPr>
                <w:rFonts w:cs="宋体" w:hint="eastAsia"/>
                <w:sz w:val="24"/>
                <w:szCs w:val="21"/>
              </w:rPr>
              <w:t>/</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建设单位联系人</w:t>
            </w:r>
          </w:p>
        </w:tc>
        <w:tc>
          <w:tcPr>
            <w:tcW w:w="2425" w:type="dxa"/>
            <w:vAlign w:val="center"/>
          </w:tcPr>
          <w:p>
            <w:pPr>
              <w:adjustRightInd w:val="0"/>
              <w:snapToGrid w:val="0"/>
              <w:spacing w:line="440" w:lineRule="exact"/>
              <w:jc w:val="center"/>
              <w:rPr>
                <w:rFonts w:cs="宋体"/>
                <w:sz w:val="24"/>
                <w:szCs w:val="21"/>
              </w:rPr>
            </w:pPr>
          </w:p>
        </w:tc>
        <w:tc>
          <w:tcPr>
            <w:tcW w:w="1969" w:type="dxa"/>
            <w:gridSpan w:val="2"/>
            <w:vAlign w:val="center"/>
          </w:tcPr>
          <w:p>
            <w:pPr>
              <w:adjustRightInd w:val="0"/>
              <w:snapToGrid w:val="0"/>
              <w:spacing w:line="440" w:lineRule="exact"/>
              <w:jc w:val="center"/>
              <w:rPr>
                <w:rFonts w:cs="宋体"/>
                <w:sz w:val="24"/>
                <w:szCs w:val="21"/>
              </w:rPr>
            </w:pPr>
            <w:r>
              <w:rPr>
                <w:rFonts w:cs="宋体" w:hint="eastAsia"/>
                <w:sz w:val="24"/>
                <w:szCs w:val="21"/>
              </w:rPr>
              <w:t>联系方式</w:t>
            </w:r>
          </w:p>
        </w:tc>
        <w:tc>
          <w:tcPr>
            <w:tcW w:w="2988" w:type="dxa"/>
            <w:gridSpan w:val="2"/>
            <w:vAlign w:val="center"/>
          </w:tcPr>
          <w:p>
            <w:pPr>
              <w:adjustRightInd w:val="0"/>
              <w:snapToGrid w:val="0"/>
              <w:spacing w:line="440" w:lineRule="exact"/>
              <w:jc w:val="center"/>
              <w:rPr>
                <w:rFonts w:cs="宋体"/>
                <w:sz w:val="24"/>
                <w:szCs w:val="21"/>
              </w:rPr>
            </w:pP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建设地点</w:t>
            </w:r>
          </w:p>
        </w:tc>
        <w:tc>
          <w:tcPr>
            <w:tcW w:w="7382" w:type="dxa"/>
            <w:gridSpan w:val="5"/>
            <w:vAlign w:val="center"/>
          </w:tcPr>
          <w:p>
            <w:pPr>
              <w:adjustRightInd w:val="0"/>
              <w:snapToGrid w:val="0"/>
              <w:spacing w:line="440" w:lineRule="exact"/>
              <w:jc w:val="center"/>
              <w:rPr>
                <w:rFonts w:cs="宋体"/>
                <w:sz w:val="24"/>
                <w:szCs w:val="21"/>
              </w:rPr>
            </w:pPr>
            <w:r>
              <w:rPr>
                <w:rFonts w:hAnsi="宋体" w:hint="eastAsia"/>
                <w:sz w:val="24"/>
              </w:rPr>
              <w:t>蒲城县椿林镇山前洼村</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地理坐标</w:t>
            </w:r>
          </w:p>
        </w:tc>
        <w:tc>
          <w:tcPr>
            <w:tcW w:w="7382" w:type="dxa"/>
            <w:gridSpan w:val="5"/>
            <w:vAlign w:val="center"/>
          </w:tcPr>
          <w:p>
            <w:pPr>
              <w:adjustRightInd w:val="0"/>
              <w:snapToGrid w:val="0"/>
              <w:spacing w:line="440" w:lineRule="exact"/>
              <w:jc w:val="center"/>
              <w:rPr>
                <w:rFonts w:cs="宋体"/>
                <w:sz w:val="24"/>
                <w:szCs w:val="21"/>
              </w:rPr>
            </w:pPr>
            <w:r>
              <w:rPr>
                <w:rFonts w:cs="宋体" w:hint="eastAsia"/>
                <w:sz w:val="24"/>
                <w:szCs w:val="21"/>
              </w:rPr>
              <w:t>E109</w:t>
            </w:r>
            <w:r>
              <w:rPr>
                <w:rFonts w:cs="宋体"/>
                <w:sz w:val="24"/>
                <w:szCs w:val="21"/>
              </w:rPr>
              <w:t>°</w:t>
            </w:r>
            <w:r>
              <w:rPr>
                <w:rFonts w:cs="宋体" w:hint="eastAsia"/>
                <w:sz w:val="24"/>
                <w:szCs w:val="21"/>
              </w:rPr>
              <w:t>42'16.056"、</w:t>
            </w:r>
            <w:r>
              <w:rPr>
                <w:rFonts w:cs="宋体"/>
                <w:sz w:val="24"/>
                <w:szCs w:val="21"/>
              </w:rPr>
              <w:t>N3</w:t>
            </w:r>
            <w:r>
              <w:rPr>
                <w:rFonts w:cs="宋体" w:hint="eastAsia"/>
                <w:sz w:val="24"/>
                <w:szCs w:val="21"/>
              </w:rPr>
              <w:t>5</w:t>
            </w:r>
            <w:r>
              <w:rPr>
                <w:rFonts w:cs="宋体"/>
                <w:sz w:val="24"/>
                <w:szCs w:val="21"/>
              </w:rPr>
              <w:t>°</w:t>
            </w:r>
            <w:r>
              <w:rPr>
                <w:rFonts w:cs="宋体" w:hint="eastAsia"/>
                <w:sz w:val="24"/>
                <w:szCs w:val="21"/>
              </w:rPr>
              <w:t>0</w:t>
            </w:r>
            <w:r>
              <w:rPr>
                <w:rFonts w:cs="宋体"/>
                <w:sz w:val="24"/>
                <w:szCs w:val="21"/>
              </w:rPr>
              <w:t>'</w:t>
            </w:r>
            <w:r>
              <w:rPr>
                <w:rFonts w:cs="宋体" w:hint="eastAsia"/>
                <w:sz w:val="24"/>
                <w:szCs w:val="21"/>
              </w:rPr>
              <w:t>50.310</w:t>
            </w:r>
            <w:r>
              <w:rPr>
                <w:rFonts w:cs="宋体"/>
                <w:sz w:val="24"/>
                <w:szCs w:val="21"/>
              </w:rPr>
              <w:t>"</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国民经济</w:t>
            </w:r>
          </w:p>
          <w:p>
            <w:pPr>
              <w:adjustRightInd w:val="0"/>
              <w:snapToGrid w:val="0"/>
              <w:spacing w:line="440" w:lineRule="exact"/>
              <w:jc w:val="center"/>
              <w:rPr>
                <w:rFonts w:cs="宋体"/>
                <w:sz w:val="24"/>
                <w:szCs w:val="21"/>
              </w:rPr>
            </w:pPr>
            <w:r>
              <w:rPr>
                <w:rFonts w:cs="宋体" w:hint="eastAsia"/>
                <w:sz w:val="24"/>
                <w:szCs w:val="21"/>
              </w:rPr>
              <w:t>行业类别</w:t>
            </w:r>
          </w:p>
        </w:tc>
        <w:tc>
          <w:tcPr>
            <w:tcW w:w="2551" w:type="dxa"/>
            <w:gridSpan w:val="2"/>
            <w:vAlign w:val="center"/>
          </w:tcPr>
          <w:p>
            <w:pPr>
              <w:adjustRightInd w:val="0"/>
              <w:snapToGrid w:val="0"/>
              <w:spacing w:line="440" w:lineRule="exact"/>
              <w:jc w:val="center"/>
              <w:rPr>
                <w:rFonts w:cs="宋体"/>
                <w:sz w:val="24"/>
                <w:szCs w:val="21"/>
              </w:rPr>
            </w:pPr>
            <w:r>
              <w:rPr>
                <w:rFonts w:hint="eastAsia"/>
                <w:sz w:val="24"/>
              </w:rPr>
              <w:t>C3031粘土砖瓦及建筑砌块制造</w:t>
            </w:r>
          </w:p>
        </w:tc>
        <w:tc>
          <w:tcPr>
            <w:tcW w:w="1985" w:type="dxa"/>
            <w:gridSpan w:val="2"/>
            <w:vAlign w:val="center"/>
          </w:tcPr>
          <w:p>
            <w:pPr>
              <w:adjustRightInd w:val="0"/>
              <w:snapToGrid w:val="0"/>
              <w:spacing w:line="440" w:lineRule="exact"/>
              <w:jc w:val="center"/>
              <w:rPr>
                <w:rFonts w:cs="宋体"/>
                <w:sz w:val="24"/>
                <w:szCs w:val="21"/>
              </w:rPr>
            </w:pPr>
            <w:bookmarkStart w:id="1" w:name="_Hlk49843745"/>
            <w:r>
              <w:rPr>
                <w:rFonts w:cs="宋体" w:hint="eastAsia"/>
                <w:sz w:val="24"/>
                <w:szCs w:val="21"/>
              </w:rPr>
              <w:t>建设项目行业</w:t>
            </w:r>
          </w:p>
          <w:p>
            <w:pPr>
              <w:adjustRightInd w:val="0"/>
              <w:snapToGrid w:val="0"/>
              <w:spacing w:line="440" w:lineRule="exact"/>
              <w:jc w:val="center"/>
              <w:rPr>
                <w:rFonts w:cs="宋体"/>
                <w:sz w:val="24"/>
                <w:szCs w:val="21"/>
              </w:rPr>
            </w:pPr>
            <w:r>
              <w:rPr>
                <w:rFonts w:cs="宋体" w:hint="eastAsia"/>
                <w:sz w:val="24"/>
                <w:szCs w:val="21"/>
              </w:rPr>
              <w:t>类别</w:t>
            </w:r>
            <w:bookmarkEnd w:id="1"/>
          </w:p>
        </w:tc>
        <w:tc>
          <w:tcPr>
            <w:tcW w:w="2846" w:type="dxa"/>
            <w:vAlign w:val="center"/>
          </w:tcPr>
          <w:p>
            <w:pPr>
              <w:adjustRightInd w:val="0"/>
              <w:snapToGrid w:val="0"/>
              <w:spacing w:line="440" w:lineRule="exact"/>
              <w:rPr>
                <w:rFonts w:cs="宋体"/>
                <w:sz w:val="24"/>
                <w:szCs w:val="21"/>
              </w:rPr>
            </w:pPr>
            <w:r>
              <w:rPr>
                <w:rFonts w:cs="宋体" w:hint="eastAsia"/>
                <w:sz w:val="24"/>
                <w:szCs w:val="21"/>
              </w:rPr>
              <w:t>二十七、非金属矿物制品业</w:t>
            </w:r>
          </w:p>
          <w:p>
            <w:pPr>
              <w:adjustRightInd w:val="0"/>
              <w:snapToGrid w:val="0"/>
              <w:spacing w:line="440" w:lineRule="exact"/>
              <w:rPr>
                <w:rFonts w:cs="宋体"/>
                <w:sz w:val="24"/>
                <w:szCs w:val="21"/>
              </w:rPr>
            </w:pPr>
            <w:r>
              <w:rPr>
                <w:rFonts w:cs="宋体" w:hint="eastAsia"/>
                <w:sz w:val="24"/>
                <w:szCs w:val="21"/>
              </w:rPr>
              <w:t>56砖瓦、石材等建筑材料制造303</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建设性质</w:t>
            </w:r>
          </w:p>
        </w:tc>
        <w:tc>
          <w:tcPr>
            <w:tcW w:w="2551" w:type="dxa"/>
            <w:gridSpan w:val="2"/>
            <w:vAlign w:val="center"/>
          </w:tcPr>
          <w:p>
            <w:pPr>
              <w:adjustRightInd w:val="0"/>
              <w:snapToGrid w:val="0"/>
              <w:spacing w:line="440" w:lineRule="exact"/>
              <w:jc w:val="left"/>
              <w:rPr>
                <w:rFonts w:cs="宋体"/>
                <w:sz w:val="24"/>
                <w:szCs w:val="21"/>
              </w:rPr>
            </w:pPr>
            <w:r>
              <w:rPr>
                <w:rFonts w:cs="宋体" w:hint="eastAsia"/>
                <w:sz w:val="24"/>
                <w:szCs w:val="21"/>
              </w:rPr>
              <w:t>□新建（迁建）</w:t>
            </w:r>
          </w:p>
          <w:p>
            <w:pPr>
              <w:adjustRightInd w:val="0"/>
              <w:snapToGrid w:val="0"/>
              <w:spacing w:line="440" w:lineRule="exact"/>
              <w:jc w:val="left"/>
              <w:rPr>
                <w:rFonts w:cs="宋体"/>
                <w:sz w:val="24"/>
                <w:szCs w:val="21"/>
              </w:rPr>
            </w:pPr>
            <w:r>
              <w:rPr>
                <w:rFonts w:cs="宋体" w:hint="eastAsia"/>
                <w:sz w:val="24"/>
                <w:szCs w:val="21"/>
              </w:rPr>
              <w:t>□改建</w:t>
            </w:r>
          </w:p>
          <w:p>
            <w:pPr>
              <w:adjustRightInd w:val="0"/>
              <w:snapToGrid w:val="0"/>
              <w:spacing w:line="440" w:lineRule="exact"/>
              <w:jc w:val="left"/>
              <w:rPr>
                <w:rFonts w:cs="宋体"/>
                <w:sz w:val="24"/>
                <w:szCs w:val="21"/>
              </w:rPr>
            </w:pPr>
            <w:r>
              <w:rPr>
                <w:rFonts w:cs="宋体" w:hint="eastAsia"/>
                <w:sz w:val="24"/>
                <w:szCs w:val="21"/>
              </w:rPr>
              <w:t>□扩建</w:t>
            </w:r>
          </w:p>
          <w:p>
            <w:pPr>
              <w:adjustRightInd w:val="0"/>
              <w:snapToGrid w:val="0"/>
              <w:spacing w:line="440" w:lineRule="exact"/>
              <w:jc w:val="left"/>
              <w:rPr>
                <w:rFonts w:cs="宋体"/>
                <w:sz w:val="24"/>
                <w:szCs w:val="21"/>
              </w:rPr>
            </w:pPr>
            <w:r>
              <w:rPr>
                <w:rFonts w:cs="宋体" w:hint="eastAsia"/>
                <w:sz w:val="24"/>
                <w:szCs w:val="21"/>
              </w:rPr>
              <w:t>■技术改造</w:t>
            </w:r>
          </w:p>
        </w:tc>
        <w:tc>
          <w:tcPr>
            <w:tcW w:w="1985" w:type="dxa"/>
            <w:gridSpan w:val="2"/>
            <w:vAlign w:val="center"/>
          </w:tcPr>
          <w:p>
            <w:pPr>
              <w:adjustRightInd w:val="0"/>
              <w:snapToGrid w:val="0"/>
              <w:spacing w:line="440" w:lineRule="exact"/>
              <w:jc w:val="center"/>
              <w:rPr>
                <w:rFonts w:cs="宋体"/>
                <w:sz w:val="24"/>
                <w:szCs w:val="21"/>
              </w:rPr>
            </w:pPr>
            <w:r>
              <w:rPr>
                <w:rFonts w:cs="宋体" w:hint="eastAsia"/>
                <w:sz w:val="24"/>
                <w:szCs w:val="21"/>
              </w:rPr>
              <w:t>建设项目</w:t>
            </w:r>
          </w:p>
          <w:p>
            <w:pPr>
              <w:adjustRightInd w:val="0"/>
              <w:snapToGrid w:val="0"/>
              <w:spacing w:line="440" w:lineRule="exact"/>
              <w:jc w:val="center"/>
              <w:rPr>
                <w:rFonts w:cs="宋体"/>
                <w:sz w:val="24"/>
                <w:szCs w:val="21"/>
              </w:rPr>
            </w:pPr>
            <w:r>
              <w:rPr>
                <w:rFonts w:cs="宋体" w:hint="eastAsia"/>
                <w:sz w:val="24"/>
                <w:szCs w:val="21"/>
              </w:rPr>
              <w:t>申报情形</w:t>
            </w:r>
          </w:p>
        </w:tc>
        <w:tc>
          <w:tcPr>
            <w:tcW w:w="2846" w:type="dxa"/>
            <w:vAlign w:val="center"/>
          </w:tcPr>
          <w:p>
            <w:pPr>
              <w:adjustRightInd w:val="0"/>
              <w:snapToGrid w:val="0"/>
              <w:spacing w:line="440" w:lineRule="exact"/>
              <w:jc w:val="left"/>
              <w:rPr>
                <w:rFonts w:cs="宋体"/>
                <w:sz w:val="24"/>
                <w:szCs w:val="21"/>
              </w:rPr>
            </w:pPr>
            <w:r>
              <w:rPr>
                <w:rFonts w:cs="宋体" w:hint="eastAsia"/>
                <w:sz w:val="24"/>
                <w:szCs w:val="21"/>
              </w:rPr>
              <w:t>■首次申报项目</w:t>
            </w:r>
          </w:p>
          <w:p>
            <w:pPr>
              <w:adjustRightInd w:val="0"/>
              <w:snapToGrid w:val="0"/>
              <w:spacing w:line="440" w:lineRule="exact"/>
              <w:jc w:val="left"/>
              <w:rPr>
                <w:rFonts w:cs="宋体"/>
                <w:sz w:val="24"/>
                <w:szCs w:val="21"/>
              </w:rPr>
            </w:pPr>
            <w:r>
              <w:rPr>
                <w:rFonts w:cs="宋体" w:hint="eastAsia"/>
                <w:sz w:val="24"/>
                <w:szCs w:val="21"/>
              </w:rPr>
              <w:t>□不予批准后再次申报项目</w:t>
            </w:r>
          </w:p>
          <w:p>
            <w:pPr>
              <w:adjustRightInd w:val="0"/>
              <w:snapToGrid w:val="0"/>
              <w:spacing w:line="440" w:lineRule="exact"/>
              <w:jc w:val="left"/>
              <w:rPr>
                <w:rFonts w:cs="宋体"/>
                <w:sz w:val="24"/>
                <w:szCs w:val="21"/>
              </w:rPr>
            </w:pPr>
            <w:r>
              <w:rPr>
                <w:rFonts w:ascii="Wingdings 2" w:hAnsi="Wingdings 2" w:cs="宋体"/>
                <w:sz w:val="24"/>
                <w:szCs w:val="21"/>
              </w:rPr>
              <w:sym w:font="Wingdings 2" w:char="F0A3"/>
            </w:r>
            <w:r>
              <w:rPr>
                <w:rFonts w:cs="宋体" w:hint="eastAsia"/>
                <w:sz w:val="24"/>
                <w:szCs w:val="21"/>
              </w:rPr>
              <w:t>超五年重新审核项目</w:t>
            </w:r>
          </w:p>
          <w:p>
            <w:pPr>
              <w:adjustRightInd w:val="0"/>
              <w:snapToGrid w:val="0"/>
              <w:spacing w:line="440" w:lineRule="exact"/>
              <w:jc w:val="left"/>
              <w:rPr>
                <w:rFonts w:cs="宋体"/>
                <w:sz w:val="24"/>
                <w:szCs w:val="21"/>
              </w:rPr>
            </w:pPr>
            <w:r>
              <w:rPr>
                <w:rFonts w:cs="宋体" w:hint="eastAsia"/>
                <w:sz w:val="24"/>
                <w:szCs w:val="21"/>
              </w:rPr>
              <w:t>□重大变动重新报批项目</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项目审批（核准</w:t>
            </w:r>
            <w:r>
              <w:rPr>
                <w:rFonts w:cs="宋体"/>
                <w:sz w:val="24"/>
                <w:szCs w:val="21"/>
              </w:rPr>
              <w:t>/</w:t>
            </w:r>
            <w:r>
              <w:rPr>
                <w:rFonts w:cs="宋体" w:hint="eastAsia"/>
                <w:sz w:val="24"/>
                <w:szCs w:val="21"/>
              </w:rPr>
              <w:t>备案）部门（选填）</w:t>
            </w:r>
          </w:p>
        </w:tc>
        <w:tc>
          <w:tcPr>
            <w:tcW w:w="2551" w:type="dxa"/>
            <w:gridSpan w:val="2"/>
            <w:vAlign w:val="center"/>
          </w:tcPr>
          <w:p>
            <w:pPr>
              <w:adjustRightInd w:val="0"/>
              <w:snapToGrid w:val="0"/>
              <w:spacing w:line="440" w:lineRule="exact"/>
              <w:jc w:val="center"/>
              <w:rPr>
                <w:rFonts w:cs="宋体"/>
                <w:sz w:val="24"/>
                <w:szCs w:val="21"/>
              </w:rPr>
            </w:pPr>
            <w:r>
              <w:rPr>
                <w:rFonts w:cs="宋体" w:hint="eastAsia"/>
                <w:sz w:val="24"/>
                <w:szCs w:val="21"/>
              </w:rPr>
              <w:t>/</w:t>
            </w:r>
          </w:p>
        </w:tc>
        <w:tc>
          <w:tcPr>
            <w:tcW w:w="1985" w:type="dxa"/>
            <w:gridSpan w:val="2"/>
            <w:vAlign w:val="center"/>
          </w:tcPr>
          <w:p>
            <w:pPr>
              <w:adjustRightInd w:val="0"/>
              <w:snapToGrid w:val="0"/>
              <w:spacing w:line="440" w:lineRule="exact"/>
              <w:jc w:val="center"/>
              <w:rPr>
                <w:rFonts w:cs="宋体"/>
                <w:sz w:val="24"/>
                <w:szCs w:val="21"/>
              </w:rPr>
            </w:pPr>
            <w:r>
              <w:rPr>
                <w:rFonts w:cs="宋体" w:hint="eastAsia"/>
                <w:sz w:val="24"/>
                <w:szCs w:val="21"/>
              </w:rPr>
              <w:t>项目审批（核准</w:t>
            </w:r>
            <w:r>
              <w:rPr>
                <w:rFonts w:cs="宋体"/>
                <w:sz w:val="24"/>
                <w:szCs w:val="21"/>
              </w:rPr>
              <w:t>/</w:t>
            </w:r>
            <w:r>
              <w:rPr>
                <w:rFonts w:cs="宋体" w:hint="eastAsia"/>
                <w:sz w:val="24"/>
                <w:szCs w:val="21"/>
              </w:rPr>
              <w:t>备案）文号（选填）</w:t>
            </w:r>
          </w:p>
        </w:tc>
        <w:tc>
          <w:tcPr>
            <w:tcW w:w="2846" w:type="dxa"/>
            <w:vAlign w:val="center"/>
          </w:tcPr>
          <w:p>
            <w:pPr>
              <w:adjustRightInd w:val="0"/>
              <w:snapToGrid w:val="0"/>
              <w:spacing w:line="440" w:lineRule="exact"/>
              <w:jc w:val="center"/>
              <w:rPr>
                <w:rFonts w:cs="宋体"/>
                <w:sz w:val="24"/>
                <w:szCs w:val="21"/>
              </w:rPr>
            </w:pPr>
            <w:r>
              <w:rPr>
                <w:rFonts w:cs="宋体" w:hint="eastAsia"/>
                <w:sz w:val="24"/>
                <w:szCs w:val="21"/>
              </w:rPr>
              <w:t>无</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总投资（万元）</w:t>
            </w:r>
          </w:p>
        </w:tc>
        <w:tc>
          <w:tcPr>
            <w:tcW w:w="2551" w:type="dxa"/>
            <w:gridSpan w:val="2"/>
            <w:vAlign w:val="center"/>
          </w:tcPr>
          <w:p>
            <w:pPr>
              <w:adjustRightInd w:val="0"/>
              <w:snapToGrid w:val="0"/>
              <w:spacing w:line="440" w:lineRule="exact"/>
              <w:jc w:val="center"/>
              <w:rPr>
                <w:rFonts w:cs="宋体"/>
                <w:sz w:val="24"/>
                <w:szCs w:val="21"/>
              </w:rPr>
            </w:pPr>
            <w:r>
              <w:rPr>
                <w:rFonts w:hint="eastAsia"/>
                <w:sz w:val="24"/>
              </w:rPr>
              <w:t>600</w:t>
            </w:r>
          </w:p>
        </w:tc>
        <w:tc>
          <w:tcPr>
            <w:tcW w:w="1985" w:type="dxa"/>
            <w:gridSpan w:val="2"/>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环保投资（万元）</w:t>
            </w:r>
          </w:p>
        </w:tc>
        <w:tc>
          <w:tcPr>
            <w:tcW w:w="2846" w:type="dxa"/>
            <w:vAlign w:val="center"/>
          </w:tcPr>
          <w:p>
            <w:pPr>
              <w:adjustRightInd w:val="0"/>
              <w:snapToGrid w:val="0"/>
              <w:spacing w:line="440" w:lineRule="exact"/>
              <w:jc w:val="center"/>
              <w:rPr>
                <w:rFonts w:cs="宋体"/>
                <w:sz w:val="24"/>
                <w:szCs w:val="21"/>
              </w:rPr>
            </w:pPr>
            <w:r>
              <w:rPr>
                <w:rFonts w:cs="宋体" w:hint="eastAsia"/>
                <w:sz w:val="24"/>
                <w:szCs w:val="21"/>
              </w:rPr>
              <w:t>50</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环保投资占比（</w:t>
            </w:r>
            <w:r>
              <w:rPr>
                <w:rFonts w:cs="宋体"/>
                <w:sz w:val="24"/>
                <w:szCs w:val="21"/>
              </w:rPr>
              <w:t>%</w:t>
            </w:r>
            <w:r>
              <w:rPr>
                <w:rFonts w:cs="宋体" w:hint="eastAsia"/>
                <w:sz w:val="24"/>
                <w:szCs w:val="21"/>
              </w:rPr>
              <w:t>）</w:t>
            </w:r>
          </w:p>
        </w:tc>
        <w:tc>
          <w:tcPr>
            <w:tcW w:w="2551" w:type="dxa"/>
            <w:gridSpan w:val="2"/>
            <w:vAlign w:val="center"/>
          </w:tcPr>
          <w:p>
            <w:pPr>
              <w:adjustRightInd w:val="0"/>
              <w:snapToGrid w:val="0"/>
              <w:spacing w:line="440" w:lineRule="exact"/>
              <w:jc w:val="center"/>
              <w:rPr>
                <w:rFonts w:cs="宋体"/>
                <w:sz w:val="24"/>
                <w:szCs w:val="21"/>
              </w:rPr>
            </w:pPr>
            <w:r>
              <w:rPr>
                <w:rFonts w:cs="宋体" w:hint="eastAsia"/>
                <w:sz w:val="24"/>
                <w:szCs w:val="21"/>
              </w:rPr>
              <w:t>8.3</w:t>
            </w:r>
          </w:p>
        </w:tc>
        <w:tc>
          <w:tcPr>
            <w:tcW w:w="1985" w:type="dxa"/>
            <w:gridSpan w:val="2"/>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施工工期</w:t>
            </w:r>
          </w:p>
        </w:tc>
        <w:tc>
          <w:tcPr>
            <w:tcW w:w="2846" w:type="dxa"/>
            <w:vAlign w:val="center"/>
          </w:tcPr>
          <w:p>
            <w:pPr>
              <w:adjustRightInd w:val="0"/>
              <w:snapToGrid w:val="0"/>
              <w:spacing w:line="440" w:lineRule="exact"/>
              <w:jc w:val="center"/>
              <w:rPr>
                <w:rFonts w:cs="宋体"/>
                <w:sz w:val="24"/>
                <w:szCs w:val="21"/>
              </w:rPr>
            </w:pPr>
            <w:r>
              <w:rPr>
                <w:rFonts w:cs="宋体" w:hint="eastAsia"/>
                <w:sz w:val="24"/>
                <w:szCs w:val="21"/>
              </w:rPr>
              <w:t>12个月</w:t>
            </w:r>
          </w:p>
        </w:tc>
      </w:tr>
      <w:tr>
        <w:tblPrEx>
          <w:tblW w:w="5190" w:type="pct"/>
          <w:jc w:val="center"/>
          <w:tblLayout w:type="fixed"/>
          <w:tblCellMar>
            <w:top w:w="0" w:type="dxa"/>
            <w:left w:w="0" w:type="dxa"/>
            <w:bottom w:w="0" w:type="dxa"/>
            <w:right w:w="0" w:type="dxa"/>
          </w:tblCellMar>
        </w:tblPrEx>
        <w:trPr>
          <w:jc w:val="center"/>
        </w:trPr>
        <w:tc>
          <w:tcPr>
            <w:tcW w:w="1766" w:type="dxa"/>
            <w:tcMar>
              <w:top w:w="16" w:type="dxa"/>
              <w:left w:w="16" w:type="dxa"/>
              <w:right w:w="16" w:type="dxa"/>
            </w:tcMar>
            <w:vAlign w:val="center"/>
          </w:tcPr>
          <w:p>
            <w:pPr>
              <w:adjustRightInd w:val="0"/>
              <w:snapToGrid w:val="0"/>
              <w:spacing w:line="440" w:lineRule="exact"/>
              <w:jc w:val="center"/>
              <w:rPr>
                <w:rFonts w:cs="宋体"/>
                <w:sz w:val="24"/>
                <w:szCs w:val="21"/>
              </w:rPr>
            </w:pPr>
            <w:r>
              <w:rPr>
                <w:rFonts w:cs="宋体" w:hint="eastAsia"/>
                <w:sz w:val="24"/>
                <w:szCs w:val="21"/>
              </w:rPr>
              <w:t>是否开工建设</w:t>
            </w:r>
          </w:p>
        </w:tc>
        <w:tc>
          <w:tcPr>
            <w:tcW w:w="2551" w:type="dxa"/>
            <w:gridSpan w:val="2"/>
            <w:vAlign w:val="center"/>
          </w:tcPr>
          <w:p>
            <w:pPr>
              <w:adjustRightInd w:val="0"/>
              <w:snapToGrid w:val="0"/>
              <w:spacing w:line="440" w:lineRule="exact"/>
              <w:rPr>
                <w:rFonts w:cs="宋体"/>
                <w:sz w:val="24"/>
                <w:szCs w:val="21"/>
              </w:rPr>
            </w:pPr>
            <w:r>
              <w:rPr>
                <w:rFonts w:cs="宋体" w:hint="eastAsia"/>
                <w:sz w:val="24"/>
                <w:szCs w:val="21"/>
              </w:rPr>
              <w:t>■否</w:t>
            </w:r>
          </w:p>
          <w:p>
            <w:pPr>
              <w:adjustRightInd w:val="0"/>
              <w:snapToGrid w:val="0"/>
              <w:spacing w:line="440" w:lineRule="exact"/>
              <w:rPr>
                <w:rFonts w:cs="宋体"/>
                <w:sz w:val="24"/>
                <w:szCs w:val="21"/>
              </w:rPr>
            </w:pPr>
            <w:r>
              <w:rPr>
                <w:rFonts w:ascii="Wingdings 2" w:hAnsi="Wingdings 2" w:cs="宋体"/>
                <w:sz w:val="24"/>
                <w:szCs w:val="21"/>
              </w:rPr>
              <w:sym w:font="Wingdings 2" w:char="F0A3"/>
            </w:r>
            <w:r>
              <w:rPr>
                <w:rFonts w:cs="宋体" w:hint="eastAsia"/>
                <w:sz w:val="24"/>
                <w:szCs w:val="21"/>
              </w:rPr>
              <w:t>是</w:t>
            </w:r>
          </w:p>
        </w:tc>
        <w:tc>
          <w:tcPr>
            <w:tcW w:w="1985" w:type="dxa"/>
            <w:gridSpan w:val="2"/>
            <w:tcMar>
              <w:top w:w="16" w:type="dxa"/>
              <w:left w:w="16" w:type="dxa"/>
              <w:right w:w="16" w:type="dxa"/>
            </w:tcMar>
            <w:vAlign w:val="center"/>
          </w:tcPr>
          <w:p>
            <w:pPr>
              <w:adjustRightInd w:val="0"/>
              <w:snapToGrid w:val="0"/>
              <w:spacing w:line="440" w:lineRule="exact"/>
              <w:jc w:val="center"/>
              <w:rPr>
                <w:rFonts w:cs="宋体"/>
                <w:spacing w:val="-6"/>
                <w:sz w:val="24"/>
                <w:szCs w:val="21"/>
              </w:rPr>
            </w:pPr>
            <w:r>
              <w:rPr>
                <w:rFonts w:cs="宋体" w:hint="eastAsia"/>
                <w:spacing w:val="-6"/>
                <w:sz w:val="24"/>
                <w:szCs w:val="21"/>
              </w:rPr>
              <w:t>用地（用海）</w:t>
            </w:r>
          </w:p>
          <w:p>
            <w:pPr>
              <w:adjustRightInd w:val="0"/>
              <w:snapToGrid w:val="0"/>
              <w:spacing w:line="440" w:lineRule="exact"/>
              <w:jc w:val="center"/>
              <w:rPr>
                <w:rFonts w:cs="宋体"/>
                <w:sz w:val="24"/>
                <w:szCs w:val="21"/>
              </w:rPr>
            </w:pPr>
            <w:r>
              <w:rPr>
                <w:rFonts w:cs="宋体" w:hint="eastAsia"/>
                <w:spacing w:val="-6"/>
                <w:sz w:val="24"/>
                <w:szCs w:val="21"/>
              </w:rPr>
              <w:t>面积（</w:t>
            </w:r>
            <w:r>
              <w:rPr>
                <w:rFonts w:cs="宋体"/>
                <w:spacing w:val="-6"/>
                <w:sz w:val="24"/>
                <w:szCs w:val="21"/>
              </w:rPr>
              <w:t>m</w:t>
            </w:r>
            <w:r>
              <w:rPr>
                <w:rFonts w:cs="宋体"/>
                <w:spacing w:val="-6"/>
                <w:sz w:val="24"/>
                <w:szCs w:val="21"/>
                <w:vertAlign w:val="superscript"/>
              </w:rPr>
              <w:t>2</w:t>
            </w:r>
            <w:r>
              <w:rPr>
                <w:rFonts w:cs="宋体" w:hint="eastAsia"/>
                <w:spacing w:val="-6"/>
                <w:sz w:val="24"/>
                <w:szCs w:val="21"/>
              </w:rPr>
              <w:t>）</w:t>
            </w:r>
          </w:p>
        </w:tc>
        <w:tc>
          <w:tcPr>
            <w:tcW w:w="2846" w:type="dxa"/>
            <w:vAlign w:val="center"/>
          </w:tcPr>
          <w:p>
            <w:pPr>
              <w:adjustRightInd w:val="0"/>
              <w:snapToGrid w:val="0"/>
              <w:spacing w:line="440" w:lineRule="exact"/>
              <w:jc w:val="center"/>
              <w:rPr>
                <w:rFonts w:cs="宋体"/>
                <w:sz w:val="24"/>
                <w:szCs w:val="21"/>
              </w:rPr>
            </w:pPr>
            <w:r>
              <w:rPr>
                <w:rFonts w:hint="eastAsia"/>
                <w:sz w:val="24"/>
              </w:rPr>
              <w:t>10000</w:t>
            </w:r>
          </w:p>
        </w:tc>
      </w:tr>
      <w:tr>
        <w:tblPrEx>
          <w:tblW w:w="5190" w:type="pct"/>
          <w:jc w:val="center"/>
          <w:tblLayout w:type="fixed"/>
          <w:tblCellMar>
            <w:top w:w="0" w:type="dxa"/>
            <w:left w:w="108" w:type="dxa"/>
            <w:bottom w:w="0" w:type="dxa"/>
            <w:right w:w="108" w:type="dxa"/>
          </w:tblCellMar>
        </w:tblPrEx>
        <w:trPr>
          <w:jc w:val="center"/>
        </w:trPr>
        <w:tc>
          <w:tcPr>
            <w:tcW w:w="1766" w:type="dxa"/>
            <w:vAlign w:val="center"/>
          </w:tcPr>
          <w:p>
            <w:pPr>
              <w:autoSpaceDE w:val="0"/>
              <w:autoSpaceDN w:val="0"/>
              <w:adjustRightInd w:val="0"/>
              <w:snapToGrid w:val="0"/>
              <w:spacing w:line="440" w:lineRule="exact"/>
              <w:jc w:val="center"/>
              <w:rPr>
                <w:rFonts w:cs="宋体"/>
                <w:kern w:val="0"/>
                <w:sz w:val="24"/>
                <w:szCs w:val="21"/>
              </w:rPr>
            </w:pPr>
            <w:r>
              <w:rPr>
                <w:rFonts w:cs="宋体" w:hint="eastAsia"/>
                <w:kern w:val="0"/>
                <w:sz w:val="24"/>
                <w:szCs w:val="21"/>
              </w:rPr>
              <w:t>专项评价设置情况</w:t>
            </w:r>
          </w:p>
        </w:tc>
        <w:tc>
          <w:tcPr>
            <w:tcW w:w="7382" w:type="dxa"/>
            <w:gridSpan w:val="5"/>
            <w:vAlign w:val="center"/>
          </w:tcPr>
          <w:p>
            <w:pPr>
              <w:autoSpaceDE w:val="0"/>
              <w:autoSpaceDN w:val="0"/>
              <w:adjustRightInd w:val="0"/>
              <w:snapToGrid w:val="0"/>
              <w:spacing w:line="440" w:lineRule="exact"/>
              <w:jc w:val="center"/>
              <w:rPr>
                <w:rFonts w:cs="宋体"/>
                <w:kern w:val="0"/>
                <w:sz w:val="24"/>
                <w:szCs w:val="21"/>
              </w:rPr>
            </w:pPr>
            <w:r>
              <w:rPr>
                <w:rFonts w:cs="宋体" w:hint="eastAsia"/>
                <w:kern w:val="0"/>
                <w:sz w:val="24"/>
                <w:szCs w:val="21"/>
              </w:rPr>
              <w:t>无</w:t>
            </w:r>
          </w:p>
        </w:tc>
      </w:tr>
    </w:tbl>
    <w:p>
      <w:pPr>
        <w:sectPr>
          <w:footerReference w:type="default" r:id="rId6"/>
          <w:pgSz w:w="11906" w:h="16838"/>
          <w:pgMar w:top="1418" w:right="1418" w:bottom="1134" w:left="1701" w:header="851" w:footer="1077" w:gutter="0"/>
          <w:cols w:num="1" w:space="720"/>
          <w:docGrid w:linePitch="312" w:charSpace="0"/>
        </w:sectPr>
      </w:pPr>
    </w:p>
    <w:tbl>
      <w:tblPr>
        <w:tblStyle w:val="TableNormal"/>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804"/>
        <w:gridCol w:w="7541"/>
      </w:tblGrid>
      <w:tr>
        <w:tblPrEx>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766" w:type="dxa"/>
            <w:vAlign w:val="center"/>
          </w:tcPr>
          <w:p>
            <w:pPr>
              <w:autoSpaceDE w:val="0"/>
              <w:autoSpaceDN w:val="0"/>
              <w:adjustRightInd w:val="0"/>
              <w:snapToGrid w:val="0"/>
              <w:spacing w:line="440" w:lineRule="exact"/>
              <w:jc w:val="center"/>
              <w:rPr>
                <w:rFonts w:cs="宋体"/>
                <w:sz w:val="24"/>
                <w:szCs w:val="21"/>
              </w:rPr>
            </w:pPr>
            <w:r>
              <w:rPr>
                <w:rFonts w:cs="宋体" w:hint="eastAsia"/>
                <w:sz w:val="24"/>
                <w:szCs w:val="21"/>
              </w:rPr>
              <w:t>规划情况</w:t>
            </w:r>
          </w:p>
        </w:tc>
        <w:tc>
          <w:tcPr>
            <w:tcW w:w="7382" w:type="dxa"/>
            <w:vAlign w:val="center"/>
          </w:tcPr>
          <w:p>
            <w:pPr>
              <w:autoSpaceDE w:val="0"/>
              <w:autoSpaceDN w:val="0"/>
              <w:adjustRightInd w:val="0"/>
              <w:snapToGrid w:val="0"/>
              <w:spacing w:line="440" w:lineRule="exact"/>
              <w:jc w:val="center"/>
              <w:rPr>
                <w:rFonts w:cs="宋体"/>
                <w:kern w:val="0"/>
                <w:sz w:val="24"/>
                <w:szCs w:val="21"/>
              </w:rPr>
            </w:pPr>
            <w:r>
              <w:rPr>
                <w:rFonts w:cs="宋体" w:hint="eastAsia"/>
                <w:kern w:val="0"/>
                <w:sz w:val="24"/>
                <w:szCs w:val="21"/>
              </w:rPr>
              <w:t>无</w:t>
            </w:r>
          </w:p>
        </w:tc>
      </w:tr>
      <w:tr>
        <w:tblPrEx>
          <w:tblW w:w="5190" w:type="pct"/>
          <w:jc w:val="center"/>
          <w:tblLayout w:type="fixed"/>
          <w:tblCellMar>
            <w:top w:w="0" w:type="dxa"/>
            <w:left w:w="108" w:type="dxa"/>
            <w:bottom w:w="0" w:type="dxa"/>
            <w:right w:w="108" w:type="dxa"/>
          </w:tblCellMar>
        </w:tblPrEx>
        <w:trPr>
          <w:jc w:val="center"/>
        </w:trPr>
        <w:tc>
          <w:tcPr>
            <w:tcW w:w="1766" w:type="dxa"/>
            <w:vAlign w:val="center"/>
          </w:tcPr>
          <w:p>
            <w:pPr>
              <w:adjustRightInd w:val="0"/>
              <w:snapToGrid w:val="0"/>
              <w:spacing w:line="440" w:lineRule="exact"/>
              <w:jc w:val="center"/>
              <w:rPr>
                <w:rFonts w:cs="宋体"/>
                <w:kern w:val="0"/>
                <w:sz w:val="24"/>
                <w:szCs w:val="21"/>
              </w:rPr>
            </w:pPr>
            <w:r>
              <w:rPr>
                <w:rFonts w:cs="宋体" w:hint="eastAsia"/>
                <w:sz w:val="24"/>
                <w:szCs w:val="21"/>
              </w:rPr>
              <w:t>规划环境影响评价情况</w:t>
            </w:r>
          </w:p>
        </w:tc>
        <w:tc>
          <w:tcPr>
            <w:tcW w:w="7382" w:type="dxa"/>
            <w:vAlign w:val="center"/>
          </w:tcPr>
          <w:p>
            <w:pPr>
              <w:autoSpaceDE w:val="0"/>
              <w:autoSpaceDN w:val="0"/>
              <w:adjustRightInd w:val="0"/>
              <w:snapToGrid w:val="0"/>
              <w:spacing w:line="440" w:lineRule="exact"/>
              <w:jc w:val="center"/>
              <w:rPr>
                <w:rFonts w:cs="宋体"/>
                <w:kern w:val="0"/>
                <w:sz w:val="24"/>
                <w:szCs w:val="21"/>
              </w:rPr>
            </w:pPr>
            <w:r>
              <w:rPr>
                <w:rFonts w:cs="宋体" w:hint="eastAsia"/>
                <w:kern w:val="0"/>
                <w:sz w:val="24"/>
                <w:szCs w:val="21"/>
              </w:rPr>
              <w:t>无</w:t>
            </w:r>
          </w:p>
        </w:tc>
      </w:tr>
      <w:tr>
        <w:tblPrEx>
          <w:tblW w:w="5190" w:type="pct"/>
          <w:jc w:val="center"/>
          <w:tblLayout w:type="fixed"/>
          <w:tblCellMar>
            <w:top w:w="0" w:type="dxa"/>
            <w:left w:w="108" w:type="dxa"/>
            <w:bottom w:w="0" w:type="dxa"/>
            <w:right w:w="108" w:type="dxa"/>
          </w:tblCellMar>
        </w:tblPrEx>
        <w:trPr>
          <w:trHeight w:val="830"/>
          <w:jc w:val="center"/>
        </w:trPr>
        <w:tc>
          <w:tcPr>
            <w:tcW w:w="1766" w:type="dxa"/>
            <w:vAlign w:val="center"/>
          </w:tcPr>
          <w:p>
            <w:pPr>
              <w:autoSpaceDE w:val="0"/>
              <w:autoSpaceDN w:val="0"/>
              <w:adjustRightInd w:val="0"/>
              <w:snapToGrid w:val="0"/>
              <w:spacing w:line="440" w:lineRule="exact"/>
              <w:jc w:val="center"/>
              <w:rPr>
                <w:rFonts w:cs="宋体"/>
                <w:kern w:val="0"/>
                <w:sz w:val="24"/>
                <w:szCs w:val="21"/>
              </w:rPr>
            </w:pPr>
            <w:r>
              <w:rPr>
                <w:rFonts w:cs="宋体" w:hint="eastAsia"/>
                <w:kern w:val="0"/>
                <w:sz w:val="24"/>
                <w:szCs w:val="21"/>
              </w:rPr>
              <w:t>规划及规划环境影响评价符合性分析</w:t>
            </w:r>
          </w:p>
        </w:tc>
        <w:tc>
          <w:tcPr>
            <w:tcW w:w="7382" w:type="dxa"/>
            <w:vAlign w:val="center"/>
          </w:tcPr>
          <w:p>
            <w:pPr>
              <w:autoSpaceDE w:val="0"/>
              <w:autoSpaceDN w:val="0"/>
              <w:adjustRightInd w:val="0"/>
              <w:snapToGrid w:val="0"/>
              <w:spacing w:line="440" w:lineRule="exact"/>
              <w:jc w:val="center"/>
              <w:rPr>
                <w:rFonts w:cs="宋体"/>
                <w:kern w:val="0"/>
                <w:sz w:val="24"/>
                <w:szCs w:val="21"/>
              </w:rPr>
            </w:pPr>
            <w:r>
              <w:rPr>
                <w:rFonts w:cs="宋体" w:hint="eastAsia"/>
                <w:kern w:val="0"/>
                <w:sz w:val="24"/>
                <w:szCs w:val="21"/>
              </w:rPr>
              <w:t>无</w:t>
            </w:r>
          </w:p>
        </w:tc>
      </w:tr>
    </w:tbl>
    <w:p>
      <w:pPr>
        <w:sectPr>
          <w:footerReference w:type="default" r:id="rId7"/>
          <w:type w:val="nextPage"/>
          <w:pgSz w:w="11906" w:h="16838"/>
          <w:pgMar w:top="1418" w:right="1418" w:bottom="1134" w:left="1701" w:header="851" w:footer="1077" w:gutter="0"/>
          <w:pgNumType w:start="2"/>
          <w:cols w:num="1" w:space="720"/>
          <w:titlePg w:val="0"/>
          <w:docGrid w:linePitch="312" w:charSpace="0"/>
        </w:sectPr>
      </w:pPr>
    </w:p>
    <w:tbl>
      <w:tblPr>
        <w:tblStyle w:val="TableNormal"/>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804"/>
        <w:gridCol w:w="7541"/>
      </w:tblGrid>
      <w:tr>
        <w:tblPrEx>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315"/>
          <w:jc w:val="center"/>
        </w:trPr>
        <w:tc>
          <w:tcPr>
            <w:tcW w:w="1766" w:type="dxa"/>
            <w:vAlign w:val="center"/>
          </w:tcPr>
          <w:p>
            <w:pPr>
              <w:autoSpaceDE w:val="0"/>
              <w:autoSpaceDN w:val="0"/>
              <w:adjustRightInd w:val="0"/>
              <w:snapToGrid w:val="0"/>
              <w:spacing w:line="400" w:lineRule="exact"/>
              <w:jc w:val="center"/>
              <w:rPr>
                <w:rFonts w:cs="宋体"/>
                <w:kern w:val="0"/>
                <w:sz w:val="24"/>
                <w:szCs w:val="21"/>
              </w:rPr>
            </w:pPr>
            <w:r>
              <w:rPr>
                <w:rFonts w:cs="宋体" w:hint="eastAsia"/>
                <w:kern w:val="0"/>
                <w:sz w:val="24"/>
                <w:szCs w:val="21"/>
              </w:rPr>
              <w:t>其他符合性分析</w:t>
            </w:r>
          </w:p>
        </w:tc>
        <w:tc>
          <w:tcPr>
            <w:tcW w:w="7382" w:type="dxa"/>
          </w:tcPr>
          <w:p>
            <w:pPr>
              <w:adjustRightInd w:val="0"/>
              <w:snapToGrid w:val="0"/>
              <w:spacing w:line="480" w:lineRule="exact"/>
              <w:ind w:firstLine="480" w:firstLineChars="200"/>
              <w:jc w:val="left"/>
              <w:rPr>
                <w:b/>
                <w:bCs/>
                <w:sz w:val="24"/>
              </w:rPr>
            </w:pPr>
            <w:r>
              <w:rPr>
                <w:rFonts w:hint="eastAsia"/>
                <w:b/>
                <w:bCs/>
                <w:sz w:val="24"/>
              </w:rPr>
              <w:t>（1）项目产业政策的符合性</w:t>
            </w:r>
          </w:p>
          <w:p>
            <w:pPr>
              <w:autoSpaceDE w:val="0"/>
              <w:autoSpaceDN w:val="0"/>
              <w:adjustRightInd w:val="0"/>
              <w:snapToGrid w:val="0"/>
              <w:spacing w:line="480" w:lineRule="exact"/>
              <w:ind w:firstLine="480" w:firstLineChars="200"/>
              <w:jc w:val="left"/>
              <w:rPr>
                <w:sz w:val="24"/>
              </w:rPr>
            </w:pPr>
            <w:r>
              <w:rPr>
                <w:rFonts w:hAnsi="宋体" w:hint="eastAsia"/>
                <w:sz w:val="24"/>
                <w:lang w:val="en-GB"/>
              </w:rPr>
              <w:t>根据《产业结构调整指导目录（</w:t>
            </w:r>
            <w:r>
              <w:rPr>
                <w:rFonts w:hint="eastAsia"/>
                <w:sz w:val="24"/>
                <w:lang w:val="en-GB"/>
              </w:rPr>
              <w:t>201</w:t>
            </w:r>
            <w:r>
              <w:rPr>
                <w:sz w:val="24"/>
                <w:lang w:val="en-GB"/>
              </w:rPr>
              <w:t>9</w:t>
            </w:r>
            <w:r>
              <w:rPr>
                <w:rFonts w:hAnsi="宋体" w:hint="eastAsia"/>
                <w:sz w:val="24"/>
                <w:lang w:val="en-GB"/>
              </w:rPr>
              <w:t>年本）》，本项目属于鼓励类十二、建材：3、中的仿古砖生产，项目建设符合国家产业政策。</w:t>
            </w:r>
          </w:p>
          <w:p>
            <w:pPr>
              <w:adjustRightInd w:val="0"/>
              <w:snapToGrid w:val="0"/>
              <w:spacing w:line="480" w:lineRule="exact"/>
              <w:ind w:firstLine="480" w:firstLineChars="200"/>
              <w:jc w:val="left"/>
              <w:rPr>
                <w:b/>
                <w:bCs/>
                <w:sz w:val="24"/>
              </w:rPr>
            </w:pPr>
            <w:r>
              <w:rPr>
                <w:rFonts w:hint="eastAsia"/>
                <w:b/>
                <w:bCs/>
                <w:sz w:val="24"/>
              </w:rPr>
              <w:t>（2）项目选址及规划符合性</w:t>
            </w:r>
          </w:p>
          <w:p>
            <w:pPr>
              <w:adjustRightInd w:val="0"/>
              <w:snapToGrid w:val="0"/>
              <w:spacing w:line="480" w:lineRule="exact"/>
              <w:ind w:firstLine="480" w:firstLineChars="200"/>
              <w:jc w:val="left"/>
              <w:rPr>
                <w:sz w:val="24"/>
              </w:rPr>
            </w:pPr>
            <w:r>
              <w:rPr>
                <w:rFonts w:hint="eastAsia"/>
                <w:sz w:val="24"/>
              </w:rPr>
              <w:t>项目建设地位于</w:t>
            </w:r>
            <w:r>
              <w:rPr>
                <w:rFonts w:hAnsi="宋体" w:hint="eastAsia"/>
                <w:sz w:val="24"/>
              </w:rPr>
              <w:t>蒲城县椿林镇山前洼村</w:t>
            </w:r>
            <w:r>
              <w:rPr>
                <w:rFonts w:hint="eastAsia"/>
                <w:sz w:val="24"/>
              </w:rPr>
              <w:t>，</w:t>
            </w:r>
            <w:r>
              <w:rPr>
                <w:rFonts w:hAnsi="宋体" w:hint="eastAsia"/>
                <w:sz w:val="24"/>
              </w:rPr>
              <w:t>用地性质为建设用地，符合土地利用规划。</w:t>
            </w:r>
          </w:p>
          <w:p>
            <w:pPr>
              <w:autoSpaceDE w:val="0"/>
              <w:autoSpaceDN w:val="0"/>
              <w:adjustRightInd w:val="0"/>
              <w:snapToGrid w:val="0"/>
              <w:spacing w:line="480" w:lineRule="exact"/>
              <w:ind w:firstLine="480" w:firstLineChars="200"/>
              <w:jc w:val="left"/>
              <w:rPr>
                <w:rFonts w:cs="宋体"/>
                <w:kern w:val="0"/>
                <w:sz w:val="24"/>
                <w:szCs w:val="21"/>
              </w:rPr>
            </w:pPr>
            <w:r>
              <w:rPr>
                <w:rFonts w:cs="宋体" w:hint="eastAsia"/>
                <w:kern w:val="0"/>
                <w:sz w:val="24"/>
                <w:szCs w:val="21"/>
              </w:rPr>
              <w:t>（3）“三线一单”符合性</w:t>
            </w:r>
          </w:p>
          <w:p>
            <w:pPr>
              <w:autoSpaceDE w:val="0"/>
              <w:autoSpaceDN w:val="0"/>
              <w:adjustRightInd w:val="0"/>
              <w:snapToGrid w:val="0"/>
              <w:spacing w:line="480" w:lineRule="exact"/>
              <w:ind w:firstLine="480" w:firstLineChars="200"/>
              <w:jc w:val="left"/>
              <w:rPr>
                <w:rFonts w:cs="宋体"/>
                <w:kern w:val="0"/>
                <w:sz w:val="24"/>
                <w:szCs w:val="21"/>
              </w:rPr>
            </w:pPr>
            <w:r>
              <w:rPr>
                <w:rFonts w:cs="宋体"/>
                <w:kern w:val="0"/>
                <w:sz w:val="24"/>
                <w:szCs w:val="21"/>
              </w:rPr>
              <w:fldChar w:fldCharType="begin"/>
            </w:r>
            <w:r>
              <w:rPr>
                <w:rFonts w:cs="宋体" w:hint="eastAsia"/>
                <w:kern w:val="0"/>
                <w:sz w:val="24"/>
                <w:szCs w:val="21"/>
              </w:rPr>
              <w:instrText>= 1 \* GB3</w:instrText>
            </w:r>
            <w:r>
              <w:rPr>
                <w:rFonts w:cs="宋体"/>
                <w:kern w:val="0"/>
                <w:sz w:val="24"/>
                <w:szCs w:val="21"/>
              </w:rPr>
              <w:fldChar w:fldCharType="separate"/>
            </w:r>
            <w:r>
              <w:rPr>
                <w:rFonts w:cs="宋体" w:hint="eastAsia"/>
                <w:kern w:val="0"/>
                <w:sz w:val="24"/>
                <w:szCs w:val="21"/>
              </w:rPr>
              <w:t>①</w:t>
            </w:r>
            <w:r>
              <w:rPr>
                <w:rFonts w:cs="宋体"/>
                <w:kern w:val="0"/>
                <w:sz w:val="24"/>
                <w:szCs w:val="21"/>
              </w:rPr>
              <w:fldChar w:fldCharType="end"/>
            </w:r>
            <w:r>
              <w:rPr>
                <w:rFonts w:cs="宋体" w:hint="eastAsia"/>
                <w:kern w:val="0"/>
                <w:sz w:val="24"/>
                <w:szCs w:val="21"/>
              </w:rPr>
              <w:t>生态保护红线</w:t>
            </w:r>
          </w:p>
          <w:p>
            <w:pPr>
              <w:autoSpaceDE w:val="0"/>
              <w:autoSpaceDN w:val="0"/>
              <w:adjustRightInd w:val="0"/>
              <w:snapToGrid w:val="0"/>
              <w:spacing w:line="480" w:lineRule="exact"/>
              <w:ind w:firstLine="480" w:firstLineChars="200"/>
              <w:jc w:val="left"/>
              <w:rPr>
                <w:rFonts w:cs="宋体"/>
                <w:kern w:val="0"/>
                <w:sz w:val="24"/>
                <w:szCs w:val="21"/>
              </w:rPr>
            </w:pPr>
            <w:r>
              <w:rPr>
                <w:rFonts w:cs="宋体" w:hint="eastAsia"/>
                <w:kern w:val="0"/>
                <w:sz w:val="24"/>
                <w:szCs w:val="21"/>
              </w:rPr>
              <w:t>生态保护红线是生态空间范围内具有特殊生态功能必须实行强制性严格保护的区域。根据</w:t>
            </w:r>
            <w:bookmarkStart w:id="2" w:name="_Toc511285619"/>
            <w:r>
              <w:rPr>
                <w:rFonts w:cs="宋体" w:hint="eastAsia"/>
                <w:kern w:val="0"/>
                <w:sz w:val="24"/>
                <w:szCs w:val="21"/>
              </w:rPr>
              <w:t>《陕西省生态保护红线划定方案（征求意见稿）》</w:t>
            </w:r>
            <w:bookmarkEnd w:id="2"/>
            <w:r>
              <w:rPr>
                <w:rFonts w:cs="宋体" w:hint="eastAsia"/>
                <w:kern w:val="0"/>
                <w:sz w:val="24"/>
                <w:szCs w:val="21"/>
              </w:rPr>
              <w:t>，陕西省生态保护红线划定面积为</w:t>
            </w:r>
            <w:r>
              <w:rPr>
                <w:rFonts w:cs="宋体"/>
                <w:kern w:val="0"/>
                <w:sz w:val="24"/>
                <w:szCs w:val="21"/>
              </w:rPr>
              <w:t>65072.71</w:t>
            </w:r>
            <w:r>
              <w:rPr>
                <w:rFonts w:cs="宋体" w:hint="eastAsia"/>
                <w:kern w:val="0"/>
                <w:sz w:val="24"/>
                <w:szCs w:val="21"/>
              </w:rPr>
              <w:t>平方公里，包括：陕西省水源涵养生态保护红线、陕西省水土保持生态保护红线、陕西省生物多样性维护生态保护红线、陕西省防风固沙生态保护红线、陕西省水土流失敏感生态保护红线及陕西省土地沙化敏感生态保护红线等。</w:t>
            </w:r>
          </w:p>
          <w:p>
            <w:pPr>
              <w:autoSpaceDE w:val="0"/>
              <w:autoSpaceDN w:val="0"/>
              <w:adjustRightInd w:val="0"/>
              <w:snapToGrid w:val="0"/>
              <w:spacing w:line="480" w:lineRule="exact"/>
              <w:ind w:firstLine="480" w:firstLineChars="200"/>
              <w:jc w:val="left"/>
              <w:rPr>
                <w:rFonts w:cs="宋体"/>
                <w:kern w:val="0"/>
                <w:sz w:val="24"/>
                <w:szCs w:val="21"/>
              </w:rPr>
            </w:pPr>
            <w:r>
              <w:rPr>
                <w:rFonts w:cs="宋体" w:hint="eastAsia"/>
                <w:kern w:val="0"/>
                <w:sz w:val="24"/>
                <w:szCs w:val="21"/>
              </w:rPr>
              <w:t>本项目建设地位于</w:t>
            </w:r>
            <w:r>
              <w:rPr>
                <w:rFonts w:hAnsi="宋体" w:hint="eastAsia"/>
                <w:sz w:val="24"/>
              </w:rPr>
              <w:t>蒲城县椿林镇山前洼村</w:t>
            </w:r>
            <w:r>
              <w:rPr>
                <w:rFonts w:cs="宋体" w:hint="eastAsia"/>
                <w:kern w:val="0"/>
                <w:sz w:val="24"/>
                <w:szCs w:val="21"/>
              </w:rPr>
              <w:t>，经与陕西省划定的生态保护红线范围进行对比核实，项目场区不在上述生态保护红线规划范围内，因此，本项目建设不逾越生态保护红线。</w:t>
            </w:r>
          </w:p>
          <w:p>
            <w:pPr>
              <w:autoSpaceDE w:val="0"/>
              <w:autoSpaceDN w:val="0"/>
              <w:adjustRightInd w:val="0"/>
              <w:snapToGrid w:val="0"/>
              <w:spacing w:line="480" w:lineRule="exact"/>
              <w:ind w:firstLine="480" w:firstLineChars="200"/>
              <w:jc w:val="left"/>
              <w:rPr>
                <w:rFonts w:cs="宋体"/>
                <w:kern w:val="0"/>
                <w:sz w:val="24"/>
                <w:szCs w:val="21"/>
              </w:rPr>
            </w:pPr>
            <w:r>
              <w:rPr>
                <w:rFonts w:cs="宋体"/>
                <w:kern w:val="0"/>
                <w:sz w:val="24"/>
                <w:szCs w:val="21"/>
              </w:rPr>
              <w:fldChar w:fldCharType="begin"/>
            </w:r>
            <w:r>
              <w:rPr>
                <w:rFonts w:cs="宋体" w:hint="eastAsia"/>
                <w:kern w:val="0"/>
                <w:sz w:val="24"/>
                <w:szCs w:val="21"/>
              </w:rPr>
              <w:instrText>= 2 \* GB3</w:instrText>
            </w:r>
            <w:r>
              <w:rPr>
                <w:rFonts w:cs="宋体"/>
                <w:kern w:val="0"/>
                <w:sz w:val="24"/>
                <w:szCs w:val="21"/>
              </w:rPr>
              <w:fldChar w:fldCharType="separate"/>
            </w:r>
            <w:r>
              <w:rPr>
                <w:rFonts w:cs="宋体" w:hint="eastAsia"/>
                <w:kern w:val="0"/>
                <w:sz w:val="24"/>
                <w:szCs w:val="21"/>
              </w:rPr>
              <w:t>②</w:t>
            </w:r>
            <w:r>
              <w:rPr>
                <w:rFonts w:cs="宋体"/>
                <w:kern w:val="0"/>
                <w:sz w:val="24"/>
                <w:szCs w:val="21"/>
              </w:rPr>
              <w:fldChar w:fldCharType="end"/>
            </w:r>
            <w:r>
              <w:rPr>
                <w:rFonts w:cs="宋体" w:hint="eastAsia"/>
                <w:kern w:val="0"/>
                <w:sz w:val="24"/>
                <w:szCs w:val="21"/>
              </w:rPr>
              <w:t>环境质量底线</w:t>
            </w:r>
          </w:p>
          <w:p>
            <w:pPr>
              <w:autoSpaceDE w:val="0"/>
              <w:autoSpaceDN w:val="0"/>
              <w:adjustRightInd w:val="0"/>
              <w:snapToGrid w:val="0"/>
              <w:spacing w:line="480" w:lineRule="exact"/>
              <w:ind w:firstLine="480" w:firstLineChars="200"/>
              <w:jc w:val="left"/>
              <w:rPr>
                <w:sz w:val="24"/>
              </w:rPr>
            </w:pPr>
            <w:r>
              <w:rPr>
                <w:rFonts w:hint="eastAsia"/>
                <w:sz w:val="24"/>
              </w:rPr>
              <w:t>由于受到地理位置及气象扩散条件限制，关中平原普遍存在环境空气中</w:t>
            </w:r>
            <w:r>
              <w:rPr>
                <w:sz w:val="24"/>
              </w:rPr>
              <w:t>PM</w:t>
            </w:r>
            <w:r>
              <w:rPr>
                <w:sz w:val="24"/>
                <w:vertAlign w:val="subscript"/>
              </w:rPr>
              <w:t>10</w:t>
            </w:r>
            <w:r>
              <w:rPr>
                <w:sz w:val="24"/>
              </w:rPr>
              <w:t>、PM</w:t>
            </w:r>
            <w:r>
              <w:rPr>
                <w:sz w:val="24"/>
                <w:vertAlign w:val="subscript"/>
              </w:rPr>
              <w:t>2.5</w:t>
            </w:r>
            <w:r>
              <w:rPr>
                <w:sz w:val="24"/>
              </w:rPr>
              <w:t>超标</w:t>
            </w:r>
            <w:r>
              <w:rPr>
                <w:rFonts w:hint="eastAsia"/>
                <w:sz w:val="24"/>
              </w:rPr>
              <w:t>现象，</w:t>
            </w:r>
            <w:r>
              <w:rPr>
                <w:sz w:val="24"/>
              </w:rPr>
              <w:t>根据搜集到的</w:t>
            </w:r>
            <w:r>
              <w:rPr>
                <w:rFonts w:hint="eastAsia"/>
                <w:sz w:val="24"/>
              </w:rPr>
              <w:t>蒲城县</w:t>
            </w:r>
            <w:r>
              <w:rPr>
                <w:sz w:val="24"/>
              </w:rPr>
              <w:t>20</w:t>
            </w:r>
            <w:r>
              <w:rPr>
                <w:rFonts w:hint="eastAsia"/>
                <w:sz w:val="24"/>
              </w:rPr>
              <w:t>20</w:t>
            </w:r>
            <w:r>
              <w:rPr>
                <w:sz w:val="24"/>
              </w:rPr>
              <w:t>年全年环境空气例行监测数据，评价区PM</w:t>
            </w:r>
            <w:r>
              <w:rPr>
                <w:sz w:val="24"/>
                <w:vertAlign w:val="subscript"/>
              </w:rPr>
              <w:t>10</w:t>
            </w:r>
            <w:r>
              <w:rPr>
                <w:sz w:val="24"/>
              </w:rPr>
              <w:t>、PM</w:t>
            </w:r>
            <w:r>
              <w:rPr>
                <w:sz w:val="24"/>
                <w:vertAlign w:val="subscript"/>
              </w:rPr>
              <w:t>2.5</w:t>
            </w:r>
            <w:r>
              <w:rPr>
                <w:sz w:val="24"/>
              </w:rPr>
              <w:t>出现超标，属不达标区域</w:t>
            </w:r>
            <w:r>
              <w:rPr>
                <w:rFonts w:hint="eastAsia"/>
                <w:sz w:val="24"/>
              </w:rPr>
              <w:t>。</w:t>
            </w:r>
            <w:r>
              <w:rPr>
                <w:sz w:val="24"/>
              </w:rPr>
              <w:t>根据</w:t>
            </w:r>
            <w:r>
              <w:rPr>
                <w:rFonts w:hint="eastAsia"/>
                <w:sz w:val="24"/>
              </w:rPr>
              <w:t>本项目</w:t>
            </w:r>
            <w:r>
              <w:rPr>
                <w:sz w:val="24"/>
              </w:rPr>
              <w:t>环境要素预测结果（</w:t>
            </w:r>
            <w:r>
              <w:rPr>
                <w:rFonts w:hint="eastAsia"/>
                <w:sz w:val="24"/>
              </w:rPr>
              <w:t>废气</w:t>
            </w:r>
            <w:r>
              <w:rPr>
                <w:sz w:val="24"/>
              </w:rPr>
              <w:t>、噪声、水环境</w:t>
            </w:r>
            <w:r>
              <w:rPr>
                <w:rFonts w:hint="eastAsia"/>
                <w:sz w:val="24"/>
              </w:rPr>
              <w:t>等</w:t>
            </w:r>
            <w:r>
              <w:rPr>
                <w:sz w:val="24"/>
              </w:rPr>
              <w:t>），各要素在采取相应环保措施前提下，均可以做到达标排放，</w:t>
            </w:r>
            <w:r>
              <w:rPr>
                <w:rFonts w:hint="eastAsia"/>
                <w:sz w:val="24"/>
              </w:rPr>
              <w:t>项目建设对区域环境质量影响较小，符合</w:t>
            </w:r>
            <w:r>
              <w:rPr>
                <w:rFonts w:cs="宋体" w:hint="eastAsia"/>
                <w:kern w:val="0"/>
                <w:sz w:val="24"/>
                <w:szCs w:val="21"/>
              </w:rPr>
              <w:t>环境质量底线要求</w:t>
            </w:r>
            <w:r>
              <w:rPr>
                <w:sz w:val="24"/>
              </w:rPr>
              <w:t>。</w:t>
            </w:r>
          </w:p>
        </w:tc>
      </w:tr>
    </w:tbl>
    <w:p>
      <w:pPr>
        <w:sectPr>
          <w:footerReference w:type="default" r:id="rId8"/>
          <w:type w:val="nextPage"/>
          <w:pgSz w:w="11906" w:h="16838"/>
          <w:pgMar w:top="1418" w:right="1418" w:bottom="1134" w:left="1701" w:header="851" w:footer="1077" w:gutter="0"/>
          <w:pgNumType w:start="3"/>
          <w:cols w:num="1" w:space="720"/>
          <w:titlePg w:val="0"/>
          <w:docGrid w:linePitch="312" w:charSpace="0"/>
        </w:sectPr>
      </w:pPr>
    </w:p>
    <w:tbl>
      <w:tblPr>
        <w:tblStyle w:val="TableNormal"/>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804"/>
        <w:gridCol w:w="7541"/>
      </w:tblGrid>
      <w:tr>
        <w:tblPrEx>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315"/>
          <w:jc w:val="center"/>
        </w:trPr>
        <w:tc>
          <w:tcPr>
            <w:tcW w:w="1766" w:type="dxa"/>
            <w:vAlign w:val="center"/>
          </w:tcPr>
          <w:p/>
        </w:tc>
        <w:tc>
          <w:tcPr>
            <w:tcW w:w="7382" w:type="dxa"/>
          </w:tcPr>
          <w:p>
            <w:pPr>
              <w:autoSpaceDE w:val="0"/>
              <w:autoSpaceDN w:val="0"/>
              <w:adjustRightInd w:val="0"/>
              <w:snapToGrid w:val="0"/>
              <w:spacing w:line="480" w:lineRule="exact"/>
              <w:ind w:firstLine="480" w:firstLineChars="200"/>
              <w:jc w:val="left"/>
              <w:rPr>
                <w:rFonts w:cs="宋体"/>
                <w:kern w:val="0"/>
                <w:sz w:val="24"/>
                <w:szCs w:val="21"/>
              </w:rPr>
            </w:pPr>
            <w:r>
              <w:rPr>
                <w:rFonts w:cs="宋体"/>
                <w:kern w:val="0"/>
                <w:sz w:val="24"/>
                <w:szCs w:val="21"/>
              </w:rPr>
              <w:fldChar w:fldCharType="begin"/>
            </w:r>
            <w:r>
              <w:rPr>
                <w:rFonts w:cs="宋体" w:hint="eastAsia"/>
                <w:kern w:val="0"/>
                <w:sz w:val="24"/>
                <w:szCs w:val="21"/>
              </w:rPr>
              <w:instrText>= 3 \* GB3</w:instrText>
            </w:r>
            <w:r>
              <w:rPr>
                <w:rFonts w:cs="宋体"/>
                <w:kern w:val="0"/>
                <w:sz w:val="24"/>
                <w:szCs w:val="21"/>
              </w:rPr>
              <w:fldChar w:fldCharType="separate"/>
            </w:r>
            <w:r>
              <w:rPr>
                <w:rFonts w:cs="宋体" w:hint="eastAsia"/>
                <w:kern w:val="0"/>
                <w:sz w:val="24"/>
                <w:szCs w:val="21"/>
              </w:rPr>
              <w:t>③</w:t>
            </w:r>
            <w:r>
              <w:rPr>
                <w:rFonts w:cs="宋体"/>
                <w:kern w:val="0"/>
                <w:sz w:val="24"/>
                <w:szCs w:val="21"/>
              </w:rPr>
              <w:fldChar w:fldCharType="end"/>
            </w:r>
            <w:r>
              <w:rPr>
                <w:rFonts w:cs="宋体" w:hint="eastAsia"/>
                <w:kern w:val="0"/>
                <w:sz w:val="24"/>
                <w:szCs w:val="21"/>
              </w:rPr>
              <w:t>资源利用上线</w:t>
            </w:r>
          </w:p>
          <w:p>
            <w:pPr>
              <w:autoSpaceDE w:val="0"/>
              <w:autoSpaceDN w:val="0"/>
              <w:adjustRightInd w:val="0"/>
              <w:snapToGrid w:val="0"/>
              <w:spacing w:line="480" w:lineRule="exact"/>
              <w:ind w:firstLine="480" w:firstLineChars="200"/>
              <w:jc w:val="left"/>
              <w:rPr>
                <w:rFonts w:cs="宋体"/>
                <w:kern w:val="0"/>
                <w:sz w:val="24"/>
                <w:szCs w:val="21"/>
              </w:rPr>
            </w:pPr>
            <w:r>
              <w:rPr>
                <w:rFonts w:cs="宋体" w:hint="eastAsia"/>
                <w:kern w:val="0"/>
                <w:sz w:val="24"/>
                <w:szCs w:val="21"/>
              </w:rPr>
              <w:t>本项目所用资源为水、电，项目资源利用量相对于区域资源利用总量较少，符合《关于以改善环境质量为核心加强环境影响评价管理的通知》（环环评〔2016〕150号）中资源利用上线要求。</w:t>
            </w:r>
          </w:p>
          <w:p>
            <w:pPr>
              <w:autoSpaceDE w:val="0"/>
              <w:autoSpaceDN w:val="0"/>
              <w:adjustRightInd w:val="0"/>
              <w:snapToGrid w:val="0"/>
              <w:spacing w:line="480" w:lineRule="exact"/>
              <w:ind w:firstLine="480" w:firstLineChars="200"/>
              <w:jc w:val="left"/>
              <w:rPr>
                <w:rFonts w:cs="宋体"/>
                <w:kern w:val="0"/>
                <w:sz w:val="24"/>
                <w:szCs w:val="21"/>
              </w:rPr>
            </w:pPr>
            <w:r>
              <w:rPr>
                <w:rFonts w:cs="宋体"/>
                <w:kern w:val="0"/>
                <w:sz w:val="24"/>
                <w:szCs w:val="21"/>
              </w:rPr>
              <w:fldChar w:fldCharType="begin"/>
            </w:r>
            <w:r>
              <w:rPr>
                <w:rFonts w:cs="宋体" w:hint="eastAsia"/>
                <w:kern w:val="0"/>
                <w:sz w:val="24"/>
                <w:szCs w:val="21"/>
              </w:rPr>
              <w:instrText>= 4 \* GB3</w:instrText>
            </w:r>
            <w:r>
              <w:rPr>
                <w:rFonts w:cs="宋体"/>
                <w:kern w:val="0"/>
                <w:sz w:val="24"/>
                <w:szCs w:val="21"/>
              </w:rPr>
              <w:fldChar w:fldCharType="separate"/>
            </w:r>
            <w:r>
              <w:rPr>
                <w:rFonts w:cs="宋体" w:hint="eastAsia"/>
                <w:kern w:val="0"/>
                <w:sz w:val="24"/>
                <w:szCs w:val="21"/>
              </w:rPr>
              <w:t>④</w:t>
            </w:r>
            <w:r>
              <w:rPr>
                <w:rFonts w:cs="宋体"/>
                <w:kern w:val="0"/>
                <w:sz w:val="24"/>
                <w:szCs w:val="21"/>
              </w:rPr>
              <w:fldChar w:fldCharType="end"/>
            </w:r>
            <w:r>
              <w:rPr>
                <w:rFonts w:cs="宋体" w:hint="eastAsia"/>
                <w:kern w:val="0"/>
                <w:sz w:val="24"/>
                <w:szCs w:val="21"/>
              </w:rPr>
              <w:t>生态环境准入清单</w:t>
            </w:r>
          </w:p>
          <w:p>
            <w:pPr>
              <w:autoSpaceDE w:val="0"/>
              <w:autoSpaceDN w:val="0"/>
              <w:adjustRightInd w:val="0"/>
              <w:snapToGrid w:val="0"/>
              <w:spacing w:line="480" w:lineRule="exact"/>
              <w:ind w:firstLine="480" w:firstLineChars="200"/>
              <w:jc w:val="left"/>
              <w:rPr>
                <w:rFonts w:cs="宋体"/>
                <w:kern w:val="0"/>
                <w:sz w:val="24"/>
                <w:szCs w:val="21"/>
              </w:rPr>
            </w:pPr>
            <w:r>
              <w:rPr>
                <w:rFonts w:cs="宋体" w:hint="eastAsia"/>
                <w:kern w:val="0"/>
                <w:sz w:val="24"/>
                <w:szCs w:val="21"/>
              </w:rPr>
              <w:t>生态</w:t>
            </w:r>
            <w:r>
              <w:rPr>
                <w:rFonts w:cs="宋体"/>
                <w:kern w:val="0"/>
                <w:sz w:val="24"/>
                <w:szCs w:val="21"/>
              </w:rPr>
              <w:t>环境准入清单是基于生态保护红线、环境质量底线和资源利用上线，以保护清单的方式列出的禁止、限制等差别化环境准入条件和要求。</w:t>
            </w:r>
            <w:r>
              <w:rPr>
                <w:rFonts w:cs="宋体" w:hint="eastAsia"/>
                <w:kern w:val="0"/>
                <w:sz w:val="24"/>
                <w:szCs w:val="21"/>
              </w:rPr>
              <w:t>本项目为</w:t>
            </w:r>
            <w:r>
              <w:rPr>
                <w:rFonts w:cs="宋体" w:hint="eastAsia"/>
                <w:sz w:val="24"/>
                <w:szCs w:val="21"/>
              </w:rPr>
              <w:t>砖瓦、石材等建筑材料制造</w:t>
            </w:r>
            <w:r>
              <w:rPr>
                <w:rFonts w:hAnsi="宋体" w:hint="eastAsia"/>
                <w:sz w:val="24"/>
              </w:rPr>
              <w:t>，</w:t>
            </w:r>
            <w:r>
              <w:rPr>
                <w:rFonts w:cs="宋体" w:hint="eastAsia"/>
                <w:kern w:val="0"/>
                <w:sz w:val="24"/>
                <w:szCs w:val="21"/>
              </w:rPr>
              <w:t>属于</w:t>
            </w:r>
            <w:r>
              <w:rPr>
                <w:rFonts w:cs="宋体"/>
                <w:kern w:val="0"/>
                <w:sz w:val="24"/>
                <w:szCs w:val="21"/>
              </w:rPr>
              <w:t>《产业结构调整指导目录（201</w:t>
            </w:r>
            <w:r>
              <w:rPr>
                <w:rFonts w:cs="宋体" w:hint="eastAsia"/>
                <w:kern w:val="0"/>
                <w:sz w:val="24"/>
                <w:szCs w:val="21"/>
              </w:rPr>
              <w:t>9</w:t>
            </w:r>
            <w:r>
              <w:rPr>
                <w:rFonts w:cs="宋体"/>
                <w:kern w:val="0"/>
                <w:sz w:val="24"/>
                <w:szCs w:val="21"/>
              </w:rPr>
              <w:t>年本）》</w:t>
            </w:r>
            <w:r>
              <w:rPr>
                <w:rFonts w:cs="宋体" w:hint="eastAsia"/>
                <w:kern w:val="0"/>
                <w:sz w:val="24"/>
                <w:szCs w:val="21"/>
                <w:lang w:val="en-GB"/>
              </w:rPr>
              <w:t>鼓励类项目（十二、建材：3、中的仿古砖生产）</w:t>
            </w:r>
            <w:r>
              <w:rPr>
                <w:rFonts w:cs="宋体" w:hint="eastAsia"/>
                <w:kern w:val="0"/>
                <w:sz w:val="24"/>
                <w:szCs w:val="21"/>
              </w:rPr>
              <w:t>；项目建设地位于</w:t>
            </w:r>
            <w:r>
              <w:rPr>
                <w:rFonts w:hAnsi="宋体" w:hint="eastAsia"/>
                <w:sz w:val="24"/>
              </w:rPr>
              <w:t>蒲城县椿林镇山前洼村</w:t>
            </w:r>
            <w:r>
              <w:rPr>
                <w:rFonts w:cs="宋体" w:hint="eastAsia"/>
                <w:kern w:val="0"/>
                <w:sz w:val="24"/>
                <w:szCs w:val="21"/>
              </w:rPr>
              <w:t>，</w:t>
            </w:r>
            <w:r>
              <w:rPr>
                <w:rFonts w:cs="宋体" w:hint="eastAsia"/>
                <w:sz w:val="24"/>
                <w:szCs w:val="21"/>
              </w:rPr>
              <w:t>不在</w:t>
            </w:r>
            <w:r>
              <w:rPr>
                <w:rFonts w:cs="宋体" w:hint="eastAsia"/>
                <w:kern w:val="0"/>
                <w:sz w:val="24"/>
                <w:szCs w:val="21"/>
              </w:rPr>
              <w:t>生态环境准入清单范围。</w:t>
            </w:r>
          </w:p>
          <w:p>
            <w:pPr>
              <w:autoSpaceDE w:val="0"/>
              <w:autoSpaceDN w:val="0"/>
              <w:adjustRightInd w:val="0"/>
              <w:snapToGrid w:val="0"/>
              <w:spacing w:line="480" w:lineRule="exact"/>
              <w:ind w:firstLine="480" w:firstLineChars="200"/>
              <w:jc w:val="left"/>
              <w:rPr>
                <w:rFonts w:cs="宋体"/>
                <w:kern w:val="0"/>
                <w:sz w:val="24"/>
                <w:szCs w:val="21"/>
              </w:rPr>
            </w:pPr>
            <w:r>
              <w:rPr>
                <w:rFonts w:cs="宋体" w:hint="eastAsia"/>
                <w:kern w:val="0"/>
                <w:sz w:val="24"/>
                <w:szCs w:val="21"/>
              </w:rPr>
              <w:t>综上，本项目符合“三线一单”相关要求。</w:t>
            </w:r>
          </w:p>
          <w:p>
            <w:pPr>
              <w:adjustRightInd w:val="0"/>
              <w:snapToGrid w:val="0"/>
              <w:spacing w:line="480" w:lineRule="exact"/>
              <w:ind w:firstLine="480" w:firstLineChars="200"/>
              <w:jc w:val="left"/>
              <w:rPr>
                <w:b/>
                <w:bCs/>
                <w:sz w:val="24"/>
              </w:rPr>
            </w:pPr>
            <w:r>
              <w:rPr>
                <w:rFonts w:hint="eastAsia"/>
                <w:b/>
                <w:bCs/>
                <w:sz w:val="24"/>
              </w:rPr>
              <w:t>（4）环境管理政策相符性分析</w:t>
            </w:r>
          </w:p>
          <w:p>
            <w:pPr>
              <w:adjustRightInd w:val="0"/>
              <w:snapToGrid w:val="0"/>
              <w:spacing w:line="480" w:lineRule="exact"/>
              <w:ind w:firstLine="480" w:firstLineChars="200"/>
              <w:jc w:val="left"/>
              <w:rPr>
                <w:kern w:val="0"/>
                <w:sz w:val="24"/>
                <w:u w:color="000000"/>
              </w:rPr>
            </w:pPr>
            <w:r>
              <w:rPr>
                <w:kern w:val="0"/>
                <w:sz w:val="24"/>
                <w:u w:color="000000"/>
              </w:rPr>
              <w:t>本项目与环境管理政策相符性分析见</w:t>
            </w:r>
            <w:r>
              <w:rPr>
                <w:rFonts w:hint="eastAsia"/>
                <w:kern w:val="0"/>
                <w:sz w:val="24"/>
                <w:u w:color="000000"/>
              </w:rPr>
              <w:t>下表</w:t>
            </w:r>
            <w:r>
              <w:rPr>
                <w:kern w:val="0"/>
                <w:sz w:val="24"/>
                <w:u w:color="000000"/>
              </w:rPr>
              <w:t>。</w:t>
            </w:r>
          </w:p>
          <w:p>
            <w:pPr>
              <w:adjustRightInd w:val="0"/>
              <w:snapToGrid w:val="0"/>
              <w:spacing w:line="480" w:lineRule="exact"/>
              <w:jc w:val="center"/>
              <w:rPr>
                <w:b/>
                <w:bCs/>
                <w:kern w:val="0"/>
                <w:sz w:val="24"/>
                <w:szCs w:val="28"/>
              </w:rPr>
            </w:pPr>
            <w:r>
              <w:rPr>
                <w:b/>
                <w:bCs/>
                <w:kern w:val="0"/>
                <w:sz w:val="24"/>
                <w:szCs w:val="28"/>
              </w:rPr>
              <w:t>表1</w:t>
            </w:r>
            <w:r>
              <w:rPr>
                <w:rFonts w:hint="eastAsia"/>
                <w:b/>
                <w:bCs/>
                <w:kern w:val="0"/>
                <w:sz w:val="24"/>
                <w:szCs w:val="28"/>
              </w:rPr>
              <w:t xml:space="preserve">  </w:t>
            </w:r>
            <w:r>
              <w:rPr>
                <w:b/>
                <w:bCs/>
                <w:kern w:val="0"/>
                <w:sz w:val="24"/>
                <w:szCs w:val="28"/>
              </w:rPr>
              <w:t>环境管理政策相符性分析</w:t>
            </w:r>
          </w:p>
          <w:tbl>
            <w:tblPr>
              <w:tblStyle w:val="TableNormal"/>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1704"/>
              <w:gridCol w:w="709"/>
              <w:gridCol w:w="2216"/>
              <w:gridCol w:w="1998"/>
              <w:gridCol w:w="539"/>
            </w:tblGrid>
            <w:tr>
              <w:tblPrEx>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rPr>
                <w:trHeight w:val="88"/>
              </w:trPr>
              <w:tc>
                <w:tcPr>
                  <w:tcW w:w="1704" w:type="dxa"/>
                  <w:vAlign w:val="center"/>
                </w:tcPr>
                <w:p>
                  <w:pPr>
                    <w:adjustRightInd w:val="0"/>
                    <w:snapToGrid w:val="0"/>
                    <w:spacing w:line="300" w:lineRule="exact"/>
                    <w:jc w:val="center"/>
                    <w:rPr>
                      <w:kern w:val="0"/>
                    </w:rPr>
                  </w:pPr>
                  <w:r>
                    <w:rPr>
                      <w:rFonts w:hint="eastAsia"/>
                      <w:kern w:val="0"/>
                    </w:rPr>
                    <w:t>文件</w:t>
                  </w:r>
                </w:p>
              </w:tc>
              <w:tc>
                <w:tcPr>
                  <w:tcW w:w="2925" w:type="dxa"/>
                  <w:gridSpan w:val="2"/>
                  <w:vAlign w:val="center"/>
                </w:tcPr>
                <w:p>
                  <w:pPr>
                    <w:adjustRightInd w:val="0"/>
                    <w:snapToGrid w:val="0"/>
                    <w:spacing w:line="300" w:lineRule="exact"/>
                    <w:jc w:val="center"/>
                    <w:rPr>
                      <w:kern w:val="0"/>
                    </w:rPr>
                  </w:pPr>
                  <w:r>
                    <w:rPr>
                      <w:rFonts w:hint="eastAsia"/>
                      <w:kern w:val="0"/>
                    </w:rPr>
                    <w:t>具体要求</w:t>
                  </w:r>
                </w:p>
              </w:tc>
              <w:tc>
                <w:tcPr>
                  <w:tcW w:w="1998" w:type="dxa"/>
                  <w:vAlign w:val="center"/>
                </w:tcPr>
                <w:p>
                  <w:pPr>
                    <w:adjustRightInd w:val="0"/>
                    <w:snapToGrid w:val="0"/>
                    <w:spacing w:line="300" w:lineRule="exact"/>
                    <w:jc w:val="center"/>
                    <w:rPr>
                      <w:kern w:val="0"/>
                    </w:rPr>
                  </w:pPr>
                  <w:r>
                    <w:rPr>
                      <w:rFonts w:hint="eastAsia"/>
                      <w:kern w:val="0"/>
                    </w:rPr>
                    <w:t>本项目情况</w:t>
                  </w:r>
                </w:p>
              </w:tc>
              <w:tc>
                <w:tcPr>
                  <w:tcW w:w="539" w:type="dxa"/>
                  <w:vAlign w:val="center"/>
                </w:tcPr>
                <w:p>
                  <w:pPr>
                    <w:adjustRightInd w:val="0"/>
                    <w:snapToGrid w:val="0"/>
                    <w:spacing w:line="300" w:lineRule="exact"/>
                    <w:jc w:val="center"/>
                    <w:rPr>
                      <w:kern w:val="0"/>
                    </w:rPr>
                  </w:pPr>
                  <w:r>
                    <w:rPr>
                      <w:rFonts w:hint="eastAsia"/>
                      <w:kern w:val="0"/>
                    </w:rPr>
                    <w:t>符合情况</w:t>
                  </w:r>
                </w:p>
              </w:tc>
            </w:tr>
            <w:tr>
              <w:tblPrEx>
                <w:tblW w:w="7166" w:type="dxa"/>
                <w:tblInd w:w="0" w:type="dxa"/>
                <w:tblLayout w:type="fixed"/>
                <w:tblCellMar>
                  <w:top w:w="0" w:type="dxa"/>
                  <w:left w:w="10" w:type="dxa"/>
                  <w:bottom w:w="0" w:type="dxa"/>
                  <w:right w:w="10" w:type="dxa"/>
                </w:tblCellMar>
              </w:tblPrEx>
              <w:trPr>
                <w:trHeight w:val="88"/>
              </w:trPr>
              <w:tc>
                <w:tcPr>
                  <w:tcW w:w="1704" w:type="dxa"/>
                  <w:vMerge w:val="restart"/>
                  <w:vAlign w:val="center"/>
                </w:tcPr>
                <w:p>
                  <w:pPr>
                    <w:adjustRightInd w:val="0"/>
                    <w:snapToGrid w:val="0"/>
                    <w:spacing w:line="300" w:lineRule="exact"/>
                    <w:jc w:val="center"/>
                    <w:rPr>
                      <w:kern w:val="0"/>
                    </w:rPr>
                  </w:pPr>
                  <w:r>
                    <w:rPr>
                      <w:rFonts w:hint="eastAsia"/>
                      <w:kern w:val="0"/>
                    </w:rPr>
                    <w:t>关于印发《渭南市工业炉窑大气污染综合治理实施方案》的通知（渭环函［2019］335号）</w:t>
                  </w:r>
                </w:p>
              </w:tc>
              <w:tc>
                <w:tcPr>
                  <w:tcW w:w="709" w:type="dxa"/>
                  <w:vMerge w:val="restart"/>
                  <w:vAlign w:val="center"/>
                </w:tcPr>
                <w:p>
                  <w:pPr>
                    <w:adjustRightInd w:val="0"/>
                    <w:snapToGrid w:val="0"/>
                    <w:spacing w:line="300" w:lineRule="exact"/>
                    <w:jc w:val="center"/>
                    <w:rPr>
                      <w:kern w:val="0"/>
                    </w:rPr>
                  </w:pPr>
                  <w:r>
                    <w:rPr>
                      <w:rFonts w:hint="eastAsia"/>
                      <w:kern w:val="0"/>
                    </w:rPr>
                    <w:t>三、重点工作任务</w:t>
                  </w:r>
                </w:p>
              </w:tc>
              <w:tc>
                <w:tcPr>
                  <w:tcW w:w="2216" w:type="dxa"/>
                </w:tcPr>
                <w:p>
                  <w:pPr>
                    <w:adjustRightInd w:val="0"/>
                    <w:snapToGrid w:val="0"/>
                    <w:spacing w:line="300" w:lineRule="exact"/>
                    <w:rPr>
                      <w:kern w:val="0"/>
                    </w:rPr>
                  </w:pPr>
                  <w:r>
                    <w:rPr>
                      <w:rFonts w:hint="eastAsia"/>
                      <w:kern w:val="0"/>
                    </w:rPr>
                    <w:t>（二）加快燃料清洁低碳化替代。</w:t>
                  </w:r>
                </w:p>
                <w:p>
                  <w:pPr>
                    <w:adjustRightInd w:val="0"/>
                    <w:snapToGrid w:val="0"/>
                    <w:spacing w:line="300" w:lineRule="exact"/>
                    <w:ind w:firstLine="420" w:firstLineChars="200"/>
                    <w:rPr>
                      <w:kern w:val="0"/>
                    </w:rPr>
                  </w:pPr>
                  <w:r>
                    <w:rPr>
                      <w:rFonts w:hint="eastAsia"/>
                      <w:kern w:val="0"/>
                    </w:rPr>
                    <w:t>对以煤、石焦油、渣油、重油等为燃料的工业炉窑，加快使用清洁低碳能源以及利用工厂余热、电厂余热等进行替代。</w:t>
                  </w:r>
                </w:p>
                <w:p>
                  <w:pPr>
                    <w:adjustRightInd w:val="0"/>
                    <w:snapToGrid w:val="0"/>
                    <w:spacing w:line="300" w:lineRule="exact"/>
                    <w:ind w:firstLine="420" w:firstLineChars="200"/>
                    <w:rPr>
                      <w:kern w:val="0"/>
                    </w:rPr>
                  </w:pPr>
                  <w:r>
                    <w:rPr>
                      <w:rFonts w:hint="eastAsia"/>
                      <w:kern w:val="0"/>
                    </w:rPr>
                    <w:t>加快淘汰燃煤工业炉窑。</w:t>
                  </w:r>
                </w:p>
              </w:tc>
              <w:tc>
                <w:tcPr>
                  <w:tcW w:w="1998" w:type="dxa"/>
                </w:tcPr>
                <w:p>
                  <w:pPr>
                    <w:adjustRightInd w:val="0"/>
                    <w:snapToGrid w:val="0"/>
                    <w:spacing w:line="300" w:lineRule="exact"/>
                    <w:rPr>
                      <w:kern w:val="0"/>
                    </w:rPr>
                  </w:pPr>
                  <w:r>
                    <w:rPr>
                      <w:rFonts w:hint="eastAsia"/>
                      <w:kern w:val="0"/>
                    </w:rPr>
                    <w:t>本项目拆除原有燃煤炉窑，新建生物质梭式窑，焙烧采用清洁燃料生物质颗粒。</w:t>
                  </w:r>
                </w:p>
              </w:tc>
              <w:tc>
                <w:tcPr>
                  <w:tcW w:w="539" w:type="dxa"/>
                  <w:vAlign w:val="center"/>
                </w:tcPr>
                <w:p>
                  <w:pPr>
                    <w:adjustRightInd w:val="0"/>
                    <w:snapToGrid w:val="0"/>
                    <w:spacing w:line="300" w:lineRule="exact"/>
                    <w:jc w:val="center"/>
                    <w:rPr>
                      <w:kern w:val="0"/>
                    </w:rPr>
                  </w:pPr>
                  <w:r>
                    <w:rPr>
                      <w:rFonts w:hint="eastAsia"/>
                      <w:kern w:val="0"/>
                    </w:rPr>
                    <w:t>符合</w:t>
                  </w:r>
                </w:p>
              </w:tc>
            </w:tr>
            <w:tr>
              <w:tblPrEx>
                <w:tblW w:w="7166" w:type="dxa"/>
                <w:tblInd w:w="0" w:type="dxa"/>
                <w:tblLayout w:type="fixed"/>
                <w:tblCellMar>
                  <w:top w:w="0" w:type="dxa"/>
                  <w:left w:w="10" w:type="dxa"/>
                  <w:bottom w:w="0" w:type="dxa"/>
                  <w:right w:w="10" w:type="dxa"/>
                </w:tblCellMar>
              </w:tblPrEx>
              <w:trPr>
                <w:trHeight w:val="88"/>
              </w:trPr>
              <w:tc>
                <w:tcPr>
                  <w:tcW w:w="1704" w:type="dxa"/>
                  <w:vMerge/>
                  <w:vAlign w:val="center"/>
                </w:tcPr>
                <w:p>
                  <w:pPr>
                    <w:adjustRightInd w:val="0"/>
                    <w:snapToGrid w:val="0"/>
                    <w:spacing w:line="300" w:lineRule="exact"/>
                    <w:jc w:val="center"/>
                    <w:rPr>
                      <w:kern w:val="0"/>
                    </w:rPr>
                  </w:pPr>
                </w:p>
              </w:tc>
              <w:tc>
                <w:tcPr>
                  <w:tcW w:w="709" w:type="dxa"/>
                  <w:vMerge/>
                  <w:vAlign w:val="center"/>
                </w:tcPr>
                <w:p>
                  <w:pPr>
                    <w:adjustRightInd w:val="0"/>
                    <w:snapToGrid w:val="0"/>
                    <w:spacing w:line="300" w:lineRule="exact"/>
                    <w:jc w:val="center"/>
                    <w:rPr>
                      <w:kern w:val="0"/>
                    </w:rPr>
                  </w:pPr>
                </w:p>
              </w:tc>
              <w:tc>
                <w:tcPr>
                  <w:tcW w:w="2216" w:type="dxa"/>
                </w:tcPr>
                <w:p>
                  <w:pPr>
                    <w:adjustRightInd w:val="0"/>
                    <w:snapToGrid w:val="0"/>
                    <w:spacing w:line="300" w:lineRule="exact"/>
                    <w:rPr>
                      <w:kern w:val="0"/>
                    </w:rPr>
                  </w:pPr>
                  <w:r>
                    <w:rPr>
                      <w:rFonts w:hint="eastAsia"/>
                      <w:kern w:val="0"/>
                    </w:rPr>
                    <w:t>（三）实施污染深度治理</w:t>
                  </w:r>
                </w:p>
                <w:p>
                  <w:pPr>
                    <w:adjustRightInd w:val="0"/>
                    <w:snapToGrid w:val="0"/>
                    <w:spacing w:after="0" w:line="300" w:lineRule="exact"/>
                    <w:ind w:firstLine="420" w:firstLineChars="200"/>
                    <w:rPr>
                      <w:kern w:val="0"/>
                    </w:rPr>
                  </w:pPr>
                </w:p>
              </w:tc>
              <w:tc>
                <w:tcPr>
                  <w:tcW w:w="1998" w:type="dxa"/>
                </w:tcPr>
                <w:p>
                  <w:pPr>
                    <w:adjustRightInd w:val="0"/>
                    <w:snapToGrid w:val="0"/>
                    <w:spacing w:after="0" w:line="300" w:lineRule="exact"/>
                    <w:rPr>
                      <w:kern w:val="0"/>
                    </w:rPr>
                  </w:pPr>
                  <w:r>
                    <w:rPr>
                      <w:rFonts w:hint="eastAsia"/>
                      <w:kern w:val="0"/>
                    </w:rPr>
                    <w:t>本项目梭式窑</w:t>
                  </w:r>
                </w:p>
              </w:tc>
              <w:tc>
                <w:tcPr>
                  <w:tcW w:w="539" w:type="dxa"/>
                  <w:vAlign w:val="center"/>
                </w:tcPr>
                <w:p>
                  <w:pPr>
                    <w:adjustRightInd w:val="0"/>
                    <w:snapToGrid w:val="0"/>
                    <w:spacing w:line="300" w:lineRule="exact"/>
                    <w:jc w:val="center"/>
                    <w:rPr>
                      <w:kern w:val="0"/>
                    </w:rPr>
                  </w:pPr>
                  <w:r>
                    <w:rPr>
                      <w:rFonts w:hint="eastAsia"/>
                      <w:kern w:val="0"/>
                    </w:rPr>
                    <w:t>符合</w:t>
                  </w:r>
                </w:p>
              </w:tc>
            </w:tr>
          </w:tbl>
          <w:p/>
        </w:tc>
      </w:tr>
    </w:tbl>
    <w:p>
      <w:pPr>
        <w:sectPr>
          <w:footerReference w:type="default" r:id="rId9"/>
          <w:type w:val="nextPage"/>
          <w:pgSz w:w="11906" w:h="16838"/>
          <w:pgMar w:top="1418" w:right="1418" w:bottom="1134" w:left="1701" w:header="851" w:footer="1077" w:gutter="0"/>
          <w:pgNumType w:start="4"/>
          <w:cols w:num="1" w:space="720"/>
          <w:titlePg w:val="0"/>
          <w:docGrid w:linePitch="312" w:charSpace="0"/>
        </w:sectPr>
      </w:pPr>
    </w:p>
    <w:tbl>
      <w:tblPr>
        <w:tblStyle w:val="TableNormal"/>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804"/>
        <w:gridCol w:w="7541"/>
      </w:tblGrid>
      <w:tr>
        <w:tblPrEx>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315"/>
          <w:jc w:val="center"/>
        </w:trPr>
        <w:tc>
          <w:tcPr>
            <w:tcW w:w="1766" w:type="dxa"/>
            <w:vAlign w:val="center"/>
          </w:tcPr>
          <w:p/>
        </w:tc>
        <w:tc>
          <w:tcPr>
            <w:tcW w:w="7382" w:type="dxa"/>
          </w:tcPr>
          <w:tbl>
            <w:tblPr>
              <w:tblStyle w:val="TableNormal"/>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1704"/>
              <w:gridCol w:w="709"/>
              <w:gridCol w:w="2216"/>
              <w:gridCol w:w="1998"/>
              <w:gridCol w:w="539"/>
            </w:tblGrid>
            <w:tr>
              <w:tblPrEx>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rPr>
                <w:trHeight w:val="88"/>
              </w:trPr>
              <w:tc>
                <w:tcPr>
                  <w:tcW w:w="1704" w:type="dxa"/>
                  <w:vAlign w:val="center"/>
                </w:tcPr>
                <w:p/>
              </w:tc>
              <w:tc>
                <w:tcPr>
                  <w:tcW w:w="709" w:type="dxa"/>
                  <w:vAlign w:val="center"/>
                </w:tcPr>
                <w:p/>
              </w:tc>
              <w:tc>
                <w:tcPr>
                  <w:tcW w:w="2216" w:type="dxa"/>
                </w:tcPr>
                <w:p>
                  <w:pPr>
                    <w:adjustRightInd w:val="0"/>
                    <w:snapToGrid w:val="0"/>
                    <w:spacing w:before="0" w:line="300" w:lineRule="exact"/>
                    <w:ind w:firstLine="420" w:firstLineChars="200"/>
                    <w:rPr>
                      <w:kern w:val="0"/>
                    </w:rPr>
                  </w:pPr>
                  <w:r>
                    <w:rPr>
                      <w:rFonts w:hint="eastAsia"/>
                      <w:kern w:val="0"/>
                    </w:rPr>
                    <w:t>推进工业炉窑全面达标排放。</w:t>
                  </w:r>
                </w:p>
                <w:p>
                  <w:pPr>
                    <w:adjustRightInd w:val="0"/>
                    <w:snapToGrid w:val="0"/>
                    <w:spacing w:line="300" w:lineRule="exact"/>
                    <w:ind w:firstLine="420" w:firstLineChars="200"/>
                    <w:rPr>
                      <w:kern w:val="0"/>
                    </w:rPr>
                  </w:pPr>
                  <w:r>
                    <w:rPr>
                      <w:rFonts w:hint="eastAsia"/>
                      <w:kern w:val="0"/>
                    </w:rPr>
                    <w:t>全面加强无组织排放管理。严格控制工业炉窑生产工艺过程及相关物料储存、输送等无组织排放，在保障生产安全的前提下，采取密闭、封闭或设置集气罩等收集，并采取高效储存措施后排放。粒状、块状物料应采用入棚或减少防风抑尘网等方式进行储存。</w:t>
                  </w:r>
                </w:p>
              </w:tc>
              <w:tc>
                <w:tcPr>
                  <w:tcW w:w="1998" w:type="dxa"/>
                </w:tcPr>
                <w:p>
                  <w:pPr>
                    <w:adjustRightInd w:val="0"/>
                    <w:snapToGrid w:val="0"/>
                    <w:spacing w:before="0" w:line="300" w:lineRule="exact"/>
                    <w:rPr>
                      <w:kern w:val="0"/>
                    </w:rPr>
                  </w:pPr>
                  <w:r>
                    <w:rPr>
                      <w:rFonts w:hint="eastAsia"/>
                      <w:kern w:val="0"/>
                      <w:lang w:bidi="en-US"/>
                    </w:rPr>
                    <w:t>采用清洁燃料，炉窑废气经袋式除尘器净化处理后，通过1根15m高排气筒排放；</w:t>
                  </w:r>
                  <w:r>
                    <w:rPr>
                      <w:rFonts w:hint="eastAsia"/>
                      <w:kern w:val="0"/>
                    </w:rPr>
                    <w:t>原料破碎在全封闭原料库内进行，原料破碎工序产生的粉尘经集气罩收集后采用袋式除尘器净化处理，通过1根15m高排气筒排放废气</w:t>
                  </w:r>
                  <w:r>
                    <w:rPr>
                      <w:rFonts w:hint="eastAsia"/>
                      <w:kern w:val="0"/>
                      <w:lang w:bidi="en-US"/>
                    </w:rPr>
                    <w:t>排放；废气排放符合</w:t>
                  </w:r>
                  <w:r>
                    <w:rPr>
                      <w:rFonts w:hint="eastAsia"/>
                      <w:kern w:val="0"/>
                    </w:rPr>
                    <w:t>《关中地区重点行业大气污染物排放标准》（DB61941-2018）表7砖瓦工业大气污染物排放浓度限值要求。</w:t>
                  </w:r>
                </w:p>
                <w:p>
                  <w:pPr>
                    <w:adjustRightInd w:val="0"/>
                    <w:snapToGrid w:val="0"/>
                    <w:spacing w:line="300" w:lineRule="exact"/>
                    <w:rPr>
                      <w:kern w:val="0"/>
                    </w:rPr>
                  </w:pPr>
                  <w:r>
                    <w:rPr>
                      <w:rFonts w:hint="eastAsia"/>
                      <w:kern w:val="0"/>
                    </w:rPr>
                    <w:t>项目建设全封闭原料库，</w:t>
                  </w:r>
                  <w:r>
                    <w:rPr>
                      <w:rFonts w:hint="eastAsia"/>
                      <w:kern w:val="0"/>
                      <w:lang w:bidi="en-US"/>
                    </w:rPr>
                    <w:t>并在料场顶部设置喷淋系统1套，原料陶土全部入库储存。</w:t>
                  </w:r>
                </w:p>
              </w:tc>
              <w:tc>
                <w:tcPr>
                  <w:tcW w:w="539" w:type="dxa"/>
                  <w:vAlign w:val="center"/>
                </w:tcPr>
                <w:p/>
              </w:tc>
            </w:tr>
            <w:tr>
              <w:tblPrEx>
                <w:tblW w:w="7166" w:type="dxa"/>
                <w:tblInd w:w="0" w:type="dxa"/>
                <w:tblLayout w:type="fixed"/>
                <w:tblCellMar>
                  <w:top w:w="0" w:type="dxa"/>
                  <w:left w:w="10" w:type="dxa"/>
                  <w:bottom w:w="0" w:type="dxa"/>
                  <w:right w:w="10" w:type="dxa"/>
                </w:tblCellMar>
              </w:tblPrEx>
              <w:trPr>
                <w:trHeight w:val="88"/>
              </w:trPr>
              <w:tc>
                <w:tcPr>
                  <w:tcW w:w="1704" w:type="dxa"/>
                  <w:vAlign w:val="center"/>
                </w:tcPr>
                <w:p>
                  <w:pPr>
                    <w:adjustRightInd w:val="0"/>
                    <w:snapToGrid w:val="0"/>
                    <w:spacing w:line="300" w:lineRule="exact"/>
                    <w:jc w:val="center"/>
                    <w:rPr>
                      <w:kern w:val="0"/>
                    </w:rPr>
                  </w:pPr>
                  <w:r>
                    <w:rPr>
                      <w:rFonts w:hint="eastAsia"/>
                      <w:kern w:val="0"/>
                    </w:rPr>
                    <w:t>《陕西省国民经济和社会发展第十四个五年规划和二〇三五年远景目标纲要》</w:t>
                  </w:r>
                </w:p>
              </w:tc>
              <w:tc>
                <w:tcPr>
                  <w:tcW w:w="2925" w:type="dxa"/>
                  <w:gridSpan w:val="2"/>
                  <w:vAlign w:val="center"/>
                </w:tcPr>
                <w:p>
                  <w:pPr>
                    <w:adjustRightInd w:val="0"/>
                    <w:snapToGrid w:val="0"/>
                    <w:spacing w:line="300" w:lineRule="exact"/>
                    <w:rPr>
                      <w:kern w:val="0"/>
                    </w:rPr>
                  </w:pPr>
                  <w:r>
                    <w:rPr>
                      <w:rFonts w:hint="eastAsia"/>
                      <w:kern w:val="0"/>
                    </w:rPr>
                    <w:t>推动多污染物协同控制，突出细颗粒物和臭氧“双控双减”，全面开展挥发性有机物和氮氧化物综合治理，积极参与汾渭平原及关中地区大气污染区域联防联控。</w:t>
                  </w:r>
                </w:p>
              </w:tc>
              <w:tc>
                <w:tcPr>
                  <w:tcW w:w="1998" w:type="dxa"/>
                </w:tcPr>
                <w:p>
                  <w:pPr>
                    <w:adjustRightInd w:val="0"/>
                    <w:snapToGrid w:val="0"/>
                    <w:spacing w:line="300" w:lineRule="exact"/>
                    <w:rPr>
                      <w:kern w:val="0"/>
                    </w:rPr>
                  </w:pPr>
                  <w:r>
                    <w:rPr>
                      <w:rFonts w:hint="eastAsia"/>
                      <w:kern w:val="0"/>
                    </w:rPr>
                    <w:t>本项目不排放有机废气。</w:t>
                  </w:r>
                </w:p>
                <w:p>
                  <w:pPr>
                    <w:adjustRightInd w:val="0"/>
                    <w:snapToGrid w:val="0"/>
                    <w:spacing w:line="300" w:lineRule="exact"/>
                    <w:rPr>
                      <w:kern w:val="0"/>
                    </w:rPr>
                  </w:pPr>
                  <w:r>
                    <w:rPr>
                      <w:rFonts w:hint="eastAsia"/>
                      <w:kern w:val="0"/>
                    </w:rPr>
                    <w:t>窑炉采用</w:t>
                  </w:r>
                  <w:r>
                    <w:rPr>
                      <w:rFonts w:hint="eastAsia"/>
                      <w:kern w:val="0"/>
                      <w:lang w:bidi="en-US"/>
                    </w:rPr>
                    <w:t>清洁燃料，废气经袋式除尘器净化处理后通过15m高排气筒排放；原料粉碎粉尘经经袋式除尘器净化处理后通过15m高排气筒排放。</w:t>
                  </w:r>
                </w:p>
                <w:p>
                  <w:pPr>
                    <w:adjustRightInd w:val="0"/>
                    <w:snapToGrid w:val="0"/>
                    <w:spacing w:line="300" w:lineRule="exact"/>
                    <w:rPr>
                      <w:kern w:val="0"/>
                    </w:rPr>
                  </w:pPr>
                  <w:r>
                    <w:rPr>
                      <w:rFonts w:hint="eastAsia"/>
                      <w:kern w:val="0"/>
                    </w:rPr>
                    <w:t>原料堆放采用封闭式原料库，顶部安装有喷雾降尘设施。</w:t>
                  </w:r>
                </w:p>
                <w:p>
                  <w:pPr>
                    <w:adjustRightInd w:val="0"/>
                    <w:snapToGrid w:val="0"/>
                    <w:spacing w:line="300" w:lineRule="exact"/>
                    <w:rPr>
                      <w:kern w:val="0"/>
                    </w:rPr>
                  </w:pPr>
                  <w:r>
                    <w:rPr>
                      <w:rFonts w:hint="eastAsia"/>
                      <w:kern w:val="0"/>
                    </w:rPr>
                    <w:t>厂区道路定期洒水降尘。</w:t>
                  </w:r>
                </w:p>
              </w:tc>
              <w:tc>
                <w:tcPr>
                  <w:tcW w:w="539" w:type="dxa"/>
                  <w:vAlign w:val="center"/>
                </w:tcPr>
                <w:p>
                  <w:pPr>
                    <w:adjustRightInd w:val="0"/>
                    <w:snapToGrid w:val="0"/>
                    <w:spacing w:line="300" w:lineRule="exact"/>
                    <w:jc w:val="center"/>
                    <w:rPr>
                      <w:kern w:val="0"/>
                    </w:rPr>
                  </w:pPr>
                  <w:r>
                    <w:rPr>
                      <w:rFonts w:hint="eastAsia"/>
                      <w:kern w:val="0"/>
                    </w:rPr>
                    <w:t>符合</w:t>
                  </w:r>
                </w:p>
              </w:tc>
            </w:tr>
            <w:tr>
              <w:tblPrEx>
                <w:tblW w:w="7166" w:type="dxa"/>
                <w:tblInd w:w="0" w:type="dxa"/>
                <w:tblLayout w:type="fixed"/>
                <w:tblCellMar>
                  <w:top w:w="0" w:type="dxa"/>
                  <w:left w:w="10" w:type="dxa"/>
                  <w:bottom w:w="0" w:type="dxa"/>
                  <w:right w:w="10" w:type="dxa"/>
                </w:tblCellMar>
              </w:tblPrEx>
              <w:trPr>
                <w:trHeight w:val="88"/>
              </w:trPr>
              <w:tc>
                <w:tcPr>
                  <w:tcW w:w="1704" w:type="dxa"/>
                  <w:vAlign w:val="center"/>
                </w:tcPr>
                <w:p>
                  <w:pPr>
                    <w:adjustRightInd w:val="0"/>
                    <w:snapToGrid w:val="0"/>
                    <w:spacing w:line="300" w:lineRule="exact"/>
                    <w:jc w:val="center"/>
                    <w:rPr>
                      <w:kern w:val="0"/>
                    </w:rPr>
                  </w:pPr>
                  <w:r>
                    <w:t>《蒲城县总体规划》</w:t>
                  </w:r>
                </w:p>
              </w:tc>
              <w:tc>
                <w:tcPr>
                  <w:tcW w:w="2925" w:type="dxa"/>
                  <w:gridSpan w:val="2"/>
                  <w:vAlign w:val="center"/>
                </w:tcPr>
                <w:p>
                  <w:pPr>
                    <w:adjustRightInd w:val="0"/>
                    <w:snapToGrid w:val="0"/>
                    <w:spacing w:line="300" w:lineRule="exact"/>
                    <w:rPr>
                      <w:kern w:val="0"/>
                    </w:rPr>
                  </w:pPr>
                  <w:r>
                    <w:t>社会经济发展战略</w:t>
                  </w:r>
                  <w:r>
                    <w:rPr>
                      <w:rFonts w:hint="eastAsia"/>
                    </w:rPr>
                    <w:t>：“</w:t>
                  </w:r>
                  <w:r>
                    <w:t>工业强县</w:t>
                  </w:r>
                  <w:r>
                    <w:rPr>
                      <w:rFonts w:hint="eastAsia"/>
                    </w:rPr>
                    <w:t>”</w:t>
                  </w:r>
                  <w:r>
                    <w:t>发展战略，以能源化工、花炮、建材、食品加工产业等为主导产业。</w:t>
                  </w:r>
                </w:p>
              </w:tc>
              <w:tc>
                <w:tcPr>
                  <w:tcW w:w="1998" w:type="dxa"/>
                </w:tcPr>
                <w:p>
                  <w:pPr>
                    <w:adjustRightInd w:val="0"/>
                    <w:snapToGrid w:val="0"/>
                    <w:spacing w:line="300" w:lineRule="exact"/>
                    <w:rPr>
                      <w:kern w:val="0"/>
                    </w:rPr>
                  </w:pPr>
                  <w:r>
                    <w:rPr>
                      <w:szCs w:val="21"/>
                    </w:rPr>
                    <w:t>本项目主要</w:t>
                  </w:r>
                  <w:r>
                    <w:rPr>
                      <w:rFonts w:hint="eastAsia"/>
                      <w:szCs w:val="21"/>
                    </w:rPr>
                    <w:t>从事古建装饰砖/瓦制品生产</w:t>
                  </w:r>
                  <w:r>
                    <w:rPr>
                      <w:szCs w:val="21"/>
                    </w:rPr>
                    <w:t>，属于建材类产业</w:t>
                  </w:r>
                </w:p>
              </w:tc>
              <w:tc>
                <w:tcPr>
                  <w:tcW w:w="539" w:type="dxa"/>
                  <w:vAlign w:val="center"/>
                </w:tcPr>
                <w:p>
                  <w:pPr>
                    <w:adjustRightInd w:val="0"/>
                    <w:snapToGrid w:val="0"/>
                    <w:spacing w:line="300" w:lineRule="exact"/>
                    <w:jc w:val="center"/>
                    <w:rPr>
                      <w:kern w:val="0"/>
                    </w:rPr>
                  </w:pPr>
                  <w:r>
                    <w:rPr>
                      <w:rFonts w:hint="eastAsia"/>
                      <w:kern w:val="0"/>
                    </w:rPr>
                    <w:t>符合</w:t>
                  </w:r>
                </w:p>
              </w:tc>
            </w:tr>
            <w:tr>
              <w:tblPrEx>
                <w:tblW w:w="7166" w:type="dxa"/>
                <w:tblInd w:w="0" w:type="dxa"/>
                <w:tblLayout w:type="fixed"/>
                <w:tblCellMar>
                  <w:top w:w="0" w:type="dxa"/>
                  <w:left w:w="10" w:type="dxa"/>
                  <w:bottom w:w="0" w:type="dxa"/>
                  <w:right w:w="10" w:type="dxa"/>
                </w:tblCellMar>
              </w:tblPrEx>
              <w:trPr>
                <w:trHeight w:val="213"/>
              </w:trPr>
              <w:tc>
                <w:tcPr>
                  <w:tcW w:w="1704" w:type="dxa"/>
                  <w:vAlign w:val="center"/>
                </w:tcPr>
                <w:p>
                  <w:pPr>
                    <w:adjustRightInd w:val="0"/>
                    <w:snapToGrid w:val="0"/>
                    <w:spacing w:line="300" w:lineRule="exact"/>
                    <w:jc w:val="center"/>
                    <w:rPr>
                      <w:kern w:val="0"/>
                    </w:rPr>
                  </w:pPr>
                  <w:r>
                    <w:rPr>
                      <w:rFonts w:hint="eastAsia"/>
                      <w:kern w:val="0"/>
                    </w:rPr>
                    <w:t>国务院关于印发打赢蓝天保卫战三年行动计划的通知》（国发</w:t>
                  </w:r>
                  <w:r>
                    <w:rPr>
                      <w:kern w:val="0"/>
                    </w:rPr>
                    <w:t>[2018]22</w:t>
                  </w:r>
                  <w:r>
                    <w:rPr>
                      <w:rFonts w:hint="eastAsia"/>
                      <w:kern w:val="0"/>
                    </w:rPr>
                    <w:t>号）</w:t>
                  </w:r>
                </w:p>
              </w:tc>
              <w:tc>
                <w:tcPr>
                  <w:tcW w:w="2925" w:type="dxa"/>
                  <w:gridSpan w:val="2"/>
                </w:tcPr>
                <w:p>
                  <w:pPr>
                    <w:adjustRightInd w:val="0"/>
                    <w:snapToGrid w:val="0"/>
                    <w:spacing w:after="0" w:line="300" w:lineRule="exact"/>
                    <w:rPr>
                      <w:kern w:val="0"/>
                    </w:rPr>
                  </w:pPr>
                </w:p>
              </w:tc>
              <w:tc>
                <w:tcPr>
                  <w:tcW w:w="1998" w:type="dxa"/>
                </w:tcPr>
                <w:p>
                  <w:pPr>
                    <w:adjustRightInd w:val="0"/>
                    <w:snapToGrid w:val="0"/>
                    <w:spacing w:line="300" w:lineRule="exact"/>
                    <w:rPr>
                      <w:kern w:val="0"/>
                    </w:rPr>
                  </w:pPr>
                  <w:r>
                    <w:rPr>
                      <w:rFonts w:hint="eastAsia"/>
                      <w:kern w:val="0"/>
                    </w:rPr>
                    <w:t>项目排放二氧化硫、氮氧化物、颗粒物全部执行大气污染物特别排放限值。</w:t>
                  </w:r>
                </w:p>
              </w:tc>
              <w:tc>
                <w:tcPr>
                  <w:tcW w:w="539" w:type="dxa"/>
                  <w:vAlign w:val="center"/>
                </w:tcPr>
                <w:p>
                  <w:pPr>
                    <w:adjustRightInd w:val="0"/>
                    <w:snapToGrid w:val="0"/>
                    <w:spacing w:line="300" w:lineRule="exact"/>
                    <w:jc w:val="center"/>
                    <w:rPr>
                      <w:kern w:val="0"/>
                    </w:rPr>
                  </w:pPr>
                  <w:r>
                    <w:rPr>
                      <w:rFonts w:hint="eastAsia"/>
                      <w:kern w:val="0"/>
                    </w:rPr>
                    <w:t>符合</w:t>
                  </w:r>
                </w:p>
              </w:tc>
            </w:tr>
          </w:tbl>
          <w:p/>
        </w:tc>
      </w:tr>
    </w:tbl>
    <w:p>
      <w:pPr>
        <w:sectPr>
          <w:footerReference w:type="default" r:id="rId10"/>
          <w:type w:val="nextPage"/>
          <w:pgSz w:w="11906" w:h="16838"/>
          <w:pgMar w:top="1418" w:right="1418" w:bottom="1134" w:left="1701" w:header="851" w:footer="1077" w:gutter="0"/>
          <w:pgNumType w:start="5"/>
          <w:cols w:num="1" w:space="720"/>
          <w:titlePg w:val="0"/>
          <w:docGrid w:linePitch="312" w:charSpace="0"/>
        </w:sectPr>
      </w:pPr>
    </w:p>
    <w:tbl>
      <w:tblPr>
        <w:tblStyle w:val="TableNormal"/>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804"/>
        <w:gridCol w:w="7541"/>
      </w:tblGrid>
      <w:tr>
        <w:tblPrEx>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315"/>
          <w:jc w:val="center"/>
        </w:trPr>
        <w:tc>
          <w:tcPr>
            <w:tcW w:w="1766" w:type="dxa"/>
            <w:vAlign w:val="center"/>
          </w:tcPr>
          <w:p/>
        </w:tc>
        <w:tc>
          <w:tcPr>
            <w:tcW w:w="7382" w:type="dxa"/>
          </w:tcPr>
          <w:tbl>
            <w:tblPr>
              <w:tblStyle w:val="TableNormal"/>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1704"/>
              <w:gridCol w:w="2925"/>
              <w:gridCol w:w="1998"/>
              <w:gridCol w:w="539"/>
            </w:tblGrid>
            <w:tr>
              <w:tblPrEx>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rPr>
                <w:trHeight w:val="213"/>
              </w:trPr>
              <w:tc>
                <w:tcPr>
                  <w:tcW w:w="1704" w:type="dxa"/>
                  <w:vAlign w:val="center"/>
                </w:tcPr>
                <w:p/>
              </w:tc>
              <w:tc>
                <w:tcPr>
                  <w:tcW w:w="2925" w:type="dxa"/>
                </w:tcPr>
                <w:p>
                  <w:pPr>
                    <w:adjustRightInd w:val="0"/>
                    <w:snapToGrid w:val="0"/>
                    <w:spacing w:before="0" w:line="300" w:lineRule="exact"/>
                    <w:rPr>
                      <w:kern w:val="0"/>
                    </w:rPr>
                  </w:pPr>
                  <w:r>
                    <w:rPr>
                      <w:rFonts w:hint="eastAsia"/>
                      <w:kern w:val="0"/>
                    </w:rPr>
                    <w:t>推进重点行业污染治理升级改造。重点区域二氧化硫、氮氧化物、颗粒物、挥发性有机物（VOCs）全面执行大气污染物特别排放限值。</w:t>
                  </w:r>
                </w:p>
              </w:tc>
              <w:tc>
                <w:tcPr>
                  <w:tcW w:w="1998" w:type="dxa"/>
                </w:tcPr>
                <w:p/>
              </w:tc>
              <w:tc>
                <w:tcPr>
                  <w:tcW w:w="539" w:type="dxa"/>
                  <w:vAlign w:val="center"/>
                </w:tcPr>
                <w:p/>
              </w:tc>
            </w:tr>
            <w:tr>
              <w:tblPrEx>
                <w:tblW w:w="7166" w:type="dxa"/>
                <w:tblInd w:w="0" w:type="dxa"/>
                <w:tblLayout w:type="fixed"/>
                <w:tblCellMar>
                  <w:top w:w="0" w:type="dxa"/>
                  <w:left w:w="10" w:type="dxa"/>
                  <w:bottom w:w="0" w:type="dxa"/>
                  <w:right w:w="10" w:type="dxa"/>
                </w:tblCellMar>
              </w:tblPrEx>
              <w:trPr>
                <w:trHeight w:val="213"/>
              </w:trPr>
              <w:tc>
                <w:tcPr>
                  <w:tcW w:w="1704" w:type="dxa"/>
                  <w:vMerge w:val="restart"/>
                  <w:vAlign w:val="center"/>
                </w:tcPr>
                <w:p>
                  <w:pPr>
                    <w:adjustRightInd w:val="0"/>
                    <w:snapToGrid w:val="0"/>
                    <w:spacing w:line="300" w:lineRule="exact"/>
                    <w:jc w:val="center"/>
                    <w:rPr>
                      <w:kern w:val="0"/>
                    </w:rPr>
                  </w:pPr>
                  <w:r>
                    <w:rPr>
                      <w:bCs/>
                      <w:szCs w:val="21"/>
                    </w:rPr>
                    <w:t>陕西省铁腕治霾打赢蓝天保卫战三年行动方案（2018</w:t>
                  </w:r>
                  <w:r>
                    <w:rPr>
                      <w:rFonts w:hint="eastAsia"/>
                      <w:bCs/>
                      <w:szCs w:val="21"/>
                    </w:rPr>
                    <w:t>-</w:t>
                  </w:r>
                  <w:r>
                    <w:rPr>
                      <w:bCs/>
                      <w:szCs w:val="21"/>
                    </w:rPr>
                    <w:t>2020年）（修订版）</w:t>
                  </w:r>
                </w:p>
              </w:tc>
              <w:tc>
                <w:tcPr>
                  <w:tcW w:w="2925" w:type="dxa"/>
                </w:tcPr>
                <w:p>
                  <w:pPr>
                    <w:adjustRightInd w:val="0"/>
                    <w:snapToGrid w:val="0"/>
                    <w:spacing w:line="300" w:lineRule="exact"/>
                    <w:rPr>
                      <w:kern w:val="0"/>
                    </w:rPr>
                  </w:pPr>
                  <w:r>
                    <w:rPr>
                      <w:szCs w:val="21"/>
                    </w:rPr>
                    <w:t>（九）推进重点行业污染治理升级改造。关中地区二氧化硫、氮氧化物、颗粒物、挥发性有机物（VOCs）全面执行大气污染物特别排放限值。强化工业企业无组织排放管控。开展钢铁、建材、有色、火电、焦化、铸造等重点行业及燃煤锅炉无组织排放排查，建立管理台账，对物料（含废渣）运输、装卸、储存、转移和工艺过程等无组织排放实施深度治理，关中地区2019年底前完成，全省2020年底前基本完成。</w:t>
                  </w:r>
                </w:p>
              </w:tc>
              <w:tc>
                <w:tcPr>
                  <w:tcW w:w="1998" w:type="dxa"/>
                  <w:vMerge w:val="restart"/>
                </w:tcPr>
                <w:p>
                  <w:pPr>
                    <w:adjustRightInd w:val="0"/>
                    <w:snapToGrid w:val="0"/>
                    <w:spacing w:line="300" w:lineRule="exact"/>
                    <w:rPr>
                      <w:kern w:val="0"/>
                    </w:rPr>
                  </w:pPr>
                  <w:r>
                    <w:rPr>
                      <w:rFonts w:hint="eastAsia"/>
                      <w:kern w:val="0"/>
                    </w:rPr>
                    <w:t>窑炉采用</w:t>
                  </w:r>
                  <w:r>
                    <w:rPr>
                      <w:rFonts w:hint="eastAsia"/>
                      <w:kern w:val="0"/>
                      <w:lang w:bidi="en-US"/>
                    </w:rPr>
                    <w:t>清洁燃料，废气经袋式除尘器净化处理后通过15m高排气筒排放；原料粉碎粉尘经袋式除尘器净化处理后通过15m高排气筒排放。</w:t>
                  </w:r>
                </w:p>
                <w:p>
                  <w:pPr>
                    <w:adjustRightInd w:val="0"/>
                    <w:snapToGrid w:val="0"/>
                    <w:spacing w:line="300" w:lineRule="exact"/>
                    <w:rPr>
                      <w:kern w:val="0"/>
                    </w:rPr>
                  </w:pPr>
                  <w:r>
                    <w:rPr>
                      <w:rFonts w:hint="eastAsia"/>
                      <w:kern w:val="0"/>
                    </w:rPr>
                    <w:t>原料堆放采用封闭式原料库，顶部安装有喷雾降尘设施。</w:t>
                  </w:r>
                </w:p>
                <w:p>
                  <w:pPr>
                    <w:adjustRightInd w:val="0"/>
                    <w:snapToGrid w:val="0"/>
                    <w:spacing w:line="300" w:lineRule="exact"/>
                    <w:rPr>
                      <w:kern w:val="0"/>
                    </w:rPr>
                  </w:pPr>
                  <w:r>
                    <w:rPr>
                      <w:rFonts w:hint="eastAsia"/>
                      <w:kern w:val="0"/>
                    </w:rPr>
                    <w:t>厂区道路定期洒水降尘。</w:t>
                  </w:r>
                </w:p>
              </w:tc>
              <w:tc>
                <w:tcPr>
                  <w:tcW w:w="539" w:type="dxa"/>
                  <w:vAlign w:val="center"/>
                </w:tcPr>
                <w:p>
                  <w:pPr>
                    <w:adjustRightInd w:val="0"/>
                    <w:snapToGrid w:val="0"/>
                    <w:spacing w:line="300" w:lineRule="exact"/>
                    <w:jc w:val="center"/>
                    <w:rPr>
                      <w:kern w:val="0"/>
                    </w:rPr>
                  </w:pPr>
                  <w:r>
                    <w:rPr>
                      <w:rFonts w:hint="eastAsia"/>
                      <w:kern w:val="0"/>
                    </w:rPr>
                    <w:t>符合</w:t>
                  </w:r>
                </w:p>
              </w:tc>
            </w:tr>
            <w:tr>
              <w:tblPrEx>
                <w:tblW w:w="7166" w:type="dxa"/>
                <w:tblInd w:w="0" w:type="dxa"/>
                <w:tblLayout w:type="fixed"/>
                <w:tblCellMar>
                  <w:top w:w="0" w:type="dxa"/>
                  <w:left w:w="10" w:type="dxa"/>
                  <w:bottom w:w="0" w:type="dxa"/>
                  <w:right w:w="10" w:type="dxa"/>
                </w:tblCellMar>
              </w:tblPrEx>
              <w:trPr>
                <w:trHeight w:val="213"/>
              </w:trPr>
              <w:tc>
                <w:tcPr>
                  <w:tcW w:w="1704" w:type="dxa"/>
                  <w:vMerge/>
                  <w:vAlign w:val="center"/>
                </w:tcPr>
                <w:p>
                  <w:pPr>
                    <w:adjustRightInd w:val="0"/>
                    <w:snapToGrid w:val="0"/>
                    <w:spacing w:line="300" w:lineRule="exact"/>
                    <w:jc w:val="center"/>
                    <w:rPr>
                      <w:kern w:val="0"/>
                    </w:rPr>
                  </w:pPr>
                </w:p>
              </w:tc>
              <w:tc>
                <w:tcPr>
                  <w:tcW w:w="2925" w:type="dxa"/>
                </w:tcPr>
                <w:p>
                  <w:pPr>
                    <w:adjustRightInd w:val="0"/>
                    <w:snapToGrid w:val="0"/>
                    <w:spacing w:line="300" w:lineRule="exact"/>
                    <w:rPr>
                      <w:kern w:val="0"/>
                    </w:rPr>
                  </w:pPr>
                  <w:r>
                    <w:rPr>
                      <w:szCs w:val="21"/>
                    </w:rPr>
                    <w:t>（三十六）加强物料堆场扬尘监管。严格落实煤炭、商品混凝土、粉煤灰等工业企业物料堆场抑尘措施，配套建设收尘和密封物料仓库，建设围墙、喷淋、覆盖和围挡等防风抑尘措施。采用密闭输送设备作业的，必须在装卸处配备吸尘、喷淋等防尘设施，并保持防尘设施的正常使用，严禁露天装卸作业和物料干法作业。</w:t>
                  </w:r>
                </w:p>
              </w:tc>
              <w:tc>
                <w:tcPr>
                  <w:tcW w:w="1998" w:type="dxa"/>
                  <w:vMerge/>
                </w:tcPr>
                <w:p>
                  <w:pPr>
                    <w:adjustRightInd w:val="0"/>
                    <w:snapToGrid w:val="0"/>
                    <w:spacing w:line="300" w:lineRule="exact"/>
                    <w:rPr>
                      <w:kern w:val="0"/>
                    </w:rPr>
                  </w:pPr>
                </w:p>
              </w:tc>
              <w:tc>
                <w:tcPr>
                  <w:tcW w:w="539" w:type="dxa"/>
                  <w:vAlign w:val="center"/>
                </w:tcPr>
                <w:p>
                  <w:pPr>
                    <w:adjustRightInd w:val="0"/>
                    <w:snapToGrid w:val="0"/>
                    <w:spacing w:line="300" w:lineRule="exact"/>
                    <w:jc w:val="center"/>
                    <w:rPr>
                      <w:kern w:val="0"/>
                    </w:rPr>
                  </w:pPr>
                  <w:r>
                    <w:rPr>
                      <w:rFonts w:hint="eastAsia"/>
                      <w:kern w:val="0"/>
                    </w:rPr>
                    <w:t>符合</w:t>
                  </w:r>
                </w:p>
              </w:tc>
            </w:tr>
            <w:tr>
              <w:tblPrEx>
                <w:tblW w:w="7166" w:type="dxa"/>
                <w:tblInd w:w="0" w:type="dxa"/>
                <w:tblLayout w:type="fixed"/>
                <w:tblCellMar>
                  <w:top w:w="0" w:type="dxa"/>
                  <w:left w:w="10" w:type="dxa"/>
                  <w:bottom w:w="0" w:type="dxa"/>
                  <w:right w:w="10" w:type="dxa"/>
                </w:tblCellMar>
              </w:tblPrEx>
              <w:trPr>
                <w:trHeight w:val="213"/>
              </w:trPr>
              <w:tc>
                <w:tcPr>
                  <w:tcW w:w="1704" w:type="dxa"/>
                  <w:vAlign w:val="center"/>
                </w:tcPr>
                <w:p>
                  <w:pPr>
                    <w:adjustRightInd w:val="0"/>
                    <w:snapToGrid w:val="0"/>
                    <w:spacing w:line="300" w:lineRule="exact"/>
                    <w:jc w:val="center"/>
                    <w:rPr>
                      <w:kern w:val="0"/>
                    </w:rPr>
                  </w:pPr>
                  <w:r>
                    <w:rPr>
                      <w:kern w:val="0"/>
                    </w:rPr>
                    <w:t>《渭南市铁腕治霾打赢蓝天保卫战三年行动方案（2018-2020年）（修订版）》（渭政发〔2018〕42号）</w:t>
                  </w:r>
                </w:p>
              </w:tc>
              <w:tc>
                <w:tcPr>
                  <w:tcW w:w="2925" w:type="dxa"/>
                </w:tcPr>
                <w:p>
                  <w:pPr>
                    <w:adjustRightInd w:val="0"/>
                    <w:snapToGrid w:val="0"/>
                    <w:spacing w:line="300" w:lineRule="exact"/>
                    <w:rPr>
                      <w:szCs w:val="21"/>
                    </w:rPr>
                  </w:pPr>
                  <w:r>
                    <w:rPr>
                      <w:szCs w:val="21"/>
                    </w:rPr>
                    <w:t>加强物料堆场扬尘监管。严格落实煤炭、商品混凝土、粉煤灰等工业企业物料堆场抑尘措施，配套建设收尘和密封物料仓库，建设围墙、喷淋、覆盖和围挡等防风抑尘措施。采用密闭输送设备作业的，必须在装卸处配备吸尘、喷淋等防尘设施，并保持防尘设施的正常使用，严禁露天装卸作业和物料干法作业。</w:t>
                  </w:r>
                </w:p>
              </w:tc>
              <w:tc>
                <w:tcPr>
                  <w:tcW w:w="1998" w:type="dxa"/>
                </w:tcPr>
                <w:p>
                  <w:pPr>
                    <w:adjustRightInd w:val="0"/>
                    <w:snapToGrid w:val="0"/>
                    <w:spacing w:line="300" w:lineRule="exact"/>
                    <w:rPr>
                      <w:kern w:val="0"/>
                    </w:rPr>
                  </w:pPr>
                  <w:r>
                    <w:rPr>
                      <w:kern w:val="0"/>
                    </w:rPr>
                    <w:t>本项目严格落实抑尘、收尘措施，采用封闭设备运输，</w:t>
                  </w:r>
                  <w:r>
                    <w:rPr>
                      <w:rFonts w:hint="eastAsia"/>
                      <w:kern w:val="0"/>
                    </w:rPr>
                    <w:t>原料堆放采用封闭式原料库，顶部安装有喷雾降尘设施。厂区道路定期洒水降尘。</w:t>
                  </w:r>
                </w:p>
              </w:tc>
              <w:tc>
                <w:tcPr>
                  <w:tcW w:w="539" w:type="dxa"/>
                  <w:vAlign w:val="center"/>
                </w:tcPr>
                <w:p>
                  <w:pPr>
                    <w:adjustRightInd w:val="0"/>
                    <w:snapToGrid w:val="0"/>
                    <w:spacing w:line="300" w:lineRule="exact"/>
                    <w:jc w:val="center"/>
                    <w:rPr>
                      <w:kern w:val="0"/>
                    </w:rPr>
                  </w:pPr>
                  <w:r>
                    <w:rPr>
                      <w:rFonts w:hint="eastAsia"/>
                      <w:kern w:val="0"/>
                    </w:rPr>
                    <w:t>符合</w:t>
                  </w:r>
                </w:p>
              </w:tc>
            </w:tr>
            <w:tr>
              <w:tblPrEx>
                <w:tblW w:w="7166" w:type="dxa"/>
                <w:tblInd w:w="0" w:type="dxa"/>
                <w:tblLayout w:type="fixed"/>
                <w:tblCellMar>
                  <w:top w:w="0" w:type="dxa"/>
                  <w:left w:w="10" w:type="dxa"/>
                  <w:bottom w:w="0" w:type="dxa"/>
                  <w:right w:w="10" w:type="dxa"/>
                </w:tblCellMar>
              </w:tblPrEx>
              <w:trPr>
                <w:trHeight w:val="213"/>
              </w:trPr>
              <w:tc>
                <w:tcPr>
                  <w:tcW w:w="1704" w:type="dxa"/>
                  <w:vAlign w:val="center"/>
                </w:tcPr>
                <w:p>
                  <w:pPr>
                    <w:widowControl/>
                    <w:adjustRightInd w:val="0"/>
                    <w:snapToGrid w:val="0"/>
                    <w:spacing w:line="300" w:lineRule="exact"/>
                    <w:jc w:val="center"/>
                    <w:rPr>
                      <w:szCs w:val="21"/>
                      <w:u w:color="000000"/>
                    </w:rPr>
                  </w:pPr>
                  <w:r>
                    <w:rPr>
                      <w:rFonts w:hint="eastAsia"/>
                      <w:szCs w:val="21"/>
                      <w:u w:color="000000"/>
                    </w:rPr>
                    <w:t>《工业炉窑大气污染综合治理方案》（环大气〔2019〕56号）</w:t>
                  </w:r>
                </w:p>
              </w:tc>
              <w:tc>
                <w:tcPr>
                  <w:tcW w:w="2925" w:type="dxa"/>
                  <w:vAlign w:val="center"/>
                </w:tcPr>
                <w:p>
                  <w:pPr>
                    <w:widowControl/>
                    <w:adjustRightInd w:val="0"/>
                    <w:snapToGrid w:val="0"/>
                    <w:spacing w:line="300" w:lineRule="exact"/>
                    <w:jc w:val="center"/>
                    <w:rPr>
                      <w:szCs w:val="21"/>
                      <w:u w:color="000000"/>
                    </w:rPr>
                  </w:pPr>
                  <w:r>
                    <w:rPr>
                      <w:szCs w:val="21"/>
                      <w:u w:color="000000"/>
                    </w:rPr>
                    <w:t>加大产业结构调整力度。严格建设项目环境准入。新建涉工业炉窑的建设项目，原则上要入园区，配套建设高效环保治理设施。</w:t>
                  </w:r>
                </w:p>
              </w:tc>
              <w:tc>
                <w:tcPr>
                  <w:tcW w:w="1998" w:type="dxa"/>
                  <w:vAlign w:val="center"/>
                </w:tcPr>
                <w:p>
                  <w:pPr>
                    <w:widowControl/>
                    <w:adjustRightInd w:val="0"/>
                    <w:snapToGrid w:val="0"/>
                    <w:spacing w:after="0" w:line="300" w:lineRule="exact"/>
                    <w:jc w:val="center"/>
                    <w:rPr>
                      <w:szCs w:val="21"/>
                      <w:u w:color="000000"/>
                    </w:rPr>
                  </w:pPr>
                </w:p>
              </w:tc>
              <w:tc>
                <w:tcPr>
                  <w:tcW w:w="539" w:type="dxa"/>
                  <w:vAlign w:val="center"/>
                </w:tcPr>
                <w:p>
                  <w:pPr>
                    <w:widowControl/>
                    <w:adjustRightInd w:val="0"/>
                    <w:snapToGrid w:val="0"/>
                    <w:spacing w:line="300" w:lineRule="exact"/>
                    <w:jc w:val="center"/>
                    <w:rPr>
                      <w:szCs w:val="21"/>
                      <w:u w:color="000000"/>
                    </w:rPr>
                  </w:pPr>
                  <w:r>
                    <w:rPr>
                      <w:rFonts w:hint="eastAsia"/>
                      <w:szCs w:val="21"/>
                      <w:u w:color="000000"/>
                    </w:rPr>
                    <w:t>符合</w:t>
                  </w:r>
                </w:p>
              </w:tc>
            </w:tr>
          </w:tbl>
          <w:p/>
        </w:tc>
      </w:tr>
    </w:tbl>
    <w:p>
      <w:pPr>
        <w:sectPr>
          <w:footerReference w:type="default" r:id="rId11"/>
          <w:type w:val="nextPage"/>
          <w:pgSz w:w="11906" w:h="16838"/>
          <w:pgMar w:top="1418" w:right="1418" w:bottom="1134" w:left="1701" w:header="851" w:footer="1077" w:gutter="0"/>
          <w:pgNumType w:start="6"/>
          <w:cols w:num="1" w:space="720"/>
          <w:titlePg w:val="0"/>
          <w:docGrid w:linePitch="312" w:charSpace="0"/>
        </w:sectPr>
      </w:pPr>
    </w:p>
    <w:tbl>
      <w:tblPr>
        <w:tblStyle w:val="TableNormal"/>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804"/>
        <w:gridCol w:w="7541"/>
      </w:tblGrid>
      <w:tr>
        <w:tblPrEx>
          <w:tblW w:w="519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315"/>
          <w:jc w:val="center"/>
        </w:trPr>
        <w:tc>
          <w:tcPr>
            <w:tcW w:w="1766" w:type="dxa"/>
            <w:vAlign w:val="center"/>
          </w:tcPr>
          <w:p/>
        </w:tc>
        <w:tc>
          <w:tcPr>
            <w:tcW w:w="7382" w:type="dxa"/>
          </w:tcPr>
          <w:tbl>
            <w:tblPr>
              <w:tblStyle w:val="TableNormal"/>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1704"/>
              <w:gridCol w:w="2925"/>
              <w:gridCol w:w="1998"/>
              <w:gridCol w:w="539"/>
            </w:tblGrid>
            <w:tr>
              <w:tblPrEx>
                <w:tblW w:w="71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rPr>
                <w:trHeight w:val="213"/>
              </w:trPr>
              <w:tc>
                <w:tcPr>
                  <w:tcW w:w="1704" w:type="dxa"/>
                  <w:vMerge w:val="restart"/>
                  <w:vAlign w:val="center"/>
                </w:tcPr>
                <w:p/>
              </w:tc>
              <w:tc>
                <w:tcPr>
                  <w:tcW w:w="2925" w:type="dxa"/>
                  <w:vAlign w:val="center"/>
                </w:tcPr>
                <w:p/>
              </w:tc>
              <w:tc>
                <w:tcPr>
                  <w:tcW w:w="1998" w:type="dxa"/>
                  <w:vAlign w:val="center"/>
                </w:tcPr>
                <w:p>
                  <w:pPr>
                    <w:widowControl/>
                    <w:adjustRightInd w:val="0"/>
                    <w:snapToGrid w:val="0"/>
                    <w:spacing w:before="0" w:line="300" w:lineRule="exact"/>
                    <w:jc w:val="center"/>
                    <w:rPr>
                      <w:szCs w:val="21"/>
                      <w:u w:color="000000"/>
                    </w:rPr>
                  </w:pPr>
                  <w:r>
                    <w:rPr>
                      <w:rFonts w:hint="eastAsia"/>
                      <w:szCs w:val="21"/>
                      <w:u w:color="000000"/>
                    </w:rPr>
                    <w:t>本项目位于蒲城县椿林镇山前洼村，属于蒲城县“散乱污”企业，椿林镇人民政府同意企业提升改造，项目炉窑废气经收集后采用布袋除尘器净化处理，尾气通过15高排气筒达标排放。</w:t>
                  </w:r>
                </w:p>
              </w:tc>
              <w:tc>
                <w:tcPr>
                  <w:tcW w:w="539" w:type="dxa"/>
                  <w:vAlign w:val="center"/>
                </w:tcPr>
                <w:p/>
              </w:tc>
            </w:tr>
            <w:tr>
              <w:tblPrEx>
                <w:tblW w:w="7166" w:type="dxa"/>
                <w:tblInd w:w="0" w:type="dxa"/>
                <w:tblLayout w:type="fixed"/>
                <w:tblCellMar>
                  <w:top w:w="0" w:type="dxa"/>
                  <w:left w:w="10" w:type="dxa"/>
                  <w:bottom w:w="0" w:type="dxa"/>
                  <w:right w:w="10" w:type="dxa"/>
                </w:tblCellMar>
              </w:tblPrEx>
              <w:trPr>
                <w:trHeight w:val="213"/>
              </w:trPr>
              <w:tc>
                <w:tcPr>
                  <w:tcW w:w="1704" w:type="dxa"/>
                  <w:vMerge/>
                  <w:vAlign w:val="center"/>
                </w:tcPr>
                <w:p>
                  <w:pPr>
                    <w:widowControl/>
                    <w:adjustRightInd w:val="0"/>
                    <w:snapToGrid w:val="0"/>
                    <w:spacing w:line="300" w:lineRule="exact"/>
                    <w:jc w:val="center"/>
                    <w:rPr>
                      <w:szCs w:val="21"/>
                      <w:u w:color="000000"/>
                    </w:rPr>
                  </w:pPr>
                </w:p>
              </w:tc>
              <w:tc>
                <w:tcPr>
                  <w:tcW w:w="2925" w:type="dxa"/>
                  <w:vAlign w:val="center"/>
                </w:tcPr>
                <w:p>
                  <w:pPr>
                    <w:widowControl/>
                    <w:adjustRightInd w:val="0"/>
                    <w:snapToGrid w:val="0"/>
                    <w:spacing w:line="300" w:lineRule="exact"/>
                    <w:jc w:val="center"/>
                    <w:rPr>
                      <w:rFonts w:cs="宋体"/>
                      <w:u w:color="000000"/>
                    </w:rPr>
                  </w:pPr>
                  <w:r>
                    <w:rPr>
                      <w:rFonts w:cs="宋体" w:hint="eastAsia"/>
                      <w:u w:color="000000"/>
                    </w:rPr>
                    <w:t>加快燃料清洁低碳化替代。对以煤、石油焦、渣油、重油等为燃料的工业炉窑，加快使用清洁低碳能源以及利用工厂余热、电厂热力等进行替代。</w:t>
                  </w:r>
                </w:p>
              </w:tc>
              <w:tc>
                <w:tcPr>
                  <w:tcW w:w="1998" w:type="dxa"/>
                  <w:vAlign w:val="center"/>
                </w:tcPr>
                <w:p>
                  <w:pPr>
                    <w:widowControl/>
                    <w:adjustRightInd w:val="0"/>
                    <w:snapToGrid w:val="0"/>
                    <w:spacing w:line="300" w:lineRule="exact"/>
                    <w:jc w:val="center"/>
                    <w:rPr>
                      <w:rFonts w:cs="宋体"/>
                      <w:u w:color="000000"/>
                    </w:rPr>
                  </w:pPr>
                  <w:r>
                    <w:rPr>
                      <w:rFonts w:cs="宋体" w:hint="eastAsia"/>
                      <w:u w:color="000000"/>
                    </w:rPr>
                    <w:t>项目梭式窑采用清洁燃料生物质颗粒。</w:t>
                  </w:r>
                </w:p>
              </w:tc>
              <w:tc>
                <w:tcPr>
                  <w:tcW w:w="539" w:type="dxa"/>
                  <w:vAlign w:val="center"/>
                </w:tcPr>
                <w:p>
                  <w:pPr>
                    <w:widowControl/>
                    <w:adjustRightInd w:val="0"/>
                    <w:snapToGrid w:val="0"/>
                    <w:spacing w:line="300" w:lineRule="exact"/>
                    <w:jc w:val="center"/>
                    <w:rPr>
                      <w:szCs w:val="21"/>
                      <w:u w:color="000000"/>
                    </w:rPr>
                  </w:pPr>
                  <w:r>
                    <w:rPr>
                      <w:rFonts w:hint="eastAsia"/>
                      <w:szCs w:val="21"/>
                      <w:u w:color="000000"/>
                    </w:rPr>
                    <w:t>符合</w:t>
                  </w:r>
                </w:p>
              </w:tc>
            </w:tr>
            <w:tr>
              <w:tblPrEx>
                <w:tblW w:w="7166" w:type="dxa"/>
                <w:tblInd w:w="0" w:type="dxa"/>
                <w:tblLayout w:type="fixed"/>
                <w:tblCellMar>
                  <w:top w:w="0" w:type="dxa"/>
                  <w:left w:w="10" w:type="dxa"/>
                  <w:bottom w:w="0" w:type="dxa"/>
                  <w:right w:w="10" w:type="dxa"/>
                </w:tblCellMar>
              </w:tblPrEx>
              <w:trPr>
                <w:trHeight w:val="213"/>
              </w:trPr>
              <w:tc>
                <w:tcPr>
                  <w:tcW w:w="1704" w:type="dxa"/>
                  <w:vMerge/>
                  <w:vAlign w:val="center"/>
                </w:tcPr>
                <w:p>
                  <w:pPr>
                    <w:widowControl/>
                    <w:adjustRightInd w:val="0"/>
                    <w:snapToGrid w:val="0"/>
                    <w:spacing w:line="300" w:lineRule="exact"/>
                    <w:jc w:val="center"/>
                    <w:rPr>
                      <w:szCs w:val="21"/>
                      <w:u w:color="000000"/>
                    </w:rPr>
                  </w:pPr>
                </w:p>
              </w:tc>
              <w:tc>
                <w:tcPr>
                  <w:tcW w:w="2925" w:type="dxa"/>
                  <w:vAlign w:val="center"/>
                </w:tcPr>
                <w:p>
                  <w:pPr>
                    <w:widowControl/>
                    <w:adjustRightInd w:val="0"/>
                    <w:snapToGrid w:val="0"/>
                    <w:spacing w:line="300" w:lineRule="exact"/>
                    <w:jc w:val="center"/>
                    <w:rPr>
                      <w:rFonts w:cs="宋体"/>
                      <w:u w:color="000000"/>
                    </w:rPr>
                  </w:pPr>
                  <w:r>
                    <w:rPr>
                      <w:rFonts w:cs="宋体" w:hint="eastAsia"/>
                      <w:u w:color="000000"/>
                    </w:rPr>
                    <w:t>实施污染深度治理。推进工业炉窑全面达标排放。已有行业排放标准的工业炉窑，严格执行行业排放标准相关规定。已制定更严格地方排放标准的，按地方标准执行。重点区域钢铁、水泥、焦化、石化、化工、有色等行业，二氧化硫、氮氧化物、颗粒物、挥发性有机物（VOCs）排放全面执行大气污染物特别排放限值。</w:t>
                  </w:r>
                </w:p>
              </w:tc>
              <w:tc>
                <w:tcPr>
                  <w:tcW w:w="1998" w:type="dxa"/>
                  <w:vAlign w:val="center"/>
                </w:tcPr>
                <w:p>
                  <w:pPr>
                    <w:widowControl/>
                    <w:adjustRightInd w:val="0"/>
                    <w:snapToGrid w:val="0"/>
                    <w:spacing w:line="300" w:lineRule="exact"/>
                    <w:jc w:val="center"/>
                    <w:rPr>
                      <w:rFonts w:cs="宋体"/>
                      <w:u w:color="000000"/>
                    </w:rPr>
                  </w:pPr>
                  <w:r>
                    <w:rPr>
                      <w:rFonts w:cs="宋体" w:hint="eastAsia"/>
                      <w:u w:color="000000"/>
                    </w:rPr>
                    <w:t>本项目梭式窑废气排放执行《关中地区重点行业大气污染物排放标准》（DB61941-2018）表7砖瓦工业大气污染物排放浓度限值。</w:t>
                  </w:r>
                </w:p>
              </w:tc>
              <w:tc>
                <w:tcPr>
                  <w:tcW w:w="539" w:type="dxa"/>
                  <w:vAlign w:val="center"/>
                </w:tcPr>
                <w:p>
                  <w:pPr>
                    <w:widowControl/>
                    <w:adjustRightInd w:val="0"/>
                    <w:snapToGrid w:val="0"/>
                    <w:spacing w:line="300" w:lineRule="exact"/>
                    <w:jc w:val="center"/>
                    <w:rPr>
                      <w:rFonts w:cs="宋体"/>
                      <w:u w:color="000000"/>
                    </w:rPr>
                  </w:pPr>
                  <w:r>
                    <w:rPr>
                      <w:rFonts w:cs="宋体" w:hint="eastAsia"/>
                      <w:u w:color="000000"/>
                    </w:rPr>
                    <w:t>符合</w:t>
                  </w:r>
                </w:p>
              </w:tc>
            </w:tr>
          </w:tbl>
          <w:p>
            <w:pPr>
              <w:autoSpaceDE w:val="0"/>
              <w:autoSpaceDN w:val="0"/>
              <w:adjustRightInd w:val="0"/>
              <w:snapToGrid w:val="0"/>
              <w:spacing w:line="480" w:lineRule="exact"/>
              <w:rPr>
                <w:rFonts w:cs="宋体"/>
                <w:kern w:val="0"/>
                <w:sz w:val="24"/>
                <w:szCs w:val="21"/>
              </w:rPr>
            </w:pPr>
          </w:p>
        </w:tc>
      </w:tr>
    </w:tbl>
    <w:p>
      <w:pPr>
        <w:spacing w:line="360" w:lineRule="auto"/>
        <w:outlineLvl w:val="0"/>
        <w:rPr>
          <w:sz w:val="30"/>
        </w:rPr>
        <w:sectPr>
          <w:footerReference w:type="default" r:id="rId12"/>
          <w:type w:val="nextPage"/>
          <w:pgSz w:w="11906" w:h="16838"/>
          <w:pgMar w:top="1418" w:right="1418" w:bottom="1134" w:left="1701" w:header="851" w:footer="1077" w:gutter="0"/>
          <w:pgNumType w:start="7"/>
          <w:cols w:num="1" w:space="720"/>
          <w:titlePg w:val="0"/>
          <w:docGrid w:linePitch="312" w:charSpace="0"/>
        </w:sectPr>
      </w:pPr>
    </w:p>
    <w:p>
      <w:pPr>
        <w:pStyle w:val="NormalWeb"/>
        <w:jc w:val="center"/>
        <w:outlineLvl w:val="0"/>
        <w:rPr>
          <w:rFonts w:ascii="Times New Roman" w:hAnsi="Times New Roman"/>
          <w:snapToGrid w:val="0"/>
          <w:sz w:val="30"/>
          <w:szCs w:val="30"/>
        </w:rPr>
      </w:pPr>
      <w:r>
        <w:rPr>
          <w:rFonts w:ascii="Times New Roman" w:hAnsi="Times New Roman" w:hint="eastAsia"/>
          <w:snapToGrid w:val="0"/>
          <w:sz w:val="30"/>
          <w:szCs w:val="30"/>
        </w:rPr>
        <w:t>二、建设项目工程分析</w:t>
      </w:r>
    </w:p>
    <w:tbl>
      <w:tblPr>
        <w:tblStyle w:val="TableNormal"/>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823"/>
        <w:gridCol w:w="8161"/>
      </w:tblGrid>
      <w:tr>
        <w:tblPrEx>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3944"/>
          <w:jc w:val="center"/>
        </w:trPr>
        <w:tc>
          <w:tcPr>
            <w:tcW w:w="823" w:type="dxa"/>
            <w:vAlign w:val="center"/>
          </w:tcPr>
          <w:p>
            <w:pPr>
              <w:pStyle w:val="NormalWeb"/>
              <w:adjustRightInd w:val="0"/>
              <w:snapToGrid w:val="0"/>
              <w:spacing w:before="0" w:beforeAutospacing="0" w:after="0" w:afterAutospacing="0"/>
              <w:jc w:val="center"/>
              <w:rPr>
                <w:rFonts w:ascii="Times New Roman" w:hAnsi="Times New Roman" w:cs="宋体"/>
                <w:szCs w:val="24"/>
              </w:rPr>
            </w:pPr>
            <w:r>
              <w:rPr>
                <w:rFonts w:ascii="Times New Roman" w:hAnsi="Times New Roman" w:cs="宋体" w:hint="eastAsia"/>
                <w:szCs w:val="24"/>
              </w:rPr>
              <w:t>建设内容</w:t>
            </w:r>
          </w:p>
        </w:tc>
        <w:tc>
          <w:tcPr>
            <w:tcW w:w="8161" w:type="dxa"/>
          </w:tcPr>
          <w:p>
            <w:pPr>
              <w:adjustRightInd w:val="0"/>
              <w:snapToGrid w:val="0"/>
              <w:spacing w:line="480" w:lineRule="exact"/>
              <w:jc w:val="left"/>
              <w:rPr>
                <w:sz w:val="24"/>
              </w:rPr>
            </w:pPr>
            <w:r>
              <w:rPr>
                <w:rFonts w:hint="eastAsia"/>
                <w:sz w:val="24"/>
              </w:rPr>
              <w:t>2.1项目由来</w:t>
            </w:r>
          </w:p>
          <w:p>
            <w:pPr>
              <w:adjustRightInd w:val="0"/>
              <w:snapToGrid w:val="0"/>
              <w:spacing w:line="480" w:lineRule="exact"/>
              <w:ind w:firstLine="480" w:firstLineChars="200"/>
              <w:jc w:val="left"/>
              <w:rPr>
                <w:sz w:val="24"/>
              </w:rPr>
            </w:pPr>
            <w:r>
              <w:rPr>
                <w:rFonts w:hint="eastAsia"/>
                <w:sz w:val="24"/>
              </w:rPr>
              <w:t>蒲城瑞腾建材有限公司</w:t>
            </w:r>
            <w:r>
              <w:rPr>
                <w:rFonts w:cs="宋体" w:hint="eastAsia"/>
                <w:bCs/>
                <w:sz w:val="24"/>
                <w:szCs w:val="21"/>
              </w:rPr>
              <w:t>年产100万块非遗古建雕砖生产线建设项目</w:t>
            </w:r>
            <w:r>
              <w:rPr>
                <w:rFonts w:hint="eastAsia"/>
                <w:sz w:val="24"/>
              </w:rPr>
              <w:t>位于陕西省蒲城县椿林镇山前洼村，项目占地面积约15亩，</w:t>
            </w:r>
            <w:r>
              <w:rPr>
                <w:rFonts w:cs="宋体" w:hint="eastAsia"/>
                <w:sz w:val="24"/>
                <w:szCs w:val="21"/>
              </w:rPr>
              <w:t>总建筑面积1000</w:t>
            </w:r>
            <w:r>
              <w:rPr>
                <w:rFonts w:hint="eastAsia"/>
                <w:sz w:val="24"/>
              </w:rPr>
              <w:t>m</w:t>
            </w:r>
            <w:r>
              <w:rPr>
                <w:rFonts w:hint="eastAsia"/>
                <w:sz w:val="24"/>
                <w:vertAlign w:val="superscript"/>
              </w:rPr>
              <w:t>2</w:t>
            </w:r>
            <w:r>
              <w:rPr>
                <w:rFonts w:hint="eastAsia"/>
                <w:sz w:val="24"/>
              </w:rPr>
              <w:t>，</w:t>
            </w:r>
            <w:r>
              <w:rPr>
                <w:rFonts w:cs="宋体" w:hint="eastAsia"/>
                <w:sz w:val="24"/>
                <w:szCs w:val="21"/>
              </w:rPr>
              <w:t>包括生产车间、库房、办公用房等，</w:t>
            </w:r>
            <w:r>
              <w:rPr>
                <w:rFonts w:hint="eastAsia"/>
                <w:sz w:val="24"/>
              </w:rPr>
              <w:t>厂区建有燃煤炉窑3座，年产</w:t>
            </w:r>
            <w:r>
              <w:rPr>
                <w:rFonts w:hint="eastAsia"/>
                <w:bCs/>
                <w:sz w:val="24"/>
              </w:rPr>
              <w:t>非遗古建雕砖</w:t>
            </w:r>
            <w:r>
              <w:rPr>
                <w:rFonts w:hint="eastAsia"/>
                <w:sz w:val="24"/>
              </w:rPr>
              <w:t>100万块。</w:t>
            </w:r>
          </w:p>
          <w:p>
            <w:pPr>
              <w:adjustRightInd w:val="0"/>
              <w:snapToGrid w:val="0"/>
              <w:spacing w:line="480" w:lineRule="exact"/>
              <w:ind w:firstLine="480" w:firstLineChars="200"/>
              <w:jc w:val="left"/>
              <w:rPr>
                <w:sz w:val="24"/>
              </w:rPr>
            </w:pPr>
            <w:r>
              <w:rPr>
                <w:rFonts w:hint="eastAsia"/>
                <w:sz w:val="24"/>
              </w:rPr>
              <w:t>蒲城瑞腾建材有限公司</w:t>
            </w:r>
            <w:r>
              <w:rPr>
                <w:rFonts w:hint="eastAsia"/>
                <w:bCs/>
                <w:sz w:val="24"/>
              </w:rPr>
              <w:t>非遗古建雕砖</w:t>
            </w:r>
            <w:r>
              <w:rPr>
                <w:rFonts w:hint="eastAsia"/>
                <w:sz w:val="24"/>
              </w:rPr>
              <w:t>生产焙烧工序采用燃煤炉窑。根据《蒲城县2020年巩固“散乱污”工业企业整治成果专项行动方案》的通知（蒲散污办【2021】01号），要求对排查出的散乱污企业蒲城瑞腾建材有限公司（属</w:t>
            </w:r>
            <w:r>
              <w:rPr>
                <w:rFonts w:hint="eastAsia"/>
                <w:bCs/>
                <w:sz w:val="24"/>
              </w:rPr>
              <w:t>非遗企业</w:t>
            </w:r>
            <w:r>
              <w:rPr>
                <w:rFonts w:hint="eastAsia"/>
                <w:sz w:val="24"/>
              </w:rPr>
              <w:t>）进行提升改造，将原有燃煤炉窑改为燃生物炉窑，同步改造综合办公用房、生产车间、梭式炉窑、成品库房、晾晒场等。改造后采用清洁燃料。2021年7月6日，蒲城县椿林镇人民政府以“椿林镇人民政府关于对蒲城瑞腾建材有限公司综合整治的意见（椿政发</w:t>
            </w:r>
            <w:r>
              <w:rPr>
                <w:rFonts w:cs="宋体" w:hint="eastAsia"/>
                <w:kern w:val="0"/>
                <w:sz w:val="24"/>
              </w:rPr>
              <w:t>［2021］132号</w:t>
            </w:r>
            <w:r>
              <w:rPr>
                <w:rFonts w:hint="eastAsia"/>
                <w:sz w:val="24"/>
              </w:rPr>
              <w:t>）”，同意蒲城瑞腾建材有限公司对现有项目实施升级改造。</w:t>
            </w:r>
          </w:p>
          <w:p>
            <w:pPr>
              <w:adjustRightInd w:val="0"/>
              <w:snapToGrid w:val="0"/>
              <w:spacing w:line="480" w:lineRule="exact"/>
              <w:jc w:val="left"/>
              <w:rPr>
                <w:sz w:val="24"/>
              </w:rPr>
            </w:pPr>
            <w:r>
              <w:rPr>
                <w:rFonts w:hint="eastAsia"/>
                <w:sz w:val="24"/>
              </w:rPr>
              <w:t>2.2项目基本情况</w:t>
            </w:r>
          </w:p>
          <w:p>
            <w:pPr>
              <w:adjustRightInd w:val="0"/>
              <w:snapToGrid w:val="0"/>
              <w:spacing w:line="480" w:lineRule="exact"/>
              <w:ind w:firstLine="480" w:firstLineChars="200"/>
              <w:jc w:val="left"/>
              <w:rPr>
                <w:rFonts w:cs="宋体"/>
                <w:sz w:val="24"/>
                <w:szCs w:val="21"/>
              </w:rPr>
            </w:pPr>
            <w:r>
              <w:rPr>
                <w:rFonts w:hint="eastAsia"/>
                <w:sz w:val="24"/>
              </w:rPr>
              <w:t>（1）项目名称：蒲城瑞腾建材有限公司</w:t>
            </w:r>
            <w:r>
              <w:rPr>
                <w:rFonts w:cs="宋体" w:hint="eastAsia"/>
                <w:bCs/>
                <w:sz w:val="24"/>
                <w:szCs w:val="21"/>
              </w:rPr>
              <w:t>年产100万块非遗古建雕砖提升改造项目</w:t>
            </w:r>
          </w:p>
          <w:p>
            <w:pPr>
              <w:adjustRightInd w:val="0"/>
              <w:snapToGrid w:val="0"/>
              <w:spacing w:line="480" w:lineRule="exact"/>
              <w:ind w:firstLine="480" w:firstLineChars="200"/>
              <w:jc w:val="left"/>
              <w:rPr>
                <w:sz w:val="24"/>
              </w:rPr>
            </w:pPr>
            <w:r>
              <w:rPr>
                <w:rFonts w:hint="eastAsia"/>
                <w:sz w:val="24"/>
              </w:rPr>
              <w:t>（2）建设性质：技改</w:t>
            </w:r>
          </w:p>
          <w:p>
            <w:pPr>
              <w:adjustRightInd w:val="0"/>
              <w:snapToGrid w:val="0"/>
              <w:spacing w:line="480" w:lineRule="exact"/>
              <w:ind w:firstLine="480" w:firstLineChars="200"/>
              <w:jc w:val="left"/>
              <w:rPr>
                <w:rFonts w:cs="宋体"/>
                <w:kern w:val="0"/>
                <w:sz w:val="24"/>
              </w:rPr>
            </w:pPr>
            <w:r>
              <w:rPr>
                <w:rFonts w:hint="eastAsia"/>
                <w:sz w:val="24"/>
              </w:rPr>
              <w:t>（3）建设单位：蒲城瑞腾建材有限公司</w:t>
            </w:r>
          </w:p>
          <w:p>
            <w:pPr>
              <w:adjustRightInd w:val="0"/>
              <w:snapToGrid w:val="0"/>
              <w:spacing w:line="480" w:lineRule="exact"/>
              <w:ind w:firstLine="480" w:firstLineChars="200"/>
              <w:jc w:val="left"/>
              <w:rPr>
                <w:rFonts w:hAnsi="宋体"/>
                <w:sz w:val="24"/>
              </w:rPr>
            </w:pPr>
            <w:r>
              <w:rPr>
                <w:rFonts w:hint="eastAsia"/>
                <w:sz w:val="24"/>
              </w:rPr>
              <w:t>（4）建设地点：</w:t>
            </w:r>
            <w:r>
              <w:rPr>
                <w:rFonts w:hAnsi="宋体" w:hint="eastAsia"/>
                <w:sz w:val="24"/>
              </w:rPr>
              <w:t>蒲城县椿林镇山前洼村</w:t>
            </w:r>
          </w:p>
          <w:p>
            <w:pPr>
              <w:adjustRightInd w:val="0"/>
              <w:snapToGrid w:val="0"/>
              <w:spacing w:line="480" w:lineRule="exact"/>
              <w:ind w:firstLine="480" w:firstLineChars="200"/>
              <w:jc w:val="left"/>
              <w:rPr>
                <w:sz w:val="24"/>
              </w:rPr>
            </w:pPr>
            <w:r>
              <w:rPr>
                <w:rFonts w:hint="eastAsia"/>
                <w:sz w:val="24"/>
              </w:rPr>
              <w:t>（5）投资额：本项目总投资600万元，其中环保投资为50万元，占总投资的8.3%。</w:t>
            </w:r>
          </w:p>
          <w:p>
            <w:pPr>
              <w:adjustRightInd w:val="0"/>
              <w:snapToGrid w:val="0"/>
              <w:spacing w:line="480" w:lineRule="exact"/>
              <w:jc w:val="left"/>
              <w:rPr>
                <w:sz w:val="24"/>
              </w:rPr>
            </w:pPr>
            <w:r>
              <w:rPr>
                <w:rFonts w:hint="eastAsia"/>
                <w:sz w:val="24"/>
              </w:rPr>
              <w:t>2.3主要建设内容</w:t>
            </w:r>
          </w:p>
          <w:p>
            <w:pPr>
              <w:adjustRightInd w:val="0"/>
              <w:snapToGrid w:val="0"/>
              <w:spacing w:after="0" w:line="480" w:lineRule="exact"/>
              <w:ind w:firstLine="480" w:firstLineChars="200"/>
              <w:jc w:val="left"/>
              <w:rPr>
                <w:sz w:val="24"/>
              </w:rPr>
            </w:pPr>
          </w:p>
        </w:tc>
      </w:tr>
    </w:tbl>
    <w:p>
      <w:pPr>
        <w:sectPr>
          <w:footerReference w:type="default" r:id="rId13"/>
          <w:pgSz w:w="11906" w:h="16838"/>
          <w:pgMar w:top="1418" w:right="1418" w:bottom="1134" w:left="1701" w:header="851" w:footer="851" w:gutter="0"/>
          <w:pgNumType w:start="8"/>
          <w:cols w:num="1" w:space="720"/>
          <w:docGrid w:linePitch="312" w:charSpace="0"/>
        </w:sectPr>
      </w:pPr>
    </w:p>
    <w:tbl>
      <w:tblPr>
        <w:tblStyle w:val="TableNormal"/>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823"/>
        <w:gridCol w:w="8161"/>
      </w:tblGrid>
      <w:tr>
        <w:tblPrEx>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3944"/>
          <w:jc w:val="center"/>
        </w:trPr>
        <w:tc>
          <w:tcPr>
            <w:tcW w:w="823" w:type="dxa"/>
            <w:vAlign w:val="center"/>
          </w:tcPr>
          <w:p/>
        </w:tc>
        <w:tc>
          <w:tcPr>
            <w:tcW w:w="8161" w:type="dxa"/>
          </w:tcPr>
          <w:p>
            <w:pPr>
              <w:adjustRightInd w:val="0"/>
              <w:snapToGrid w:val="0"/>
              <w:spacing w:before="0" w:line="480" w:lineRule="exact"/>
              <w:ind w:firstLine="480" w:firstLineChars="200"/>
              <w:jc w:val="left"/>
              <w:rPr>
                <w:sz w:val="24"/>
              </w:rPr>
            </w:pPr>
            <w:r>
              <w:rPr>
                <w:rFonts w:hint="eastAsia"/>
                <w:sz w:val="24"/>
              </w:rPr>
              <w:t>本次提升改造主要为拆除原有燃煤炉窑，新建燃生物质颗粒梭式窑，同步改造厂区生产车间及办公用房，更新部分生产设备，配套建设相关环保设施，项目提升改造</w:t>
            </w:r>
            <w:r>
              <w:rPr>
                <w:rFonts w:cs="宋体" w:hint="eastAsia"/>
                <w:sz w:val="24"/>
                <w:szCs w:val="21"/>
              </w:rPr>
              <w:t>完成年产非遗古建雕砖100万块生产规模不变。</w:t>
            </w:r>
          </w:p>
          <w:p>
            <w:pPr>
              <w:adjustRightInd w:val="0"/>
              <w:snapToGrid w:val="0"/>
              <w:spacing w:line="480" w:lineRule="exact"/>
              <w:ind w:firstLine="480" w:firstLineChars="200"/>
              <w:jc w:val="left"/>
              <w:rPr>
                <w:sz w:val="24"/>
              </w:rPr>
            </w:pPr>
            <w:r>
              <w:rPr>
                <w:rFonts w:hint="eastAsia"/>
                <w:sz w:val="24"/>
              </w:rPr>
              <w:t>（1）工程组成</w:t>
            </w:r>
          </w:p>
          <w:p>
            <w:pPr>
              <w:adjustRightInd w:val="0"/>
              <w:snapToGrid w:val="0"/>
              <w:spacing w:line="480" w:lineRule="exact"/>
              <w:ind w:firstLine="480" w:firstLineChars="200"/>
              <w:jc w:val="left"/>
              <w:rPr>
                <w:sz w:val="24"/>
              </w:rPr>
            </w:pPr>
            <w:r>
              <w:rPr>
                <w:rFonts w:hint="eastAsia"/>
                <w:sz w:val="24"/>
              </w:rPr>
              <w:t>项目工程组成见表2.3-1。</w:t>
            </w:r>
          </w:p>
          <w:p>
            <w:pPr>
              <w:adjustRightInd w:val="0"/>
              <w:snapToGrid w:val="0"/>
              <w:spacing w:line="480" w:lineRule="exact"/>
              <w:jc w:val="center"/>
              <w:rPr>
                <w:rStyle w:val="bsharetext"/>
              </w:rPr>
            </w:pPr>
            <w:r>
              <w:rPr>
                <w:rFonts w:hint="eastAsia"/>
                <w:b/>
                <w:bCs/>
                <w:sz w:val="24"/>
                <w:szCs w:val="32"/>
              </w:rPr>
              <w:t>表2.3-1  项目工程组成一览表</w: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278"/>
              <w:gridCol w:w="4820"/>
              <w:gridCol w:w="1117"/>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720"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工程</w:t>
                  </w:r>
                  <w:r>
                    <w:rPr>
                      <w:rFonts w:ascii="Times New Roman" w:hAnsi="Times New Roman"/>
                      <w:sz w:val="21"/>
                      <w:szCs w:val="21"/>
                    </w:rPr>
                    <w:t>组成</w:t>
                  </w:r>
                </w:p>
              </w:tc>
              <w:tc>
                <w:tcPr>
                  <w:tcW w:w="6098" w:type="dxa"/>
                  <w:gridSpan w:val="2"/>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sz w:val="21"/>
                      <w:szCs w:val="21"/>
                    </w:rPr>
                    <w:t>主要建设内容</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备注</w:t>
                  </w:r>
                </w:p>
              </w:tc>
            </w:tr>
            <w:tr>
              <w:tblPrEx>
                <w:tblW w:w="5000" w:type="pct"/>
                <w:jc w:val="center"/>
                <w:tblLayout w:type="fixed"/>
                <w:tblCellMar>
                  <w:top w:w="0" w:type="dxa"/>
                  <w:left w:w="108" w:type="dxa"/>
                  <w:bottom w:w="0" w:type="dxa"/>
                  <w:right w:w="108" w:type="dxa"/>
                </w:tblCellMar>
              </w:tblPrEx>
              <w:trPr>
                <w:jc w:val="center"/>
              </w:trPr>
              <w:tc>
                <w:tcPr>
                  <w:tcW w:w="720" w:type="dxa"/>
                  <w:vMerge w:val="restart"/>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主体工程</w:t>
                  </w: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lang w:val="en-GB"/>
                    </w:rPr>
                    <w:t>窑炉区</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位于场区北侧，占地面积约1000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，建设生物质梭式窑炉3座</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新建</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lang w:val="en-GB"/>
                    </w:rPr>
                    <w:t>制坯</w:t>
                  </w:r>
                  <w:r>
                    <w:rPr>
                      <w:rFonts w:ascii="Times New Roman" w:hAnsi="Times New Roman" w:hint="eastAsia"/>
                      <w:sz w:val="21"/>
                      <w:szCs w:val="21"/>
                    </w:rPr>
                    <w:t>成型</w:t>
                  </w:r>
                </w:p>
                <w:p>
                  <w:pPr>
                    <w:pStyle w:val="NormalIndent"/>
                    <w:adjustRightInd w:val="0"/>
                    <w:snapToGrid w:val="0"/>
                    <w:spacing w:line="300" w:lineRule="exact"/>
                    <w:ind w:firstLine="0"/>
                    <w:jc w:val="center"/>
                    <w:rPr>
                      <w:rFonts w:ascii="Times New Roman" w:hAnsi="Times New Roman"/>
                      <w:sz w:val="21"/>
                      <w:szCs w:val="21"/>
                      <w:lang w:val="en-GB"/>
                    </w:rPr>
                  </w:pPr>
                  <w:r>
                    <w:rPr>
                      <w:rFonts w:ascii="Times New Roman" w:hAnsi="Times New Roman" w:hint="eastAsia"/>
                      <w:sz w:val="21"/>
                      <w:szCs w:val="21"/>
                      <w:lang w:val="en-GB"/>
                    </w:rPr>
                    <w:t>车间</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建筑面积600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，钢结构、1F、高度4m，内设砖瓦机、压猫头机、压滴水瓦机等制坯成型设备</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依托厂房原有改造</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lang w:val="en-GB"/>
                    </w:rPr>
                  </w:pPr>
                  <w:r>
                    <w:rPr>
                      <w:rFonts w:ascii="Times New Roman" w:hAnsi="Times New Roman" w:hint="eastAsia"/>
                      <w:sz w:val="21"/>
                      <w:szCs w:val="21"/>
                      <w:lang w:val="en-GB"/>
                    </w:rPr>
                    <w:t>陈化晾坯</w:t>
                  </w:r>
                  <w:r>
                    <w:rPr>
                      <w:rFonts w:ascii="Times New Roman" w:hAnsi="Times New Roman" w:hint="eastAsia"/>
                      <w:sz w:val="21"/>
                      <w:szCs w:val="21"/>
                    </w:rPr>
                    <w:t>场</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占地面积约2000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，场地进行硬化及防渗处理，主要用于原料陈化及砖/瓦坯体晾干</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依托场地原有改造</w:t>
                  </w:r>
                </w:p>
              </w:tc>
            </w:tr>
            <w:tr>
              <w:tblPrEx>
                <w:tblW w:w="5000" w:type="pct"/>
                <w:jc w:val="center"/>
                <w:tblLayout w:type="fixed"/>
                <w:tblCellMar>
                  <w:top w:w="0" w:type="dxa"/>
                  <w:left w:w="108" w:type="dxa"/>
                  <w:bottom w:w="0" w:type="dxa"/>
                  <w:right w:w="108" w:type="dxa"/>
                </w:tblCellMar>
              </w:tblPrEx>
              <w:trPr>
                <w:jc w:val="center"/>
              </w:trPr>
              <w:tc>
                <w:tcPr>
                  <w:tcW w:w="720" w:type="dxa"/>
                  <w:vMerge w:val="restart"/>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辅助工程</w:t>
                  </w: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lang w:val="en-GB"/>
                    </w:rPr>
                  </w:pPr>
                  <w:r>
                    <w:rPr>
                      <w:rFonts w:ascii="Times New Roman" w:hAnsi="Times New Roman" w:hint="eastAsia"/>
                      <w:spacing w:val="-10"/>
                      <w:sz w:val="21"/>
                      <w:szCs w:val="21"/>
                    </w:rPr>
                    <w:t>办公用房</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建筑面积95</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，1F，砖混结构</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依托原有</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pacing w:val="-10"/>
                      <w:sz w:val="21"/>
                      <w:szCs w:val="21"/>
                    </w:rPr>
                  </w:pPr>
                  <w:r>
                    <w:rPr>
                      <w:rFonts w:ascii="Times New Roman" w:hAnsi="Times New Roman" w:hint="eastAsia"/>
                      <w:spacing w:val="-10"/>
                      <w:sz w:val="21"/>
                      <w:szCs w:val="21"/>
                    </w:rPr>
                    <w:t>综合用房</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建筑面积65</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，1F，砖混结构</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依托原有</w:t>
                  </w:r>
                </w:p>
              </w:tc>
            </w:tr>
            <w:tr>
              <w:tblPrEx>
                <w:tblW w:w="5000" w:type="pct"/>
                <w:jc w:val="center"/>
                <w:tblLayout w:type="fixed"/>
                <w:tblCellMar>
                  <w:top w:w="0" w:type="dxa"/>
                  <w:left w:w="108" w:type="dxa"/>
                  <w:bottom w:w="0" w:type="dxa"/>
                  <w:right w:w="108" w:type="dxa"/>
                </w:tblCellMar>
              </w:tblPrEx>
              <w:trPr>
                <w:jc w:val="center"/>
              </w:trPr>
              <w:tc>
                <w:tcPr>
                  <w:tcW w:w="720" w:type="dxa"/>
                  <w:vMerge w:val="restart"/>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储运工程</w:t>
                  </w: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原料库</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位于场区中部，全封闭钢结构，建筑面积240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，用于存放原料陶土，内设陶土粉碎机1台</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依托原有库房改造</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燃料库</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位于场区西北侧，钢结构，建筑面积40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，用于存放生物质颗粒燃料</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新建</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成品存放区</w:t>
                  </w:r>
                </w:p>
              </w:tc>
              <w:tc>
                <w:tcPr>
                  <w:tcW w:w="4820" w:type="dxa"/>
                  <w:vAlign w:val="center"/>
                </w:tcPr>
                <w:p>
                  <w:pPr>
                    <w:pStyle w:val="NormalIndent"/>
                    <w:adjustRightInd w:val="0"/>
                    <w:snapToGrid w:val="0"/>
                    <w:spacing w:line="300" w:lineRule="exact"/>
                    <w:ind w:firstLine="0"/>
                    <w:rPr>
                      <w:rFonts w:ascii="Times New Roman" w:hAnsi="Times New Roman"/>
                      <w:sz w:val="21"/>
                      <w:szCs w:val="21"/>
                    </w:rPr>
                  </w:pPr>
                  <w:r>
                    <w:rPr>
                      <w:rFonts w:ascii="Times New Roman" w:hAnsi="Times New Roman" w:hint="eastAsia"/>
                      <w:sz w:val="21"/>
                      <w:szCs w:val="21"/>
                    </w:rPr>
                    <w:t>占地面积1200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hint="eastAsia"/>
                      <w:sz w:val="21"/>
                      <w:szCs w:val="21"/>
                    </w:rPr>
                    <w:t>，场地进行硬化及防渗处理，用于砖/瓦产品存放</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依托原有场地改造</w:t>
                  </w:r>
                </w:p>
              </w:tc>
            </w:tr>
            <w:tr>
              <w:tblPrEx>
                <w:tblW w:w="5000" w:type="pct"/>
                <w:jc w:val="center"/>
                <w:tblLayout w:type="fixed"/>
                <w:tblCellMar>
                  <w:top w:w="0" w:type="dxa"/>
                  <w:left w:w="108" w:type="dxa"/>
                  <w:bottom w:w="0" w:type="dxa"/>
                  <w:right w:w="108" w:type="dxa"/>
                </w:tblCellMar>
              </w:tblPrEx>
              <w:trPr>
                <w:jc w:val="center"/>
              </w:trPr>
              <w:tc>
                <w:tcPr>
                  <w:tcW w:w="720" w:type="dxa"/>
                  <w:vMerge w:val="restart"/>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公用工程</w:t>
                  </w: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给水</w:t>
                  </w:r>
                </w:p>
              </w:tc>
              <w:tc>
                <w:tcPr>
                  <w:tcW w:w="4820"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项目用水依托山前洼村自来水管网供给</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依托原有</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排水</w:t>
                  </w:r>
                </w:p>
              </w:tc>
              <w:tc>
                <w:tcPr>
                  <w:tcW w:w="4820" w:type="dxa"/>
                  <w:vAlign w:val="center"/>
                </w:tcPr>
                <w:p>
                  <w:pPr>
                    <w:adjustRightInd w:val="0"/>
                    <w:snapToGrid w:val="0"/>
                    <w:spacing w:line="300" w:lineRule="exact"/>
                    <w:jc w:val="center"/>
                    <w:rPr>
                      <w:szCs w:val="21"/>
                    </w:rPr>
                  </w:pPr>
                  <w:r>
                    <w:rPr>
                      <w:rFonts w:hint="eastAsia"/>
                      <w:szCs w:val="21"/>
                    </w:rPr>
                    <w:t>项目无生产废水产生；生活污水排入防渗旱厕，由附近村民定期清掏外运堆肥，不外排。</w:t>
                  </w:r>
                </w:p>
              </w:tc>
              <w:tc>
                <w:tcPr>
                  <w:tcW w:w="1117" w:type="dxa"/>
                  <w:vAlign w:val="center"/>
                </w:tcPr>
                <w:p>
                  <w:pPr>
                    <w:adjustRightInd w:val="0"/>
                    <w:snapToGrid w:val="0"/>
                    <w:spacing w:line="300" w:lineRule="exact"/>
                    <w:jc w:val="center"/>
                    <w:rPr>
                      <w:szCs w:val="21"/>
                    </w:rPr>
                  </w:pPr>
                  <w:r>
                    <w:rPr>
                      <w:rFonts w:hint="eastAsia"/>
                      <w:szCs w:val="21"/>
                    </w:rPr>
                    <w:t>依托原有</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供电</w:t>
                  </w:r>
                </w:p>
              </w:tc>
              <w:tc>
                <w:tcPr>
                  <w:tcW w:w="4820" w:type="dxa"/>
                  <w:vAlign w:val="center"/>
                </w:tcPr>
                <w:p>
                  <w:pPr>
                    <w:adjustRightInd w:val="0"/>
                    <w:snapToGrid w:val="0"/>
                    <w:spacing w:line="300" w:lineRule="exact"/>
                    <w:jc w:val="center"/>
                    <w:rPr>
                      <w:szCs w:val="21"/>
                    </w:rPr>
                  </w:pPr>
                  <w:r>
                    <w:rPr>
                      <w:rFonts w:hint="eastAsia"/>
                      <w:szCs w:val="21"/>
                    </w:rPr>
                    <w:t>市政电网接入，项目设配电室1间</w:t>
                  </w:r>
                </w:p>
              </w:tc>
              <w:tc>
                <w:tcPr>
                  <w:tcW w:w="1117" w:type="dxa"/>
                  <w:vAlign w:val="center"/>
                </w:tcPr>
                <w:p>
                  <w:pPr>
                    <w:adjustRightInd w:val="0"/>
                    <w:snapToGrid w:val="0"/>
                    <w:spacing w:line="300" w:lineRule="exact"/>
                    <w:jc w:val="center"/>
                    <w:rPr>
                      <w:szCs w:val="21"/>
                    </w:rPr>
                  </w:pPr>
                  <w:r>
                    <w:rPr>
                      <w:rFonts w:hint="eastAsia"/>
                      <w:szCs w:val="21"/>
                    </w:rPr>
                    <w:t>依托原有</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供暖</w:t>
                  </w:r>
                </w:p>
              </w:tc>
              <w:tc>
                <w:tcPr>
                  <w:tcW w:w="4820" w:type="dxa"/>
                  <w:vAlign w:val="center"/>
                </w:tcPr>
                <w:p>
                  <w:pPr>
                    <w:adjustRightInd w:val="0"/>
                    <w:snapToGrid w:val="0"/>
                    <w:spacing w:line="300" w:lineRule="exact"/>
                    <w:jc w:val="center"/>
                    <w:rPr>
                      <w:szCs w:val="21"/>
                    </w:rPr>
                  </w:pPr>
                  <w:r>
                    <w:rPr>
                      <w:rFonts w:hint="eastAsia"/>
                      <w:szCs w:val="21"/>
                    </w:rPr>
                    <w:t>办公及生活采暖均采用分体式空调</w:t>
                  </w:r>
                </w:p>
              </w:tc>
              <w:tc>
                <w:tcPr>
                  <w:tcW w:w="1117" w:type="dxa"/>
                  <w:vAlign w:val="center"/>
                </w:tcPr>
                <w:p>
                  <w:pPr>
                    <w:adjustRightInd w:val="0"/>
                    <w:snapToGrid w:val="0"/>
                    <w:spacing w:line="300" w:lineRule="exact"/>
                    <w:jc w:val="center"/>
                    <w:rPr>
                      <w:szCs w:val="21"/>
                    </w:rPr>
                  </w:pPr>
                  <w:r>
                    <w:rPr>
                      <w:rFonts w:hint="eastAsia"/>
                      <w:szCs w:val="21"/>
                    </w:rPr>
                    <w:t>依托原有</w:t>
                  </w:r>
                </w:p>
              </w:tc>
            </w:tr>
            <w:tr>
              <w:tblPrEx>
                <w:tblW w:w="5000" w:type="pct"/>
                <w:jc w:val="center"/>
                <w:tblLayout w:type="fixed"/>
                <w:tblCellMar>
                  <w:top w:w="0" w:type="dxa"/>
                  <w:left w:w="108" w:type="dxa"/>
                  <w:bottom w:w="0" w:type="dxa"/>
                  <w:right w:w="108" w:type="dxa"/>
                </w:tblCellMar>
              </w:tblPrEx>
              <w:trPr>
                <w:jc w:val="center"/>
              </w:trPr>
              <w:tc>
                <w:tcPr>
                  <w:tcW w:w="720" w:type="dxa"/>
                  <w:vMerge w:val="restart"/>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环保工程</w:t>
                  </w: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废水</w:t>
                  </w:r>
                </w:p>
              </w:tc>
              <w:tc>
                <w:tcPr>
                  <w:tcW w:w="4820" w:type="dxa"/>
                  <w:vAlign w:val="center"/>
                </w:tcPr>
                <w:p>
                  <w:pPr>
                    <w:adjustRightInd w:val="0"/>
                    <w:snapToGrid w:val="0"/>
                    <w:spacing w:line="300" w:lineRule="exact"/>
                    <w:jc w:val="left"/>
                    <w:rPr>
                      <w:szCs w:val="21"/>
                    </w:rPr>
                  </w:pPr>
                  <w:r>
                    <w:rPr>
                      <w:rFonts w:hint="eastAsia"/>
                      <w:szCs w:val="21"/>
                    </w:rPr>
                    <w:t>项目无生产废水产生；生活污水排入防渗化粪池，由附近村民定期清掏外运堆肥，不外排。</w:t>
                  </w: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依托原有</w:t>
                  </w:r>
                </w:p>
              </w:tc>
            </w:tr>
            <w:tr>
              <w:tblPrEx>
                <w:tblW w:w="5000" w:type="pct"/>
                <w:jc w:val="center"/>
                <w:tblLayout w:type="fixed"/>
                <w:tblCellMar>
                  <w:top w:w="0" w:type="dxa"/>
                  <w:left w:w="108" w:type="dxa"/>
                  <w:bottom w:w="0" w:type="dxa"/>
                  <w:right w:w="108" w:type="dxa"/>
                </w:tblCellMar>
              </w:tblPrEx>
              <w:trPr>
                <w:jc w:val="center"/>
              </w:trPr>
              <w:tc>
                <w:tcPr>
                  <w:tcW w:w="720" w:type="dxa"/>
                  <w:vMerge/>
                  <w:vAlign w:val="center"/>
                </w:tcPr>
                <w:p>
                  <w:pPr>
                    <w:pStyle w:val="NormalIndent"/>
                    <w:adjustRightInd w:val="0"/>
                    <w:snapToGrid w:val="0"/>
                    <w:spacing w:line="300" w:lineRule="exact"/>
                    <w:ind w:firstLine="0"/>
                    <w:jc w:val="center"/>
                    <w:rPr>
                      <w:rFonts w:ascii="Times New Roman" w:hAnsi="Times New Roman"/>
                      <w:sz w:val="21"/>
                      <w:szCs w:val="21"/>
                    </w:rPr>
                  </w:pPr>
                </w:p>
              </w:tc>
              <w:tc>
                <w:tcPr>
                  <w:tcW w:w="1278"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废气</w:t>
                  </w:r>
                </w:p>
              </w:tc>
              <w:tc>
                <w:tcPr>
                  <w:tcW w:w="4820" w:type="dxa"/>
                  <w:vAlign w:val="center"/>
                </w:tcPr>
                <w:p>
                  <w:pPr>
                    <w:pStyle w:val="NormalIndent"/>
                    <w:adjustRightInd w:val="0"/>
                    <w:snapToGrid w:val="0"/>
                    <w:spacing w:line="300" w:lineRule="exact"/>
                    <w:ind w:firstLine="0"/>
                    <w:jc w:val="left"/>
                    <w:rPr>
                      <w:rFonts w:ascii="Times New Roman" w:hAnsi="Times New Roman"/>
                      <w:sz w:val="21"/>
                      <w:szCs w:val="21"/>
                    </w:rPr>
                  </w:pPr>
                  <w:r>
                    <w:rPr>
                      <w:rFonts w:ascii="Times New Roman" w:hAnsi="Times New Roman" w:hint="eastAsia"/>
                      <w:sz w:val="21"/>
                      <w:szCs w:val="21"/>
                    </w:rPr>
                    <w:t>有组织废气：生物质梭式窑炉废气经废气收集管道汇合排入1套袋式除尘器净化处理后，通过1根15m高排气筒排放；原料粉碎粉尘采用集气罩收集，经袋式除尘器处理后，通过1根15m高排气筒排放。</w:t>
                  </w:r>
                </w:p>
                <w:p>
                  <w:pPr>
                    <w:pStyle w:val="NormalIndent"/>
                    <w:adjustRightInd w:val="0"/>
                    <w:snapToGrid w:val="0"/>
                    <w:spacing w:after="0" w:line="300" w:lineRule="exact"/>
                    <w:ind w:firstLine="0"/>
                    <w:jc w:val="left"/>
                    <w:rPr>
                      <w:rFonts w:ascii="Times New Roman" w:hAnsi="Times New Roman"/>
                      <w:sz w:val="21"/>
                      <w:szCs w:val="21"/>
                    </w:rPr>
                  </w:pPr>
                </w:p>
              </w:tc>
              <w:tc>
                <w:tcPr>
                  <w:tcW w:w="1117" w:type="dxa"/>
                  <w:vAlign w:val="center"/>
                </w:tcPr>
                <w:p>
                  <w:pPr>
                    <w:pStyle w:val="NormalIndent"/>
                    <w:adjustRightInd w:val="0"/>
                    <w:snapToGrid w:val="0"/>
                    <w:spacing w:line="300" w:lineRule="exact"/>
                    <w:ind w:firstLine="0"/>
                    <w:jc w:val="center"/>
                    <w:rPr>
                      <w:rFonts w:ascii="Times New Roman" w:hAnsi="Times New Roman"/>
                      <w:sz w:val="21"/>
                      <w:szCs w:val="21"/>
                    </w:rPr>
                  </w:pPr>
                  <w:r>
                    <w:rPr>
                      <w:rFonts w:ascii="Times New Roman" w:hAnsi="Times New Roman" w:hint="eastAsia"/>
                      <w:sz w:val="21"/>
                      <w:szCs w:val="21"/>
                    </w:rPr>
                    <w:t>新建</w:t>
                  </w:r>
                </w:p>
              </w:tc>
            </w:tr>
          </w:tbl>
          <w:p/>
        </w:tc>
      </w:tr>
    </w:tbl>
    <w:p>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https://d.book118.com/075022034312011124</w:t>
        </w:r>
      </w:hyperlink>
    </w:p>
    <w:p/>
    <w:sectPr>
      <w:footerReference w:type="default" r:id="rId15"/>
      <w:type w:val="nextPage"/>
      <w:pgSz w:w="11906" w:h="16838"/>
      <w:pgMar w:top="1418" w:right="1418" w:bottom="1134" w:left="1701" w:header="851" w:footer="851" w:gutter="0"/>
      <w:pgNumType w:start="9"/>
      <w:cols w:num="1" w:space="720"/>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TimesNewRomanPSMT">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Wingdings 2">
    <w:altName w:val="Wingdings"/>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1</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2</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3</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4</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6</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7</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7</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8</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outside" w:y="1"/>
      <w:rPr>
        <w:rStyle w:val="PageNumber"/>
        <w:rFonts w:ascii="宋体" w:hAnsi="宋体"/>
        <w:sz w:val="28"/>
        <w:szCs w:val="28"/>
      </w:rPr>
    </w:pPr>
    <w:r>
      <w:rPr>
        <w:rStyle w:val="PageNumber"/>
        <w:rFonts w:ascii="宋体" w:hAnsi="宋体" w:hint="eastAsia"/>
        <w:sz w:val="28"/>
        <w:szCs w:val="28"/>
      </w:rPr>
      <w:t>—</w:t>
    </w:r>
    <w:r>
      <w:rPr>
        <w:rStyle w:val="PageNumber"/>
        <w:rFonts w:ascii="宋体" w:hAnsi="宋体"/>
        <w:sz w:val="26"/>
        <w:szCs w:val="26"/>
      </w:rPr>
      <w:fldChar w:fldCharType="begin"/>
    </w:r>
    <w:r>
      <w:rPr>
        <w:rStyle w:val="PageNumber"/>
        <w:rFonts w:ascii="宋体" w:hAnsi="宋体"/>
        <w:sz w:val="26"/>
        <w:szCs w:val="26"/>
      </w:rPr>
      <w:instrText xml:space="preserve">PAGE  </w:instrText>
    </w:r>
    <w:r>
      <w:rPr>
        <w:rStyle w:val="PageNumber"/>
        <w:rFonts w:ascii="宋体" w:hAnsi="宋体"/>
        <w:sz w:val="26"/>
        <w:szCs w:val="26"/>
      </w:rPr>
      <w:fldChar w:fldCharType="separate"/>
    </w:r>
    <w:r>
      <w:rPr>
        <w:rStyle w:val="PageNumber"/>
        <w:rFonts w:ascii="宋体" w:hAnsi="宋体"/>
        <w:sz w:val="26"/>
        <w:szCs w:val="26"/>
      </w:rPr>
      <w:t>10</w:t>
    </w:r>
    <w:r>
      <w:rPr>
        <w:rStyle w:val="PageNumber"/>
        <w:rFonts w:ascii="宋体" w:hAnsi="宋体"/>
        <w:sz w:val="26"/>
        <w:szCs w:val="26"/>
      </w:rPr>
      <w:fldChar w:fldCharType="end"/>
    </w:r>
    <w:r>
      <w:rPr>
        <w:rStyle w:val="PageNumber"/>
        <w:rFonts w:ascii="宋体" w:hAnsi="宋体" w:hint="eastAsia"/>
        <w:sz w:val="28"/>
        <w:szCs w:val="28"/>
      </w:rPr>
      <w:t>—</w:t>
    </w:r>
  </w:p>
  <w:p>
    <w:pPr>
      <w:pStyle w:val="Footer"/>
      <w:ind w:right="360" w:firstLine="360"/>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09711F9"/>
    <w:multiLevelType w:val="multilevel"/>
    <w:tmpl w:val="709711F9"/>
    <w:lvl w:ilvl="0">
      <w:start w:val="1"/>
      <w:numFmt w:val="chineseCountingThousand"/>
      <w:suff w:val="space"/>
      <w:lvlText w:val="第%1章"/>
      <w:lvlJc w:val="left"/>
      <w:pPr>
        <w:ind w:left="0" w:firstLine="0"/>
      </w:pPr>
      <w:rPr>
        <w:rFonts w:ascii="Times New Roman" w:eastAsia="黑体" w:hAnsi="Times New Roman" w:hint="default"/>
        <w:b w:val="0"/>
        <w:i w:val="0"/>
        <w:sz w:val="32"/>
      </w:rPr>
    </w:lvl>
    <w:lvl w:ilvl="1">
      <w:start w:val="1"/>
      <w:numFmt w:val="chineseCountingThousand"/>
      <w:suff w:val="space"/>
      <w:lvlText w:val="第%2节"/>
      <w:lvlJc w:val="left"/>
      <w:pPr>
        <w:ind w:left="0" w:firstLine="0"/>
      </w:pPr>
      <w:rPr>
        <w:rFonts w:ascii="Times New Roman" w:eastAsia="宋体" w:hAnsi="Times New Roman" w:cs="Times New Roman" w:hint="default"/>
        <w:b/>
        <w:bCs w:val="0"/>
        <w:i w:val="0"/>
        <w:iCs w:val="0"/>
        <w:caps w:val="0"/>
        <w:smallCaps w:val="0"/>
        <w:strike w:val="0"/>
        <w:dstrike w:val="0"/>
        <w:vanish w:val="0"/>
        <w:spacing w:val="0"/>
        <w:kern w:val="0"/>
        <w:position w:val="0"/>
        <w:sz w:val="28"/>
        <w:u w:val="none"/>
        <w:vertAlign w:val="baseline"/>
      </w:rPr>
    </w:lvl>
    <w:lvl w:ilvl="2">
      <w:start w:val="1"/>
      <w:numFmt w:val="chineseCountingThousand"/>
      <w:pStyle w:val="Heading3"/>
      <w:suff w:val="space"/>
      <w:lvlText w:val="%3、"/>
      <w:lvlJc w:val="left"/>
      <w:pPr>
        <w:ind w:left="0" w:firstLine="0"/>
      </w:pPr>
      <w:rPr>
        <w:rFonts w:ascii="Times New Roman" w:eastAsia="宋体" w:hAnsi="Times New Roman" w:cs="Times New Roman" w:hint="default"/>
        <w:b/>
        <w:bCs w:val="0"/>
        <w:i w:val="0"/>
        <w:iCs w:val="0"/>
        <w:caps w:val="0"/>
        <w:smallCaps w:val="0"/>
        <w:strike w:val="0"/>
        <w:dstrike w:val="0"/>
        <w:vanish w:val="0"/>
        <w:spacing w:val="0"/>
        <w:kern w:val="0"/>
        <w:position w:val="0"/>
        <w:sz w:val="24"/>
        <w:u w:val="none"/>
        <w:vertAlign w:val="baseline"/>
      </w:rPr>
    </w:lvl>
    <w:lvl w:ilvl="3">
      <w:start w:val="1"/>
      <w:numFmt w:val="chineseCountingThousand"/>
      <w:suff w:val="space"/>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lef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decimal"/>
      <w:pStyle w:val="a4"/>
      <w:isLgl/>
      <w:suff w:val="space"/>
      <w:lvlText w:val="表 %1.%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25"/>
  <w:bordersDoNotSurroundHeader/>
  <w:bordersDoNotSurroundFooter/>
  <w:attachedTemplate r:id="rId1"/>
  <w:documentProtection w:edit="trackedChanges"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ˇˉ―‖’”…∶、。〃々〉》」』】〕〗！＂＇），．：；？］｀｜｝～￠"/>
  <w:doNotEmbedSmartTags/>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947"/>
    <w:rsid w:val="000030C4"/>
    <w:rsid w:val="00003151"/>
    <w:rsid w:val="00003153"/>
    <w:rsid w:val="000034EA"/>
    <w:rsid w:val="000040FD"/>
    <w:rsid w:val="00004D77"/>
    <w:rsid w:val="000060B3"/>
    <w:rsid w:val="00010183"/>
    <w:rsid w:val="00010941"/>
    <w:rsid w:val="0001260D"/>
    <w:rsid w:val="0001381B"/>
    <w:rsid w:val="00016025"/>
    <w:rsid w:val="00020433"/>
    <w:rsid w:val="0002149B"/>
    <w:rsid w:val="00024268"/>
    <w:rsid w:val="000242F8"/>
    <w:rsid w:val="000256B9"/>
    <w:rsid w:val="00025ACD"/>
    <w:rsid w:val="00031FC7"/>
    <w:rsid w:val="00033C93"/>
    <w:rsid w:val="0003472B"/>
    <w:rsid w:val="00034A84"/>
    <w:rsid w:val="00036C73"/>
    <w:rsid w:val="00037012"/>
    <w:rsid w:val="000400F5"/>
    <w:rsid w:val="0004364B"/>
    <w:rsid w:val="00043E3B"/>
    <w:rsid w:val="0004753A"/>
    <w:rsid w:val="00053050"/>
    <w:rsid w:val="00054C25"/>
    <w:rsid w:val="000611BF"/>
    <w:rsid w:val="00061B1F"/>
    <w:rsid w:val="000638C1"/>
    <w:rsid w:val="00065D8B"/>
    <w:rsid w:val="00065F50"/>
    <w:rsid w:val="0007153E"/>
    <w:rsid w:val="000733C4"/>
    <w:rsid w:val="00074783"/>
    <w:rsid w:val="0007565D"/>
    <w:rsid w:val="0007643D"/>
    <w:rsid w:val="000767E8"/>
    <w:rsid w:val="0008070B"/>
    <w:rsid w:val="000810AC"/>
    <w:rsid w:val="00081A02"/>
    <w:rsid w:val="00082231"/>
    <w:rsid w:val="000822ED"/>
    <w:rsid w:val="000832D9"/>
    <w:rsid w:val="0008456B"/>
    <w:rsid w:val="00086CAB"/>
    <w:rsid w:val="00091C11"/>
    <w:rsid w:val="00092D38"/>
    <w:rsid w:val="0009377B"/>
    <w:rsid w:val="000959A8"/>
    <w:rsid w:val="000A1F68"/>
    <w:rsid w:val="000A20C9"/>
    <w:rsid w:val="000A7D8E"/>
    <w:rsid w:val="000B058F"/>
    <w:rsid w:val="000B2D8A"/>
    <w:rsid w:val="000B31BD"/>
    <w:rsid w:val="000B3B21"/>
    <w:rsid w:val="000B43A0"/>
    <w:rsid w:val="000B4467"/>
    <w:rsid w:val="000B4DB9"/>
    <w:rsid w:val="000B68F7"/>
    <w:rsid w:val="000B74BB"/>
    <w:rsid w:val="000C0379"/>
    <w:rsid w:val="000C07BB"/>
    <w:rsid w:val="000C09AC"/>
    <w:rsid w:val="000C0CF4"/>
    <w:rsid w:val="000C1E86"/>
    <w:rsid w:val="000C495D"/>
    <w:rsid w:val="000C5AB0"/>
    <w:rsid w:val="000C767F"/>
    <w:rsid w:val="000D02E6"/>
    <w:rsid w:val="000D1D72"/>
    <w:rsid w:val="000D32D7"/>
    <w:rsid w:val="000D3A12"/>
    <w:rsid w:val="000D3B00"/>
    <w:rsid w:val="000D51DA"/>
    <w:rsid w:val="000D5A44"/>
    <w:rsid w:val="000D62E6"/>
    <w:rsid w:val="000D7B86"/>
    <w:rsid w:val="000E008D"/>
    <w:rsid w:val="000E0BFB"/>
    <w:rsid w:val="000E18B0"/>
    <w:rsid w:val="000E37B0"/>
    <w:rsid w:val="000E3ED2"/>
    <w:rsid w:val="000E67B4"/>
    <w:rsid w:val="000E71C4"/>
    <w:rsid w:val="000F0106"/>
    <w:rsid w:val="000F3CD8"/>
    <w:rsid w:val="000F74CD"/>
    <w:rsid w:val="000F7671"/>
    <w:rsid w:val="00100C70"/>
    <w:rsid w:val="00101B34"/>
    <w:rsid w:val="00101E43"/>
    <w:rsid w:val="001078DF"/>
    <w:rsid w:val="001106C3"/>
    <w:rsid w:val="00110B20"/>
    <w:rsid w:val="001115D7"/>
    <w:rsid w:val="001166FB"/>
    <w:rsid w:val="00116D95"/>
    <w:rsid w:val="001217CA"/>
    <w:rsid w:val="00121ADA"/>
    <w:rsid w:val="001258BD"/>
    <w:rsid w:val="001319D6"/>
    <w:rsid w:val="00131F42"/>
    <w:rsid w:val="00132529"/>
    <w:rsid w:val="0013270C"/>
    <w:rsid w:val="00132B68"/>
    <w:rsid w:val="00132C3E"/>
    <w:rsid w:val="00133635"/>
    <w:rsid w:val="00133679"/>
    <w:rsid w:val="00133E90"/>
    <w:rsid w:val="00134F22"/>
    <w:rsid w:val="001357F1"/>
    <w:rsid w:val="0013687F"/>
    <w:rsid w:val="00137487"/>
    <w:rsid w:val="0014074B"/>
    <w:rsid w:val="00140FA8"/>
    <w:rsid w:val="0014275B"/>
    <w:rsid w:val="00142D43"/>
    <w:rsid w:val="00142FEB"/>
    <w:rsid w:val="00143619"/>
    <w:rsid w:val="001439E3"/>
    <w:rsid w:val="00143A2D"/>
    <w:rsid w:val="00143C36"/>
    <w:rsid w:val="00144990"/>
    <w:rsid w:val="00145A41"/>
    <w:rsid w:val="001465A0"/>
    <w:rsid w:val="00146C1A"/>
    <w:rsid w:val="00147458"/>
    <w:rsid w:val="0015155E"/>
    <w:rsid w:val="00151675"/>
    <w:rsid w:val="00151A5C"/>
    <w:rsid w:val="001522B5"/>
    <w:rsid w:val="00154255"/>
    <w:rsid w:val="00155FB7"/>
    <w:rsid w:val="001563CE"/>
    <w:rsid w:val="00156461"/>
    <w:rsid w:val="00156A7C"/>
    <w:rsid w:val="00157435"/>
    <w:rsid w:val="00162DFB"/>
    <w:rsid w:val="00163C1C"/>
    <w:rsid w:val="0016483A"/>
    <w:rsid w:val="001664A0"/>
    <w:rsid w:val="00167718"/>
    <w:rsid w:val="0017504D"/>
    <w:rsid w:val="001762C2"/>
    <w:rsid w:val="0017671A"/>
    <w:rsid w:val="0017732B"/>
    <w:rsid w:val="00177422"/>
    <w:rsid w:val="00177DB7"/>
    <w:rsid w:val="00180CF3"/>
    <w:rsid w:val="001822B4"/>
    <w:rsid w:val="0018237F"/>
    <w:rsid w:val="00184327"/>
    <w:rsid w:val="00184590"/>
    <w:rsid w:val="0018519F"/>
    <w:rsid w:val="0018575E"/>
    <w:rsid w:val="001870D1"/>
    <w:rsid w:val="0018781E"/>
    <w:rsid w:val="00191C0E"/>
    <w:rsid w:val="0019262D"/>
    <w:rsid w:val="00192C3A"/>
    <w:rsid w:val="001A1B35"/>
    <w:rsid w:val="001A3011"/>
    <w:rsid w:val="001A48A2"/>
    <w:rsid w:val="001A6257"/>
    <w:rsid w:val="001A6F61"/>
    <w:rsid w:val="001B0A44"/>
    <w:rsid w:val="001B2582"/>
    <w:rsid w:val="001B337B"/>
    <w:rsid w:val="001B40C8"/>
    <w:rsid w:val="001B72B8"/>
    <w:rsid w:val="001C1FFE"/>
    <w:rsid w:val="001C63E4"/>
    <w:rsid w:val="001C69B3"/>
    <w:rsid w:val="001C79B9"/>
    <w:rsid w:val="001D0BF6"/>
    <w:rsid w:val="001D16FA"/>
    <w:rsid w:val="001D5595"/>
    <w:rsid w:val="001D7874"/>
    <w:rsid w:val="001D7F22"/>
    <w:rsid w:val="001E0617"/>
    <w:rsid w:val="001E0953"/>
    <w:rsid w:val="001E10B6"/>
    <w:rsid w:val="001E715A"/>
    <w:rsid w:val="001F0F17"/>
    <w:rsid w:val="001F1088"/>
    <w:rsid w:val="001F22A1"/>
    <w:rsid w:val="001F3347"/>
    <w:rsid w:val="001F4666"/>
    <w:rsid w:val="001F69E4"/>
    <w:rsid w:val="001F7013"/>
    <w:rsid w:val="00200112"/>
    <w:rsid w:val="00201278"/>
    <w:rsid w:val="00204820"/>
    <w:rsid w:val="002064EC"/>
    <w:rsid w:val="00206E16"/>
    <w:rsid w:val="002125B4"/>
    <w:rsid w:val="00212CBC"/>
    <w:rsid w:val="002155B8"/>
    <w:rsid w:val="002218E6"/>
    <w:rsid w:val="00222758"/>
    <w:rsid w:val="00224839"/>
    <w:rsid w:val="002249B2"/>
    <w:rsid w:val="00225B04"/>
    <w:rsid w:val="00226574"/>
    <w:rsid w:val="002278EC"/>
    <w:rsid w:val="00230EB0"/>
    <w:rsid w:val="002318EF"/>
    <w:rsid w:val="00231AE2"/>
    <w:rsid w:val="0023280E"/>
    <w:rsid w:val="0023285E"/>
    <w:rsid w:val="00233678"/>
    <w:rsid w:val="0023471C"/>
    <w:rsid w:val="00237260"/>
    <w:rsid w:val="0023763F"/>
    <w:rsid w:val="002377D1"/>
    <w:rsid w:val="00237839"/>
    <w:rsid w:val="00240532"/>
    <w:rsid w:val="00244AF3"/>
    <w:rsid w:val="00244FED"/>
    <w:rsid w:val="002455B1"/>
    <w:rsid w:val="00246459"/>
    <w:rsid w:val="0024759E"/>
    <w:rsid w:val="002475C3"/>
    <w:rsid w:val="00247CB6"/>
    <w:rsid w:val="00247D97"/>
    <w:rsid w:val="002506BC"/>
    <w:rsid w:val="00254345"/>
    <w:rsid w:val="00254D33"/>
    <w:rsid w:val="00257EDE"/>
    <w:rsid w:val="00261504"/>
    <w:rsid w:val="002626C7"/>
    <w:rsid w:val="00264557"/>
    <w:rsid w:val="002668ED"/>
    <w:rsid w:val="00267E5E"/>
    <w:rsid w:val="002727C2"/>
    <w:rsid w:val="00272879"/>
    <w:rsid w:val="002767F2"/>
    <w:rsid w:val="00280350"/>
    <w:rsid w:val="002805AB"/>
    <w:rsid w:val="00281CE4"/>
    <w:rsid w:val="00283312"/>
    <w:rsid w:val="00283B86"/>
    <w:rsid w:val="0028409A"/>
    <w:rsid w:val="00284204"/>
    <w:rsid w:val="0028442A"/>
    <w:rsid w:val="002902C8"/>
    <w:rsid w:val="00291773"/>
    <w:rsid w:val="00293A4C"/>
    <w:rsid w:val="002A0A5D"/>
    <w:rsid w:val="002A168C"/>
    <w:rsid w:val="002A3DC7"/>
    <w:rsid w:val="002A5933"/>
    <w:rsid w:val="002A5B14"/>
    <w:rsid w:val="002A5E76"/>
    <w:rsid w:val="002A6DAF"/>
    <w:rsid w:val="002A6FD8"/>
    <w:rsid w:val="002B0C21"/>
    <w:rsid w:val="002B1734"/>
    <w:rsid w:val="002B49E2"/>
    <w:rsid w:val="002B75FF"/>
    <w:rsid w:val="002B7B00"/>
    <w:rsid w:val="002B7C44"/>
    <w:rsid w:val="002B7C65"/>
    <w:rsid w:val="002C2B17"/>
    <w:rsid w:val="002C3E38"/>
    <w:rsid w:val="002C408B"/>
    <w:rsid w:val="002C7729"/>
    <w:rsid w:val="002D069E"/>
    <w:rsid w:val="002D07C7"/>
    <w:rsid w:val="002D38B4"/>
    <w:rsid w:val="002D3DD0"/>
    <w:rsid w:val="002D4637"/>
    <w:rsid w:val="002D49FD"/>
    <w:rsid w:val="002D6315"/>
    <w:rsid w:val="002D7B89"/>
    <w:rsid w:val="002E1F3A"/>
    <w:rsid w:val="002E248B"/>
    <w:rsid w:val="002E2914"/>
    <w:rsid w:val="002E298A"/>
    <w:rsid w:val="002E4300"/>
    <w:rsid w:val="002E5AD8"/>
    <w:rsid w:val="002E62A1"/>
    <w:rsid w:val="002F638A"/>
    <w:rsid w:val="002F63CE"/>
    <w:rsid w:val="002F775A"/>
    <w:rsid w:val="00300148"/>
    <w:rsid w:val="00301978"/>
    <w:rsid w:val="0030332C"/>
    <w:rsid w:val="003051C2"/>
    <w:rsid w:val="003051FF"/>
    <w:rsid w:val="00305622"/>
    <w:rsid w:val="0030586F"/>
    <w:rsid w:val="00306F6A"/>
    <w:rsid w:val="00312296"/>
    <w:rsid w:val="00314F0E"/>
    <w:rsid w:val="00315F8D"/>
    <w:rsid w:val="0032000C"/>
    <w:rsid w:val="0032139A"/>
    <w:rsid w:val="003217BE"/>
    <w:rsid w:val="00321D8E"/>
    <w:rsid w:val="00321F1E"/>
    <w:rsid w:val="003231FE"/>
    <w:rsid w:val="0032350D"/>
    <w:rsid w:val="003246BA"/>
    <w:rsid w:val="0032522B"/>
    <w:rsid w:val="00325928"/>
    <w:rsid w:val="003264D2"/>
    <w:rsid w:val="003276D1"/>
    <w:rsid w:val="00332863"/>
    <w:rsid w:val="00332D00"/>
    <w:rsid w:val="00335485"/>
    <w:rsid w:val="00335CA9"/>
    <w:rsid w:val="0033684D"/>
    <w:rsid w:val="00336D9F"/>
    <w:rsid w:val="00337B42"/>
    <w:rsid w:val="00340A44"/>
    <w:rsid w:val="00340A7E"/>
    <w:rsid w:val="00341B42"/>
    <w:rsid w:val="003430BA"/>
    <w:rsid w:val="0034348F"/>
    <w:rsid w:val="00343BEE"/>
    <w:rsid w:val="003453FD"/>
    <w:rsid w:val="00346EA3"/>
    <w:rsid w:val="00350825"/>
    <w:rsid w:val="00351703"/>
    <w:rsid w:val="00351CAF"/>
    <w:rsid w:val="003524F1"/>
    <w:rsid w:val="00356653"/>
    <w:rsid w:val="00357390"/>
    <w:rsid w:val="0035743F"/>
    <w:rsid w:val="00357BE2"/>
    <w:rsid w:val="00360503"/>
    <w:rsid w:val="00360669"/>
    <w:rsid w:val="0036170C"/>
    <w:rsid w:val="00361B1F"/>
    <w:rsid w:val="00362F9A"/>
    <w:rsid w:val="00365B0E"/>
    <w:rsid w:val="00365E2A"/>
    <w:rsid w:val="00366676"/>
    <w:rsid w:val="00366E0F"/>
    <w:rsid w:val="00367E1B"/>
    <w:rsid w:val="003705B1"/>
    <w:rsid w:val="00372893"/>
    <w:rsid w:val="00373378"/>
    <w:rsid w:val="003740E3"/>
    <w:rsid w:val="003742B0"/>
    <w:rsid w:val="00374961"/>
    <w:rsid w:val="003755EE"/>
    <w:rsid w:val="00381A72"/>
    <w:rsid w:val="00384676"/>
    <w:rsid w:val="00386100"/>
    <w:rsid w:val="00390857"/>
    <w:rsid w:val="00390F98"/>
    <w:rsid w:val="00392974"/>
    <w:rsid w:val="003938A4"/>
    <w:rsid w:val="00394174"/>
    <w:rsid w:val="0039428A"/>
    <w:rsid w:val="003977E6"/>
    <w:rsid w:val="003A12FB"/>
    <w:rsid w:val="003A1E12"/>
    <w:rsid w:val="003A3053"/>
    <w:rsid w:val="003A3D34"/>
    <w:rsid w:val="003A44C9"/>
    <w:rsid w:val="003A4BF3"/>
    <w:rsid w:val="003A50C4"/>
    <w:rsid w:val="003B2E14"/>
    <w:rsid w:val="003B420D"/>
    <w:rsid w:val="003B50E4"/>
    <w:rsid w:val="003B65DE"/>
    <w:rsid w:val="003B6ECB"/>
    <w:rsid w:val="003C22AB"/>
    <w:rsid w:val="003C3457"/>
    <w:rsid w:val="003C6694"/>
    <w:rsid w:val="003C6C16"/>
    <w:rsid w:val="003D1FED"/>
    <w:rsid w:val="003D203D"/>
    <w:rsid w:val="003D22D7"/>
    <w:rsid w:val="003D23C8"/>
    <w:rsid w:val="003D3335"/>
    <w:rsid w:val="003D5380"/>
    <w:rsid w:val="003D64AC"/>
    <w:rsid w:val="003D7714"/>
    <w:rsid w:val="003D794D"/>
    <w:rsid w:val="003E3058"/>
    <w:rsid w:val="003E341D"/>
    <w:rsid w:val="003E3A92"/>
    <w:rsid w:val="003E3F99"/>
    <w:rsid w:val="003E4073"/>
    <w:rsid w:val="003E42A7"/>
    <w:rsid w:val="003E50A7"/>
    <w:rsid w:val="003E73D8"/>
    <w:rsid w:val="003E76A9"/>
    <w:rsid w:val="003F0809"/>
    <w:rsid w:val="003F0F93"/>
    <w:rsid w:val="003F1306"/>
    <w:rsid w:val="003F1874"/>
    <w:rsid w:val="003F2043"/>
    <w:rsid w:val="003F41A6"/>
    <w:rsid w:val="003F6A8C"/>
    <w:rsid w:val="003F755C"/>
    <w:rsid w:val="003F78CF"/>
    <w:rsid w:val="00400C93"/>
    <w:rsid w:val="004022E1"/>
    <w:rsid w:val="004032C0"/>
    <w:rsid w:val="00403AC9"/>
    <w:rsid w:val="00406548"/>
    <w:rsid w:val="00406AD2"/>
    <w:rsid w:val="00406F01"/>
    <w:rsid w:val="0040706A"/>
    <w:rsid w:val="00407E55"/>
    <w:rsid w:val="00410879"/>
    <w:rsid w:val="00411772"/>
    <w:rsid w:val="00411E15"/>
    <w:rsid w:val="00413FB0"/>
    <w:rsid w:val="00414EDB"/>
    <w:rsid w:val="004169A2"/>
    <w:rsid w:val="00416D26"/>
    <w:rsid w:val="00416D50"/>
    <w:rsid w:val="00416FD5"/>
    <w:rsid w:val="004176A7"/>
    <w:rsid w:val="00417772"/>
    <w:rsid w:val="004206D4"/>
    <w:rsid w:val="00420E6A"/>
    <w:rsid w:val="00422590"/>
    <w:rsid w:val="00422946"/>
    <w:rsid w:val="00424FFA"/>
    <w:rsid w:val="00425A9E"/>
    <w:rsid w:val="00426D6B"/>
    <w:rsid w:val="00431E6C"/>
    <w:rsid w:val="00432138"/>
    <w:rsid w:val="00432377"/>
    <w:rsid w:val="00433CE7"/>
    <w:rsid w:val="00435623"/>
    <w:rsid w:val="00435943"/>
    <w:rsid w:val="00436590"/>
    <w:rsid w:val="00436CCF"/>
    <w:rsid w:val="004405FF"/>
    <w:rsid w:val="004414F2"/>
    <w:rsid w:val="004423B3"/>
    <w:rsid w:val="0044276C"/>
    <w:rsid w:val="00442BAC"/>
    <w:rsid w:val="00447274"/>
    <w:rsid w:val="00450DC6"/>
    <w:rsid w:val="00452738"/>
    <w:rsid w:val="00455734"/>
    <w:rsid w:val="0045575F"/>
    <w:rsid w:val="00456091"/>
    <w:rsid w:val="00456F3B"/>
    <w:rsid w:val="004616E0"/>
    <w:rsid w:val="00463463"/>
    <w:rsid w:val="00463D3F"/>
    <w:rsid w:val="004647E3"/>
    <w:rsid w:val="00466321"/>
    <w:rsid w:val="00466BA2"/>
    <w:rsid w:val="004738EE"/>
    <w:rsid w:val="004749B2"/>
    <w:rsid w:val="00474CDD"/>
    <w:rsid w:val="00475167"/>
    <w:rsid w:val="00475540"/>
    <w:rsid w:val="00475E4D"/>
    <w:rsid w:val="004761FE"/>
    <w:rsid w:val="00476411"/>
    <w:rsid w:val="004768E6"/>
    <w:rsid w:val="004841A9"/>
    <w:rsid w:val="00484B9B"/>
    <w:rsid w:val="004855F6"/>
    <w:rsid w:val="00485E82"/>
    <w:rsid w:val="0048661E"/>
    <w:rsid w:val="00487C01"/>
    <w:rsid w:val="00490ACA"/>
    <w:rsid w:val="00492531"/>
    <w:rsid w:val="00493329"/>
    <w:rsid w:val="00494670"/>
    <w:rsid w:val="00494935"/>
    <w:rsid w:val="00495FAC"/>
    <w:rsid w:val="00496269"/>
    <w:rsid w:val="004A053D"/>
    <w:rsid w:val="004A2642"/>
    <w:rsid w:val="004A3823"/>
    <w:rsid w:val="004A7F7D"/>
    <w:rsid w:val="004B14D6"/>
    <w:rsid w:val="004B2546"/>
    <w:rsid w:val="004B2CA3"/>
    <w:rsid w:val="004B2CE5"/>
    <w:rsid w:val="004B2F01"/>
    <w:rsid w:val="004B49CE"/>
    <w:rsid w:val="004B4FBB"/>
    <w:rsid w:val="004B5FC2"/>
    <w:rsid w:val="004C0834"/>
    <w:rsid w:val="004C1194"/>
    <w:rsid w:val="004C2979"/>
    <w:rsid w:val="004C44FE"/>
    <w:rsid w:val="004D1EE9"/>
    <w:rsid w:val="004D235E"/>
    <w:rsid w:val="004D4D42"/>
    <w:rsid w:val="004D67B4"/>
    <w:rsid w:val="004E13EC"/>
    <w:rsid w:val="004E19E3"/>
    <w:rsid w:val="004E20F9"/>
    <w:rsid w:val="004E305B"/>
    <w:rsid w:val="004E5CA4"/>
    <w:rsid w:val="004E5F82"/>
    <w:rsid w:val="004E6946"/>
    <w:rsid w:val="004E6F7A"/>
    <w:rsid w:val="004E7517"/>
    <w:rsid w:val="004E776E"/>
    <w:rsid w:val="004E7783"/>
    <w:rsid w:val="004E7833"/>
    <w:rsid w:val="004F0650"/>
    <w:rsid w:val="004F1AD8"/>
    <w:rsid w:val="004F5385"/>
    <w:rsid w:val="004F5884"/>
    <w:rsid w:val="004F63E1"/>
    <w:rsid w:val="004F7F60"/>
    <w:rsid w:val="00501627"/>
    <w:rsid w:val="005039CB"/>
    <w:rsid w:val="00504CC4"/>
    <w:rsid w:val="0050558F"/>
    <w:rsid w:val="00506286"/>
    <w:rsid w:val="00506454"/>
    <w:rsid w:val="00506B33"/>
    <w:rsid w:val="00506D0E"/>
    <w:rsid w:val="00510813"/>
    <w:rsid w:val="00511990"/>
    <w:rsid w:val="00511DE0"/>
    <w:rsid w:val="00512C26"/>
    <w:rsid w:val="00512F6D"/>
    <w:rsid w:val="00514870"/>
    <w:rsid w:val="00514B9B"/>
    <w:rsid w:val="005155AE"/>
    <w:rsid w:val="00515F79"/>
    <w:rsid w:val="005160A2"/>
    <w:rsid w:val="00516ED0"/>
    <w:rsid w:val="00517862"/>
    <w:rsid w:val="00517F02"/>
    <w:rsid w:val="00522F28"/>
    <w:rsid w:val="00524303"/>
    <w:rsid w:val="005246A6"/>
    <w:rsid w:val="005258A2"/>
    <w:rsid w:val="00526D74"/>
    <w:rsid w:val="00531DEE"/>
    <w:rsid w:val="005324FF"/>
    <w:rsid w:val="00532DA6"/>
    <w:rsid w:val="00533480"/>
    <w:rsid w:val="0053689E"/>
    <w:rsid w:val="005376E6"/>
    <w:rsid w:val="005401AE"/>
    <w:rsid w:val="00541314"/>
    <w:rsid w:val="00542E07"/>
    <w:rsid w:val="00544850"/>
    <w:rsid w:val="00545424"/>
    <w:rsid w:val="00551FDA"/>
    <w:rsid w:val="00553953"/>
    <w:rsid w:val="00553B4A"/>
    <w:rsid w:val="00554A7B"/>
    <w:rsid w:val="00554A90"/>
    <w:rsid w:val="00554BBF"/>
    <w:rsid w:val="0055572C"/>
    <w:rsid w:val="005557C3"/>
    <w:rsid w:val="0055643E"/>
    <w:rsid w:val="00556E95"/>
    <w:rsid w:val="00557E06"/>
    <w:rsid w:val="005601CF"/>
    <w:rsid w:val="0056106A"/>
    <w:rsid w:val="0056294A"/>
    <w:rsid w:val="00562BAA"/>
    <w:rsid w:val="00564377"/>
    <w:rsid w:val="005653C1"/>
    <w:rsid w:val="00570113"/>
    <w:rsid w:val="00571EFE"/>
    <w:rsid w:val="005720AE"/>
    <w:rsid w:val="00572AB4"/>
    <w:rsid w:val="00572DA5"/>
    <w:rsid w:val="00572FA4"/>
    <w:rsid w:val="00572FEE"/>
    <w:rsid w:val="00573875"/>
    <w:rsid w:val="00573D54"/>
    <w:rsid w:val="00574502"/>
    <w:rsid w:val="005757A3"/>
    <w:rsid w:val="00576421"/>
    <w:rsid w:val="00577582"/>
    <w:rsid w:val="00577ECF"/>
    <w:rsid w:val="00580189"/>
    <w:rsid w:val="005826AD"/>
    <w:rsid w:val="00583857"/>
    <w:rsid w:val="00585383"/>
    <w:rsid w:val="00585574"/>
    <w:rsid w:val="00587261"/>
    <w:rsid w:val="00590226"/>
    <w:rsid w:val="00592223"/>
    <w:rsid w:val="00594D77"/>
    <w:rsid w:val="00595A9C"/>
    <w:rsid w:val="005969E4"/>
    <w:rsid w:val="005A06B7"/>
    <w:rsid w:val="005A1759"/>
    <w:rsid w:val="005A19F9"/>
    <w:rsid w:val="005A1BFE"/>
    <w:rsid w:val="005A2B93"/>
    <w:rsid w:val="005A2C49"/>
    <w:rsid w:val="005A3287"/>
    <w:rsid w:val="005A57FC"/>
    <w:rsid w:val="005A63D7"/>
    <w:rsid w:val="005A68A7"/>
    <w:rsid w:val="005A72A3"/>
    <w:rsid w:val="005A7547"/>
    <w:rsid w:val="005B2043"/>
    <w:rsid w:val="005B35AB"/>
    <w:rsid w:val="005B4FB0"/>
    <w:rsid w:val="005B5F57"/>
    <w:rsid w:val="005B62F8"/>
    <w:rsid w:val="005B6989"/>
    <w:rsid w:val="005B7060"/>
    <w:rsid w:val="005B7837"/>
    <w:rsid w:val="005C0B20"/>
    <w:rsid w:val="005C23C0"/>
    <w:rsid w:val="005C27B5"/>
    <w:rsid w:val="005C2DA8"/>
    <w:rsid w:val="005C68FE"/>
    <w:rsid w:val="005C697C"/>
    <w:rsid w:val="005C6A6B"/>
    <w:rsid w:val="005C7858"/>
    <w:rsid w:val="005D04CA"/>
    <w:rsid w:val="005D0665"/>
    <w:rsid w:val="005D0F87"/>
    <w:rsid w:val="005D36AB"/>
    <w:rsid w:val="005D42D8"/>
    <w:rsid w:val="005D688E"/>
    <w:rsid w:val="005D68F6"/>
    <w:rsid w:val="005E41BE"/>
    <w:rsid w:val="005E509D"/>
    <w:rsid w:val="005E6B48"/>
    <w:rsid w:val="005F56A4"/>
    <w:rsid w:val="006010AD"/>
    <w:rsid w:val="0060355C"/>
    <w:rsid w:val="00606E23"/>
    <w:rsid w:val="00611B12"/>
    <w:rsid w:val="00613538"/>
    <w:rsid w:val="006146DB"/>
    <w:rsid w:val="00614F1E"/>
    <w:rsid w:val="00616724"/>
    <w:rsid w:val="00617CC3"/>
    <w:rsid w:val="00620B2E"/>
    <w:rsid w:val="0062199F"/>
    <w:rsid w:val="00622722"/>
    <w:rsid w:val="006329D5"/>
    <w:rsid w:val="006372DE"/>
    <w:rsid w:val="006377A6"/>
    <w:rsid w:val="00637A3D"/>
    <w:rsid w:val="006411EF"/>
    <w:rsid w:val="00641E3E"/>
    <w:rsid w:val="00644ACE"/>
    <w:rsid w:val="00645081"/>
    <w:rsid w:val="006515EC"/>
    <w:rsid w:val="00651D79"/>
    <w:rsid w:val="00657282"/>
    <w:rsid w:val="0066302E"/>
    <w:rsid w:val="006712C9"/>
    <w:rsid w:val="0067321F"/>
    <w:rsid w:val="00673FAF"/>
    <w:rsid w:val="006748B8"/>
    <w:rsid w:val="0067509F"/>
    <w:rsid w:val="00675CD6"/>
    <w:rsid w:val="006775C3"/>
    <w:rsid w:val="0068081F"/>
    <w:rsid w:val="00683019"/>
    <w:rsid w:val="0069290A"/>
    <w:rsid w:val="006946A7"/>
    <w:rsid w:val="00694922"/>
    <w:rsid w:val="00695245"/>
    <w:rsid w:val="00695A25"/>
    <w:rsid w:val="006962CB"/>
    <w:rsid w:val="00696CC0"/>
    <w:rsid w:val="00697739"/>
    <w:rsid w:val="0069775A"/>
    <w:rsid w:val="00697813"/>
    <w:rsid w:val="00697BCF"/>
    <w:rsid w:val="00697BFE"/>
    <w:rsid w:val="006A3EE8"/>
    <w:rsid w:val="006A4FF5"/>
    <w:rsid w:val="006A5E12"/>
    <w:rsid w:val="006A72BF"/>
    <w:rsid w:val="006B03F2"/>
    <w:rsid w:val="006B37DC"/>
    <w:rsid w:val="006B3EFE"/>
    <w:rsid w:val="006B4F68"/>
    <w:rsid w:val="006B7AC5"/>
    <w:rsid w:val="006C0592"/>
    <w:rsid w:val="006C115D"/>
    <w:rsid w:val="006C272E"/>
    <w:rsid w:val="006C4899"/>
    <w:rsid w:val="006C5479"/>
    <w:rsid w:val="006C5A89"/>
    <w:rsid w:val="006C5C34"/>
    <w:rsid w:val="006C6D32"/>
    <w:rsid w:val="006D13B5"/>
    <w:rsid w:val="006D4B21"/>
    <w:rsid w:val="006E04FD"/>
    <w:rsid w:val="006E12FF"/>
    <w:rsid w:val="006E1607"/>
    <w:rsid w:val="006E30BD"/>
    <w:rsid w:val="006E48E0"/>
    <w:rsid w:val="006E607E"/>
    <w:rsid w:val="006F4E2A"/>
    <w:rsid w:val="006F74F6"/>
    <w:rsid w:val="006F75CD"/>
    <w:rsid w:val="007009CA"/>
    <w:rsid w:val="007010FA"/>
    <w:rsid w:val="00701214"/>
    <w:rsid w:val="00701CC4"/>
    <w:rsid w:val="0070307B"/>
    <w:rsid w:val="007032BE"/>
    <w:rsid w:val="00703780"/>
    <w:rsid w:val="007037A2"/>
    <w:rsid w:val="00703AD6"/>
    <w:rsid w:val="007051C7"/>
    <w:rsid w:val="00706C5D"/>
    <w:rsid w:val="00706E97"/>
    <w:rsid w:val="00707304"/>
    <w:rsid w:val="00710774"/>
    <w:rsid w:val="0071226D"/>
    <w:rsid w:val="0071474A"/>
    <w:rsid w:val="00716896"/>
    <w:rsid w:val="007200C7"/>
    <w:rsid w:val="00721299"/>
    <w:rsid w:val="00721A0D"/>
    <w:rsid w:val="0072680A"/>
    <w:rsid w:val="00730081"/>
    <w:rsid w:val="00731CE1"/>
    <w:rsid w:val="00732922"/>
    <w:rsid w:val="00734C08"/>
    <w:rsid w:val="0073502C"/>
    <w:rsid w:val="00735736"/>
    <w:rsid w:val="00742E17"/>
    <w:rsid w:val="007460D8"/>
    <w:rsid w:val="0075162E"/>
    <w:rsid w:val="0075167F"/>
    <w:rsid w:val="00753083"/>
    <w:rsid w:val="00753CBF"/>
    <w:rsid w:val="00754034"/>
    <w:rsid w:val="00754B66"/>
    <w:rsid w:val="00754FFE"/>
    <w:rsid w:val="007554E5"/>
    <w:rsid w:val="00756556"/>
    <w:rsid w:val="007567B1"/>
    <w:rsid w:val="00757785"/>
    <w:rsid w:val="00760BD7"/>
    <w:rsid w:val="007618C4"/>
    <w:rsid w:val="00761CB0"/>
    <w:rsid w:val="00762043"/>
    <w:rsid w:val="00763671"/>
    <w:rsid w:val="007645F4"/>
    <w:rsid w:val="00767980"/>
    <w:rsid w:val="00770B19"/>
    <w:rsid w:val="0077223B"/>
    <w:rsid w:val="00773B6B"/>
    <w:rsid w:val="0077432C"/>
    <w:rsid w:val="0077463F"/>
    <w:rsid w:val="00775182"/>
    <w:rsid w:val="007759AB"/>
    <w:rsid w:val="00775C86"/>
    <w:rsid w:val="0077645F"/>
    <w:rsid w:val="00782A7F"/>
    <w:rsid w:val="00782BF4"/>
    <w:rsid w:val="007833E2"/>
    <w:rsid w:val="007836EA"/>
    <w:rsid w:val="00783E06"/>
    <w:rsid w:val="00784CDA"/>
    <w:rsid w:val="007855F2"/>
    <w:rsid w:val="00786C1A"/>
    <w:rsid w:val="00790254"/>
    <w:rsid w:val="007906C4"/>
    <w:rsid w:val="00790C4E"/>
    <w:rsid w:val="00791ECF"/>
    <w:rsid w:val="007940EA"/>
    <w:rsid w:val="00794E0E"/>
    <w:rsid w:val="007967E8"/>
    <w:rsid w:val="00797FD8"/>
    <w:rsid w:val="007A0ABD"/>
    <w:rsid w:val="007A2170"/>
    <w:rsid w:val="007A22BF"/>
    <w:rsid w:val="007A3323"/>
    <w:rsid w:val="007A36D3"/>
    <w:rsid w:val="007A3906"/>
    <w:rsid w:val="007B0FBC"/>
    <w:rsid w:val="007B699F"/>
    <w:rsid w:val="007B72B8"/>
    <w:rsid w:val="007B7A58"/>
    <w:rsid w:val="007C167A"/>
    <w:rsid w:val="007C1F07"/>
    <w:rsid w:val="007C21B5"/>
    <w:rsid w:val="007C240B"/>
    <w:rsid w:val="007C412F"/>
    <w:rsid w:val="007C6080"/>
    <w:rsid w:val="007D0A28"/>
    <w:rsid w:val="007D1332"/>
    <w:rsid w:val="007D23CE"/>
    <w:rsid w:val="007D4D17"/>
    <w:rsid w:val="007D5B76"/>
    <w:rsid w:val="007D6704"/>
    <w:rsid w:val="007D7260"/>
    <w:rsid w:val="007E11F9"/>
    <w:rsid w:val="007E1229"/>
    <w:rsid w:val="007E24EB"/>
    <w:rsid w:val="007E2D2A"/>
    <w:rsid w:val="007E4BD2"/>
    <w:rsid w:val="007E61C4"/>
    <w:rsid w:val="007F04AC"/>
    <w:rsid w:val="007F1C67"/>
    <w:rsid w:val="007F1DB7"/>
    <w:rsid w:val="007F39A0"/>
    <w:rsid w:val="007F47CC"/>
    <w:rsid w:val="007F48BA"/>
    <w:rsid w:val="007F6334"/>
    <w:rsid w:val="00800400"/>
    <w:rsid w:val="00800527"/>
    <w:rsid w:val="00801393"/>
    <w:rsid w:val="00801BAC"/>
    <w:rsid w:val="00802A90"/>
    <w:rsid w:val="00802F88"/>
    <w:rsid w:val="00803B77"/>
    <w:rsid w:val="00806870"/>
    <w:rsid w:val="0080696F"/>
    <w:rsid w:val="0081046C"/>
    <w:rsid w:val="0081293E"/>
    <w:rsid w:val="00812B16"/>
    <w:rsid w:val="00815465"/>
    <w:rsid w:val="00815C1A"/>
    <w:rsid w:val="00817E9A"/>
    <w:rsid w:val="00821A70"/>
    <w:rsid w:val="0082320F"/>
    <w:rsid w:val="0082356E"/>
    <w:rsid w:val="00826701"/>
    <w:rsid w:val="00826739"/>
    <w:rsid w:val="00826CF5"/>
    <w:rsid w:val="008306BD"/>
    <w:rsid w:val="00831A80"/>
    <w:rsid w:val="00833743"/>
    <w:rsid w:val="00834018"/>
    <w:rsid w:val="008340A4"/>
    <w:rsid w:val="00835CB8"/>
    <w:rsid w:val="008406C1"/>
    <w:rsid w:val="008411CF"/>
    <w:rsid w:val="00842478"/>
    <w:rsid w:val="00845AEF"/>
    <w:rsid w:val="00847ADE"/>
    <w:rsid w:val="00847D13"/>
    <w:rsid w:val="00850289"/>
    <w:rsid w:val="00851438"/>
    <w:rsid w:val="0085481A"/>
    <w:rsid w:val="00854945"/>
    <w:rsid w:val="008568E7"/>
    <w:rsid w:val="00860CD7"/>
    <w:rsid w:val="00863772"/>
    <w:rsid w:val="008650B3"/>
    <w:rsid w:val="0086752B"/>
    <w:rsid w:val="008708FC"/>
    <w:rsid w:val="0087135F"/>
    <w:rsid w:val="0087199F"/>
    <w:rsid w:val="00871AD6"/>
    <w:rsid w:val="00871EA9"/>
    <w:rsid w:val="00872D94"/>
    <w:rsid w:val="00873CB7"/>
    <w:rsid w:val="00874DC8"/>
    <w:rsid w:val="00876FE7"/>
    <w:rsid w:val="00880364"/>
    <w:rsid w:val="00881083"/>
    <w:rsid w:val="00881379"/>
    <w:rsid w:val="0088233A"/>
    <w:rsid w:val="00884BC3"/>
    <w:rsid w:val="0088558F"/>
    <w:rsid w:val="008867BD"/>
    <w:rsid w:val="0088772A"/>
    <w:rsid w:val="00887D1E"/>
    <w:rsid w:val="008914CF"/>
    <w:rsid w:val="008914E7"/>
    <w:rsid w:val="00891553"/>
    <w:rsid w:val="00891592"/>
    <w:rsid w:val="00891E9E"/>
    <w:rsid w:val="00896C50"/>
    <w:rsid w:val="008A13C4"/>
    <w:rsid w:val="008A2F68"/>
    <w:rsid w:val="008A39BD"/>
    <w:rsid w:val="008A4189"/>
    <w:rsid w:val="008A5D4E"/>
    <w:rsid w:val="008A5D84"/>
    <w:rsid w:val="008B117F"/>
    <w:rsid w:val="008B4FA6"/>
    <w:rsid w:val="008B5282"/>
    <w:rsid w:val="008B6E4B"/>
    <w:rsid w:val="008B703D"/>
    <w:rsid w:val="008B73F8"/>
    <w:rsid w:val="008B74AF"/>
    <w:rsid w:val="008B7C17"/>
    <w:rsid w:val="008C04B1"/>
    <w:rsid w:val="008C1171"/>
    <w:rsid w:val="008C2D01"/>
    <w:rsid w:val="008C40E6"/>
    <w:rsid w:val="008C444E"/>
    <w:rsid w:val="008C79D9"/>
    <w:rsid w:val="008C7C64"/>
    <w:rsid w:val="008C7EE7"/>
    <w:rsid w:val="008D0F7A"/>
    <w:rsid w:val="008D68E4"/>
    <w:rsid w:val="008D7D0B"/>
    <w:rsid w:val="008E0506"/>
    <w:rsid w:val="008E0CFF"/>
    <w:rsid w:val="008E5D6B"/>
    <w:rsid w:val="008E76F0"/>
    <w:rsid w:val="008F1087"/>
    <w:rsid w:val="008F15FE"/>
    <w:rsid w:val="008F2D29"/>
    <w:rsid w:val="008F33A5"/>
    <w:rsid w:val="008F50E7"/>
    <w:rsid w:val="008F5187"/>
    <w:rsid w:val="008F60D8"/>
    <w:rsid w:val="008F6CD5"/>
    <w:rsid w:val="00900B04"/>
    <w:rsid w:val="00901D2B"/>
    <w:rsid w:val="009020CD"/>
    <w:rsid w:val="00902727"/>
    <w:rsid w:val="0090312B"/>
    <w:rsid w:val="00904272"/>
    <w:rsid w:val="00904C81"/>
    <w:rsid w:val="009052E1"/>
    <w:rsid w:val="00905E43"/>
    <w:rsid w:val="0090752E"/>
    <w:rsid w:val="0090772C"/>
    <w:rsid w:val="00910AC9"/>
    <w:rsid w:val="00914C7C"/>
    <w:rsid w:val="009159FC"/>
    <w:rsid w:val="00915EC8"/>
    <w:rsid w:val="0091736D"/>
    <w:rsid w:val="00922938"/>
    <w:rsid w:val="00922E88"/>
    <w:rsid w:val="009245C6"/>
    <w:rsid w:val="00926DF1"/>
    <w:rsid w:val="0093037A"/>
    <w:rsid w:val="009304C3"/>
    <w:rsid w:val="00936172"/>
    <w:rsid w:val="0094154D"/>
    <w:rsid w:val="009447AB"/>
    <w:rsid w:val="00950B23"/>
    <w:rsid w:val="0095155F"/>
    <w:rsid w:val="00953B0F"/>
    <w:rsid w:val="00954429"/>
    <w:rsid w:val="00955AF1"/>
    <w:rsid w:val="009560CE"/>
    <w:rsid w:val="009561F0"/>
    <w:rsid w:val="009563CE"/>
    <w:rsid w:val="00956584"/>
    <w:rsid w:val="00960DCD"/>
    <w:rsid w:val="009628AC"/>
    <w:rsid w:val="00966B48"/>
    <w:rsid w:val="00972FE1"/>
    <w:rsid w:val="00974CD6"/>
    <w:rsid w:val="0097546A"/>
    <w:rsid w:val="00975D0E"/>
    <w:rsid w:val="00976328"/>
    <w:rsid w:val="0097680D"/>
    <w:rsid w:val="00982438"/>
    <w:rsid w:val="009829D5"/>
    <w:rsid w:val="0098404C"/>
    <w:rsid w:val="00985283"/>
    <w:rsid w:val="00986F95"/>
    <w:rsid w:val="009900AA"/>
    <w:rsid w:val="00994CF3"/>
    <w:rsid w:val="00995992"/>
    <w:rsid w:val="00996007"/>
    <w:rsid w:val="00996412"/>
    <w:rsid w:val="00996CE8"/>
    <w:rsid w:val="009A03E5"/>
    <w:rsid w:val="009A05B8"/>
    <w:rsid w:val="009A0F3B"/>
    <w:rsid w:val="009A1BB4"/>
    <w:rsid w:val="009A2628"/>
    <w:rsid w:val="009A3200"/>
    <w:rsid w:val="009A5A76"/>
    <w:rsid w:val="009A5D0C"/>
    <w:rsid w:val="009A5EA3"/>
    <w:rsid w:val="009A5F4A"/>
    <w:rsid w:val="009B0897"/>
    <w:rsid w:val="009B1F05"/>
    <w:rsid w:val="009B209C"/>
    <w:rsid w:val="009B2161"/>
    <w:rsid w:val="009B3FCF"/>
    <w:rsid w:val="009B6363"/>
    <w:rsid w:val="009B7BD9"/>
    <w:rsid w:val="009C48D8"/>
    <w:rsid w:val="009C4BA1"/>
    <w:rsid w:val="009C518A"/>
    <w:rsid w:val="009C6056"/>
    <w:rsid w:val="009C777E"/>
    <w:rsid w:val="009C7DD5"/>
    <w:rsid w:val="009C7E26"/>
    <w:rsid w:val="009D050C"/>
    <w:rsid w:val="009D0745"/>
    <w:rsid w:val="009D1968"/>
    <w:rsid w:val="009D51F7"/>
    <w:rsid w:val="009D6EF2"/>
    <w:rsid w:val="009D71B0"/>
    <w:rsid w:val="009E1BE6"/>
    <w:rsid w:val="009E227D"/>
    <w:rsid w:val="009E5019"/>
    <w:rsid w:val="009F4231"/>
    <w:rsid w:val="009F5750"/>
    <w:rsid w:val="009F6980"/>
    <w:rsid w:val="009F7126"/>
    <w:rsid w:val="00A01D1B"/>
    <w:rsid w:val="00A04421"/>
    <w:rsid w:val="00A04F1B"/>
    <w:rsid w:val="00A0501B"/>
    <w:rsid w:val="00A05937"/>
    <w:rsid w:val="00A118C6"/>
    <w:rsid w:val="00A11A28"/>
    <w:rsid w:val="00A14947"/>
    <w:rsid w:val="00A14F1F"/>
    <w:rsid w:val="00A1513F"/>
    <w:rsid w:val="00A15223"/>
    <w:rsid w:val="00A15C09"/>
    <w:rsid w:val="00A201CF"/>
    <w:rsid w:val="00A20540"/>
    <w:rsid w:val="00A2070D"/>
    <w:rsid w:val="00A30189"/>
    <w:rsid w:val="00A30546"/>
    <w:rsid w:val="00A30C95"/>
    <w:rsid w:val="00A32A83"/>
    <w:rsid w:val="00A34912"/>
    <w:rsid w:val="00A368DB"/>
    <w:rsid w:val="00A423AA"/>
    <w:rsid w:val="00A4281F"/>
    <w:rsid w:val="00A42D14"/>
    <w:rsid w:val="00A42DBD"/>
    <w:rsid w:val="00A43B12"/>
    <w:rsid w:val="00A43F40"/>
    <w:rsid w:val="00A443F8"/>
    <w:rsid w:val="00A47354"/>
    <w:rsid w:val="00A51018"/>
    <w:rsid w:val="00A52F7C"/>
    <w:rsid w:val="00A53811"/>
    <w:rsid w:val="00A53EC6"/>
    <w:rsid w:val="00A553CB"/>
    <w:rsid w:val="00A558E9"/>
    <w:rsid w:val="00A55C0F"/>
    <w:rsid w:val="00A56437"/>
    <w:rsid w:val="00A564E2"/>
    <w:rsid w:val="00A6362B"/>
    <w:rsid w:val="00A63FD0"/>
    <w:rsid w:val="00A64190"/>
    <w:rsid w:val="00A66699"/>
    <w:rsid w:val="00A67694"/>
    <w:rsid w:val="00A703C1"/>
    <w:rsid w:val="00A735CA"/>
    <w:rsid w:val="00A73916"/>
    <w:rsid w:val="00A74901"/>
    <w:rsid w:val="00A80B79"/>
    <w:rsid w:val="00A81957"/>
    <w:rsid w:val="00A851FA"/>
    <w:rsid w:val="00A8713F"/>
    <w:rsid w:val="00A905EA"/>
    <w:rsid w:val="00A90A83"/>
    <w:rsid w:val="00A90BA1"/>
    <w:rsid w:val="00A91D46"/>
    <w:rsid w:val="00A93442"/>
    <w:rsid w:val="00A9365F"/>
    <w:rsid w:val="00A95824"/>
    <w:rsid w:val="00A96242"/>
    <w:rsid w:val="00A971D8"/>
    <w:rsid w:val="00A97A9A"/>
    <w:rsid w:val="00AA0405"/>
    <w:rsid w:val="00AA0671"/>
    <w:rsid w:val="00AA15C5"/>
    <w:rsid w:val="00AA21E4"/>
    <w:rsid w:val="00AA2531"/>
    <w:rsid w:val="00AA4E59"/>
    <w:rsid w:val="00AB0EDC"/>
    <w:rsid w:val="00AB18F8"/>
    <w:rsid w:val="00AB194E"/>
    <w:rsid w:val="00AB1E09"/>
    <w:rsid w:val="00AB366B"/>
    <w:rsid w:val="00AB5330"/>
    <w:rsid w:val="00AB5901"/>
    <w:rsid w:val="00AB6B1D"/>
    <w:rsid w:val="00AB7747"/>
    <w:rsid w:val="00AB7D45"/>
    <w:rsid w:val="00AC14CE"/>
    <w:rsid w:val="00AC18D8"/>
    <w:rsid w:val="00AC2A56"/>
    <w:rsid w:val="00AC2DDF"/>
    <w:rsid w:val="00AC3889"/>
    <w:rsid w:val="00AC390B"/>
    <w:rsid w:val="00AC6179"/>
    <w:rsid w:val="00AC67A3"/>
    <w:rsid w:val="00AC6EF8"/>
    <w:rsid w:val="00AD055E"/>
    <w:rsid w:val="00AD1DDE"/>
    <w:rsid w:val="00AD1F2F"/>
    <w:rsid w:val="00AD47A7"/>
    <w:rsid w:val="00AD56F4"/>
    <w:rsid w:val="00AD6756"/>
    <w:rsid w:val="00AD72A6"/>
    <w:rsid w:val="00AE041A"/>
    <w:rsid w:val="00AE30CB"/>
    <w:rsid w:val="00AE6A71"/>
    <w:rsid w:val="00AE7A3B"/>
    <w:rsid w:val="00AE7DAB"/>
    <w:rsid w:val="00AF0CBF"/>
    <w:rsid w:val="00AF1105"/>
    <w:rsid w:val="00AF257F"/>
    <w:rsid w:val="00AF33CF"/>
    <w:rsid w:val="00AF40D3"/>
    <w:rsid w:val="00AF4192"/>
    <w:rsid w:val="00AF4D50"/>
    <w:rsid w:val="00AF6179"/>
    <w:rsid w:val="00B00372"/>
    <w:rsid w:val="00B0110C"/>
    <w:rsid w:val="00B02669"/>
    <w:rsid w:val="00B02D7F"/>
    <w:rsid w:val="00B03929"/>
    <w:rsid w:val="00B04D5F"/>
    <w:rsid w:val="00B059B1"/>
    <w:rsid w:val="00B06059"/>
    <w:rsid w:val="00B110E9"/>
    <w:rsid w:val="00B1295A"/>
    <w:rsid w:val="00B16200"/>
    <w:rsid w:val="00B20A45"/>
    <w:rsid w:val="00B227FA"/>
    <w:rsid w:val="00B22C5C"/>
    <w:rsid w:val="00B24024"/>
    <w:rsid w:val="00B24F30"/>
    <w:rsid w:val="00B27DB6"/>
    <w:rsid w:val="00B30408"/>
    <w:rsid w:val="00B31ABF"/>
    <w:rsid w:val="00B31B6A"/>
    <w:rsid w:val="00B33BE3"/>
    <w:rsid w:val="00B3439A"/>
    <w:rsid w:val="00B34E0D"/>
    <w:rsid w:val="00B354F2"/>
    <w:rsid w:val="00B36339"/>
    <w:rsid w:val="00B3776A"/>
    <w:rsid w:val="00B40925"/>
    <w:rsid w:val="00B41E0F"/>
    <w:rsid w:val="00B4257C"/>
    <w:rsid w:val="00B42701"/>
    <w:rsid w:val="00B42D50"/>
    <w:rsid w:val="00B45008"/>
    <w:rsid w:val="00B45570"/>
    <w:rsid w:val="00B458EE"/>
    <w:rsid w:val="00B46AA6"/>
    <w:rsid w:val="00B53B5D"/>
    <w:rsid w:val="00B55D81"/>
    <w:rsid w:val="00B56666"/>
    <w:rsid w:val="00B576B2"/>
    <w:rsid w:val="00B60168"/>
    <w:rsid w:val="00B6055E"/>
    <w:rsid w:val="00B6056B"/>
    <w:rsid w:val="00B61075"/>
    <w:rsid w:val="00B62B19"/>
    <w:rsid w:val="00B6317D"/>
    <w:rsid w:val="00B664F1"/>
    <w:rsid w:val="00B725FC"/>
    <w:rsid w:val="00B741A3"/>
    <w:rsid w:val="00B74223"/>
    <w:rsid w:val="00B74F39"/>
    <w:rsid w:val="00B750CF"/>
    <w:rsid w:val="00B7704F"/>
    <w:rsid w:val="00B7723F"/>
    <w:rsid w:val="00B80534"/>
    <w:rsid w:val="00B8117B"/>
    <w:rsid w:val="00B81C4A"/>
    <w:rsid w:val="00B825E1"/>
    <w:rsid w:val="00B8433C"/>
    <w:rsid w:val="00B868D7"/>
    <w:rsid w:val="00B87491"/>
    <w:rsid w:val="00B87C26"/>
    <w:rsid w:val="00B87E6C"/>
    <w:rsid w:val="00B95DCD"/>
    <w:rsid w:val="00BA291F"/>
    <w:rsid w:val="00BA29E9"/>
    <w:rsid w:val="00BA471E"/>
    <w:rsid w:val="00BA5465"/>
    <w:rsid w:val="00BA7142"/>
    <w:rsid w:val="00BB237C"/>
    <w:rsid w:val="00BB3C22"/>
    <w:rsid w:val="00BB41A3"/>
    <w:rsid w:val="00BC01D6"/>
    <w:rsid w:val="00BC0E99"/>
    <w:rsid w:val="00BC12A2"/>
    <w:rsid w:val="00BC199F"/>
    <w:rsid w:val="00BC1E08"/>
    <w:rsid w:val="00BC32DC"/>
    <w:rsid w:val="00BC35B6"/>
    <w:rsid w:val="00BC5C16"/>
    <w:rsid w:val="00BC6871"/>
    <w:rsid w:val="00BC6CCA"/>
    <w:rsid w:val="00BD0B50"/>
    <w:rsid w:val="00BD1B51"/>
    <w:rsid w:val="00BD246C"/>
    <w:rsid w:val="00BD4596"/>
    <w:rsid w:val="00BD4A52"/>
    <w:rsid w:val="00BD5077"/>
    <w:rsid w:val="00BE0E45"/>
    <w:rsid w:val="00BE1405"/>
    <w:rsid w:val="00BE28F6"/>
    <w:rsid w:val="00BE2ABF"/>
    <w:rsid w:val="00BE312D"/>
    <w:rsid w:val="00BE4BE4"/>
    <w:rsid w:val="00BE5C03"/>
    <w:rsid w:val="00BE67DD"/>
    <w:rsid w:val="00BE7BED"/>
    <w:rsid w:val="00BF1C20"/>
    <w:rsid w:val="00BF6416"/>
    <w:rsid w:val="00C02823"/>
    <w:rsid w:val="00C0414F"/>
    <w:rsid w:val="00C05629"/>
    <w:rsid w:val="00C056EB"/>
    <w:rsid w:val="00C10578"/>
    <w:rsid w:val="00C11315"/>
    <w:rsid w:val="00C113B5"/>
    <w:rsid w:val="00C1264F"/>
    <w:rsid w:val="00C12981"/>
    <w:rsid w:val="00C135BC"/>
    <w:rsid w:val="00C136C7"/>
    <w:rsid w:val="00C15C95"/>
    <w:rsid w:val="00C1624B"/>
    <w:rsid w:val="00C16BF7"/>
    <w:rsid w:val="00C24AFE"/>
    <w:rsid w:val="00C24DC6"/>
    <w:rsid w:val="00C254C4"/>
    <w:rsid w:val="00C2596A"/>
    <w:rsid w:val="00C267A8"/>
    <w:rsid w:val="00C27537"/>
    <w:rsid w:val="00C27825"/>
    <w:rsid w:val="00C328FE"/>
    <w:rsid w:val="00C33507"/>
    <w:rsid w:val="00C33A7C"/>
    <w:rsid w:val="00C33BB8"/>
    <w:rsid w:val="00C343B3"/>
    <w:rsid w:val="00C34929"/>
    <w:rsid w:val="00C35EB1"/>
    <w:rsid w:val="00C36167"/>
    <w:rsid w:val="00C4194F"/>
    <w:rsid w:val="00C43A7D"/>
    <w:rsid w:val="00C4409D"/>
    <w:rsid w:val="00C44E72"/>
    <w:rsid w:val="00C45A06"/>
    <w:rsid w:val="00C46497"/>
    <w:rsid w:val="00C47E5B"/>
    <w:rsid w:val="00C50046"/>
    <w:rsid w:val="00C5275F"/>
    <w:rsid w:val="00C609E0"/>
    <w:rsid w:val="00C60E01"/>
    <w:rsid w:val="00C61E4B"/>
    <w:rsid w:val="00C64BFF"/>
    <w:rsid w:val="00C672EE"/>
    <w:rsid w:val="00C704E9"/>
    <w:rsid w:val="00C70B76"/>
    <w:rsid w:val="00C73230"/>
    <w:rsid w:val="00C7575A"/>
    <w:rsid w:val="00C763C9"/>
    <w:rsid w:val="00C7731D"/>
    <w:rsid w:val="00C80057"/>
    <w:rsid w:val="00C8057C"/>
    <w:rsid w:val="00C81D81"/>
    <w:rsid w:val="00C82232"/>
    <w:rsid w:val="00C824F4"/>
    <w:rsid w:val="00C82913"/>
    <w:rsid w:val="00C82EDC"/>
    <w:rsid w:val="00C8667E"/>
    <w:rsid w:val="00C870FB"/>
    <w:rsid w:val="00C923BB"/>
    <w:rsid w:val="00C923F4"/>
    <w:rsid w:val="00C930EC"/>
    <w:rsid w:val="00C95866"/>
    <w:rsid w:val="00C95961"/>
    <w:rsid w:val="00C972B1"/>
    <w:rsid w:val="00CA175D"/>
    <w:rsid w:val="00CA22B2"/>
    <w:rsid w:val="00CA2C90"/>
    <w:rsid w:val="00CA2CCE"/>
    <w:rsid w:val="00CA43FD"/>
    <w:rsid w:val="00CA57E5"/>
    <w:rsid w:val="00CA7EF8"/>
    <w:rsid w:val="00CB7EB6"/>
    <w:rsid w:val="00CC489B"/>
    <w:rsid w:val="00CC4AFB"/>
    <w:rsid w:val="00CC5255"/>
    <w:rsid w:val="00CD2BCD"/>
    <w:rsid w:val="00CD3A4C"/>
    <w:rsid w:val="00CD3C4E"/>
    <w:rsid w:val="00CD48B3"/>
    <w:rsid w:val="00CD6A24"/>
    <w:rsid w:val="00CE10E9"/>
    <w:rsid w:val="00CE2910"/>
    <w:rsid w:val="00CE2A15"/>
    <w:rsid w:val="00CE5393"/>
    <w:rsid w:val="00CE5C4A"/>
    <w:rsid w:val="00CF33D0"/>
    <w:rsid w:val="00CF340A"/>
    <w:rsid w:val="00CF36BE"/>
    <w:rsid w:val="00CF6000"/>
    <w:rsid w:val="00D003F3"/>
    <w:rsid w:val="00D00D27"/>
    <w:rsid w:val="00D00DFB"/>
    <w:rsid w:val="00D0364F"/>
    <w:rsid w:val="00D0519A"/>
    <w:rsid w:val="00D05332"/>
    <w:rsid w:val="00D06834"/>
    <w:rsid w:val="00D077B4"/>
    <w:rsid w:val="00D07D0B"/>
    <w:rsid w:val="00D11091"/>
    <w:rsid w:val="00D1175B"/>
    <w:rsid w:val="00D12938"/>
    <w:rsid w:val="00D14A0D"/>
    <w:rsid w:val="00D209D4"/>
    <w:rsid w:val="00D211FA"/>
    <w:rsid w:val="00D234AF"/>
    <w:rsid w:val="00D25237"/>
    <w:rsid w:val="00D308ED"/>
    <w:rsid w:val="00D31192"/>
    <w:rsid w:val="00D31337"/>
    <w:rsid w:val="00D31412"/>
    <w:rsid w:val="00D33D93"/>
    <w:rsid w:val="00D345BC"/>
    <w:rsid w:val="00D359C0"/>
    <w:rsid w:val="00D36D86"/>
    <w:rsid w:val="00D428AA"/>
    <w:rsid w:val="00D42AA0"/>
    <w:rsid w:val="00D42AC3"/>
    <w:rsid w:val="00D436FE"/>
    <w:rsid w:val="00D43C39"/>
    <w:rsid w:val="00D46158"/>
    <w:rsid w:val="00D4620F"/>
    <w:rsid w:val="00D5025B"/>
    <w:rsid w:val="00D50A34"/>
    <w:rsid w:val="00D50D36"/>
    <w:rsid w:val="00D522E1"/>
    <w:rsid w:val="00D52A21"/>
    <w:rsid w:val="00D53EFA"/>
    <w:rsid w:val="00D548A6"/>
    <w:rsid w:val="00D6152C"/>
    <w:rsid w:val="00D61657"/>
    <w:rsid w:val="00D6185B"/>
    <w:rsid w:val="00D618DB"/>
    <w:rsid w:val="00D61A7C"/>
    <w:rsid w:val="00D64E56"/>
    <w:rsid w:val="00D67BC7"/>
    <w:rsid w:val="00D70652"/>
    <w:rsid w:val="00D71658"/>
    <w:rsid w:val="00D7343D"/>
    <w:rsid w:val="00D73F66"/>
    <w:rsid w:val="00D746FC"/>
    <w:rsid w:val="00D77E7A"/>
    <w:rsid w:val="00D847F5"/>
    <w:rsid w:val="00D878FA"/>
    <w:rsid w:val="00D87BAC"/>
    <w:rsid w:val="00D915D7"/>
    <w:rsid w:val="00D92261"/>
    <w:rsid w:val="00D93EF0"/>
    <w:rsid w:val="00D94763"/>
    <w:rsid w:val="00D94A7C"/>
    <w:rsid w:val="00D94E11"/>
    <w:rsid w:val="00D95896"/>
    <w:rsid w:val="00D96862"/>
    <w:rsid w:val="00DA6887"/>
    <w:rsid w:val="00DA6CCA"/>
    <w:rsid w:val="00DB178F"/>
    <w:rsid w:val="00DB1AE3"/>
    <w:rsid w:val="00DB1F3D"/>
    <w:rsid w:val="00DB2091"/>
    <w:rsid w:val="00DB2983"/>
    <w:rsid w:val="00DB416B"/>
    <w:rsid w:val="00DB5EBF"/>
    <w:rsid w:val="00DC044D"/>
    <w:rsid w:val="00DC1257"/>
    <w:rsid w:val="00DC15A7"/>
    <w:rsid w:val="00DC2027"/>
    <w:rsid w:val="00DC2354"/>
    <w:rsid w:val="00DC27E5"/>
    <w:rsid w:val="00DC35B4"/>
    <w:rsid w:val="00DC38C7"/>
    <w:rsid w:val="00DC3DC0"/>
    <w:rsid w:val="00DC48C0"/>
    <w:rsid w:val="00DC5170"/>
    <w:rsid w:val="00DC532D"/>
    <w:rsid w:val="00DC5B2B"/>
    <w:rsid w:val="00DC7533"/>
    <w:rsid w:val="00DC7B23"/>
    <w:rsid w:val="00DD0E12"/>
    <w:rsid w:val="00DD140A"/>
    <w:rsid w:val="00DD318D"/>
    <w:rsid w:val="00DD54F9"/>
    <w:rsid w:val="00DD595E"/>
    <w:rsid w:val="00DD7BF9"/>
    <w:rsid w:val="00DE0E88"/>
    <w:rsid w:val="00DE11FB"/>
    <w:rsid w:val="00DE237E"/>
    <w:rsid w:val="00DE2BFE"/>
    <w:rsid w:val="00DE347A"/>
    <w:rsid w:val="00DE7C90"/>
    <w:rsid w:val="00DF1208"/>
    <w:rsid w:val="00DF2E12"/>
    <w:rsid w:val="00DF38AE"/>
    <w:rsid w:val="00DF3F7A"/>
    <w:rsid w:val="00DF514A"/>
    <w:rsid w:val="00DF6690"/>
    <w:rsid w:val="00DF6804"/>
    <w:rsid w:val="00DF680C"/>
    <w:rsid w:val="00DF6A40"/>
    <w:rsid w:val="00DF7224"/>
    <w:rsid w:val="00DF7875"/>
    <w:rsid w:val="00E0358D"/>
    <w:rsid w:val="00E035B4"/>
    <w:rsid w:val="00E03D99"/>
    <w:rsid w:val="00E04323"/>
    <w:rsid w:val="00E061DC"/>
    <w:rsid w:val="00E070A2"/>
    <w:rsid w:val="00E11C66"/>
    <w:rsid w:val="00E12FE1"/>
    <w:rsid w:val="00E13799"/>
    <w:rsid w:val="00E17368"/>
    <w:rsid w:val="00E17E25"/>
    <w:rsid w:val="00E2159D"/>
    <w:rsid w:val="00E2309B"/>
    <w:rsid w:val="00E23953"/>
    <w:rsid w:val="00E259F8"/>
    <w:rsid w:val="00E264FD"/>
    <w:rsid w:val="00E2656A"/>
    <w:rsid w:val="00E30452"/>
    <w:rsid w:val="00E310C4"/>
    <w:rsid w:val="00E33901"/>
    <w:rsid w:val="00E33BE3"/>
    <w:rsid w:val="00E35CC0"/>
    <w:rsid w:val="00E412D0"/>
    <w:rsid w:val="00E422F7"/>
    <w:rsid w:val="00E44373"/>
    <w:rsid w:val="00E44820"/>
    <w:rsid w:val="00E500A1"/>
    <w:rsid w:val="00E51CEC"/>
    <w:rsid w:val="00E52209"/>
    <w:rsid w:val="00E52BC7"/>
    <w:rsid w:val="00E54FDB"/>
    <w:rsid w:val="00E55863"/>
    <w:rsid w:val="00E56322"/>
    <w:rsid w:val="00E57857"/>
    <w:rsid w:val="00E579A5"/>
    <w:rsid w:val="00E60982"/>
    <w:rsid w:val="00E6165B"/>
    <w:rsid w:val="00E61C6B"/>
    <w:rsid w:val="00E62C62"/>
    <w:rsid w:val="00E653F1"/>
    <w:rsid w:val="00E654C1"/>
    <w:rsid w:val="00E65D97"/>
    <w:rsid w:val="00E67D38"/>
    <w:rsid w:val="00E7118B"/>
    <w:rsid w:val="00E72A5A"/>
    <w:rsid w:val="00E73354"/>
    <w:rsid w:val="00E80135"/>
    <w:rsid w:val="00E81657"/>
    <w:rsid w:val="00E822F7"/>
    <w:rsid w:val="00E849F9"/>
    <w:rsid w:val="00E87A0D"/>
    <w:rsid w:val="00E87B29"/>
    <w:rsid w:val="00E91002"/>
    <w:rsid w:val="00E917C9"/>
    <w:rsid w:val="00E9242D"/>
    <w:rsid w:val="00E95802"/>
    <w:rsid w:val="00E9645E"/>
    <w:rsid w:val="00EA5314"/>
    <w:rsid w:val="00EA56F4"/>
    <w:rsid w:val="00EB02A3"/>
    <w:rsid w:val="00EB03D7"/>
    <w:rsid w:val="00EB0A4C"/>
    <w:rsid w:val="00EB2CB3"/>
    <w:rsid w:val="00EB3308"/>
    <w:rsid w:val="00EB38FF"/>
    <w:rsid w:val="00EB5255"/>
    <w:rsid w:val="00EB54B0"/>
    <w:rsid w:val="00EB5C47"/>
    <w:rsid w:val="00EB6446"/>
    <w:rsid w:val="00EC027D"/>
    <w:rsid w:val="00EC43D6"/>
    <w:rsid w:val="00EC646F"/>
    <w:rsid w:val="00EC73E5"/>
    <w:rsid w:val="00ED0639"/>
    <w:rsid w:val="00ED3C61"/>
    <w:rsid w:val="00ED3CB5"/>
    <w:rsid w:val="00ED43A9"/>
    <w:rsid w:val="00ED5DDF"/>
    <w:rsid w:val="00ED5E43"/>
    <w:rsid w:val="00EE0A65"/>
    <w:rsid w:val="00EE3683"/>
    <w:rsid w:val="00EF006A"/>
    <w:rsid w:val="00EF1983"/>
    <w:rsid w:val="00EF33D1"/>
    <w:rsid w:val="00EF3C76"/>
    <w:rsid w:val="00EF4755"/>
    <w:rsid w:val="00EF4DC9"/>
    <w:rsid w:val="00EF5E46"/>
    <w:rsid w:val="00EF6DDF"/>
    <w:rsid w:val="00EF7135"/>
    <w:rsid w:val="00F00E0C"/>
    <w:rsid w:val="00F027DB"/>
    <w:rsid w:val="00F04A4C"/>
    <w:rsid w:val="00F04A8B"/>
    <w:rsid w:val="00F1185C"/>
    <w:rsid w:val="00F11E01"/>
    <w:rsid w:val="00F14A7A"/>
    <w:rsid w:val="00F17E5F"/>
    <w:rsid w:val="00F2035B"/>
    <w:rsid w:val="00F21543"/>
    <w:rsid w:val="00F21B70"/>
    <w:rsid w:val="00F21FCA"/>
    <w:rsid w:val="00F22985"/>
    <w:rsid w:val="00F236EC"/>
    <w:rsid w:val="00F24952"/>
    <w:rsid w:val="00F26BD5"/>
    <w:rsid w:val="00F278A4"/>
    <w:rsid w:val="00F27EAE"/>
    <w:rsid w:val="00F3026B"/>
    <w:rsid w:val="00F3126A"/>
    <w:rsid w:val="00F3173F"/>
    <w:rsid w:val="00F31C9B"/>
    <w:rsid w:val="00F31D2E"/>
    <w:rsid w:val="00F3383E"/>
    <w:rsid w:val="00F36C5B"/>
    <w:rsid w:val="00F43BF5"/>
    <w:rsid w:val="00F465A7"/>
    <w:rsid w:val="00F469BF"/>
    <w:rsid w:val="00F509A1"/>
    <w:rsid w:val="00F50B7C"/>
    <w:rsid w:val="00F52ACF"/>
    <w:rsid w:val="00F550E6"/>
    <w:rsid w:val="00F559D0"/>
    <w:rsid w:val="00F56FAD"/>
    <w:rsid w:val="00F57F3C"/>
    <w:rsid w:val="00F60106"/>
    <w:rsid w:val="00F64A6E"/>
    <w:rsid w:val="00F658B6"/>
    <w:rsid w:val="00F677FB"/>
    <w:rsid w:val="00F700FC"/>
    <w:rsid w:val="00F70366"/>
    <w:rsid w:val="00F70E5F"/>
    <w:rsid w:val="00F72E99"/>
    <w:rsid w:val="00F74345"/>
    <w:rsid w:val="00F74AAB"/>
    <w:rsid w:val="00F80A0A"/>
    <w:rsid w:val="00F82B19"/>
    <w:rsid w:val="00F86DE1"/>
    <w:rsid w:val="00F87DBB"/>
    <w:rsid w:val="00F90218"/>
    <w:rsid w:val="00F9157F"/>
    <w:rsid w:val="00F9212D"/>
    <w:rsid w:val="00F922C2"/>
    <w:rsid w:val="00F9235F"/>
    <w:rsid w:val="00F9549B"/>
    <w:rsid w:val="00F963CF"/>
    <w:rsid w:val="00F965DA"/>
    <w:rsid w:val="00FA0D03"/>
    <w:rsid w:val="00FA2670"/>
    <w:rsid w:val="00FA406A"/>
    <w:rsid w:val="00FA5100"/>
    <w:rsid w:val="00FA64A1"/>
    <w:rsid w:val="00FA738F"/>
    <w:rsid w:val="00FB0C52"/>
    <w:rsid w:val="00FB2B0D"/>
    <w:rsid w:val="00FB3E7B"/>
    <w:rsid w:val="00FB4339"/>
    <w:rsid w:val="00FB503A"/>
    <w:rsid w:val="00FB516C"/>
    <w:rsid w:val="00FB671A"/>
    <w:rsid w:val="00FB6ED3"/>
    <w:rsid w:val="00FC4625"/>
    <w:rsid w:val="00FD0236"/>
    <w:rsid w:val="00FD0E39"/>
    <w:rsid w:val="00FD0FA7"/>
    <w:rsid w:val="00FD18F4"/>
    <w:rsid w:val="00FD3ACB"/>
    <w:rsid w:val="00FD54DB"/>
    <w:rsid w:val="00FD54F9"/>
    <w:rsid w:val="00FD619F"/>
    <w:rsid w:val="00FD6E18"/>
    <w:rsid w:val="00FE00C6"/>
    <w:rsid w:val="00FE5971"/>
    <w:rsid w:val="00FE72E8"/>
    <w:rsid w:val="00FE7415"/>
    <w:rsid w:val="00FF2A7F"/>
    <w:rsid w:val="00FF310C"/>
    <w:rsid w:val="00FF4784"/>
    <w:rsid w:val="00FF5745"/>
    <w:rsid w:val="00FF6233"/>
    <w:rsid w:val="00FF7E06"/>
    <w:rsid w:val="01290F7E"/>
    <w:rsid w:val="015D1E09"/>
    <w:rsid w:val="02697903"/>
    <w:rsid w:val="02F96569"/>
    <w:rsid w:val="03EA7B21"/>
    <w:rsid w:val="05F83EAE"/>
    <w:rsid w:val="063E7D85"/>
    <w:rsid w:val="07293586"/>
    <w:rsid w:val="07295285"/>
    <w:rsid w:val="07636392"/>
    <w:rsid w:val="07770C56"/>
    <w:rsid w:val="092217DD"/>
    <w:rsid w:val="093A7294"/>
    <w:rsid w:val="0A263993"/>
    <w:rsid w:val="0A2D3AC2"/>
    <w:rsid w:val="0AA755DF"/>
    <w:rsid w:val="0B120D44"/>
    <w:rsid w:val="0BD27BF6"/>
    <w:rsid w:val="0C3B3C7D"/>
    <w:rsid w:val="0CAB2EAE"/>
    <w:rsid w:val="0D621C7D"/>
    <w:rsid w:val="0E73034D"/>
    <w:rsid w:val="0F13775A"/>
    <w:rsid w:val="0F5F45FE"/>
    <w:rsid w:val="0F9A112B"/>
    <w:rsid w:val="106D2F64"/>
    <w:rsid w:val="10B63710"/>
    <w:rsid w:val="10F10820"/>
    <w:rsid w:val="111C2F7A"/>
    <w:rsid w:val="11665CA1"/>
    <w:rsid w:val="13951726"/>
    <w:rsid w:val="14396509"/>
    <w:rsid w:val="14DD2C3C"/>
    <w:rsid w:val="16087E1D"/>
    <w:rsid w:val="17701D14"/>
    <w:rsid w:val="17735226"/>
    <w:rsid w:val="189F624C"/>
    <w:rsid w:val="1A1C66C0"/>
    <w:rsid w:val="1A42393B"/>
    <w:rsid w:val="1AAD45DE"/>
    <w:rsid w:val="1B046F80"/>
    <w:rsid w:val="1B3267B5"/>
    <w:rsid w:val="1B40161D"/>
    <w:rsid w:val="1B441859"/>
    <w:rsid w:val="1B6606B1"/>
    <w:rsid w:val="1C5E7925"/>
    <w:rsid w:val="1CFD070F"/>
    <w:rsid w:val="1D5F6196"/>
    <w:rsid w:val="1D6132A5"/>
    <w:rsid w:val="1D8E56D5"/>
    <w:rsid w:val="1E7A43DA"/>
    <w:rsid w:val="1FE7539E"/>
    <w:rsid w:val="20671BE0"/>
    <w:rsid w:val="20963CB8"/>
    <w:rsid w:val="20A81A1B"/>
    <w:rsid w:val="20B07FB6"/>
    <w:rsid w:val="20B646FB"/>
    <w:rsid w:val="213B74B1"/>
    <w:rsid w:val="215A2310"/>
    <w:rsid w:val="21DE318A"/>
    <w:rsid w:val="21EF5B80"/>
    <w:rsid w:val="22576990"/>
    <w:rsid w:val="22F47480"/>
    <w:rsid w:val="23DE1C48"/>
    <w:rsid w:val="240210CD"/>
    <w:rsid w:val="24BF09F7"/>
    <w:rsid w:val="252D53FE"/>
    <w:rsid w:val="25EC2D81"/>
    <w:rsid w:val="277057A2"/>
    <w:rsid w:val="29206EB8"/>
    <w:rsid w:val="29595666"/>
    <w:rsid w:val="29874881"/>
    <w:rsid w:val="29E325E0"/>
    <w:rsid w:val="2A452503"/>
    <w:rsid w:val="2BA936A8"/>
    <w:rsid w:val="2C315A5A"/>
    <w:rsid w:val="2C4B1C25"/>
    <w:rsid w:val="2D9E56F5"/>
    <w:rsid w:val="2E667F96"/>
    <w:rsid w:val="2E8226AB"/>
    <w:rsid w:val="2FD065E6"/>
    <w:rsid w:val="2FD96870"/>
    <w:rsid w:val="30580BC9"/>
    <w:rsid w:val="311E2ED7"/>
    <w:rsid w:val="315619EE"/>
    <w:rsid w:val="315C449C"/>
    <w:rsid w:val="31B82709"/>
    <w:rsid w:val="31D05482"/>
    <w:rsid w:val="32400B34"/>
    <w:rsid w:val="329E6876"/>
    <w:rsid w:val="333015F2"/>
    <w:rsid w:val="334B6320"/>
    <w:rsid w:val="33D934D4"/>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A872856"/>
    <w:rsid w:val="3B3763D1"/>
    <w:rsid w:val="3C2F6E1E"/>
    <w:rsid w:val="3C4F64BA"/>
    <w:rsid w:val="3CDA245A"/>
    <w:rsid w:val="3D1E06B7"/>
    <w:rsid w:val="3EDA0523"/>
    <w:rsid w:val="407A6407"/>
    <w:rsid w:val="4200449D"/>
    <w:rsid w:val="423A3BCC"/>
    <w:rsid w:val="424E57D2"/>
    <w:rsid w:val="42B26C49"/>
    <w:rsid w:val="433A6FE6"/>
    <w:rsid w:val="43480868"/>
    <w:rsid w:val="4350713C"/>
    <w:rsid w:val="436653E0"/>
    <w:rsid w:val="43C4431A"/>
    <w:rsid w:val="44B951CC"/>
    <w:rsid w:val="44CD14E0"/>
    <w:rsid w:val="44F20B0B"/>
    <w:rsid w:val="452E5F4C"/>
    <w:rsid w:val="45612018"/>
    <w:rsid w:val="458946E9"/>
    <w:rsid w:val="45A47C0E"/>
    <w:rsid w:val="46577FD6"/>
    <w:rsid w:val="46D955A7"/>
    <w:rsid w:val="47133957"/>
    <w:rsid w:val="47A07E0C"/>
    <w:rsid w:val="4870272E"/>
    <w:rsid w:val="49DC7715"/>
    <w:rsid w:val="4A023139"/>
    <w:rsid w:val="4A7B576F"/>
    <w:rsid w:val="4AF561A9"/>
    <w:rsid w:val="4C4A0649"/>
    <w:rsid w:val="4C7E5ECA"/>
    <w:rsid w:val="4C876AA5"/>
    <w:rsid w:val="4D0E00FB"/>
    <w:rsid w:val="4D176606"/>
    <w:rsid w:val="4DEC4FB0"/>
    <w:rsid w:val="4E075D8A"/>
    <w:rsid w:val="4EC00FAD"/>
    <w:rsid w:val="4F9843DC"/>
    <w:rsid w:val="4FC62A8C"/>
    <w:rsid w:val="4FE20F0D"/>
    <w:rsid w:val="4FE51552"/>
    <w:rsid w:val="50504C4B"/>
    <w:rsid w:val="509C6E7C"/>
    <w:rsid w:val="5162104E"/>
    <w:rsid w:val="53A039CC"/>
    <w:rsid w:val="53A1505A"/>
    <w:rsid w:val="54063E08"/>
    <w:rsid w:val="543437E8"/>
    <w:rsid w:val="54F73313"/>
    <w:rsid w:val="54F80955"/>
    <w:rsid w:val="555170A7"/>
    <w:rsid w:val="5587536D"/>
    <w:rsid w:val="559B174B"/>
    <w:rsid w:val="55CE0CF4"/>
    <w:rsid w:val="56B22A9C"/>
    <w:rsid w:val="57B72A76"/>
    <w:rsid w:val="57C3426C"/>
    <w:rsid w:val="57CE1F93"/>
    <w:rsid w:val="588743D1"/>
    <w:rsid w:val="5887701A"/>
    <w:rsid w:val="59C0439F"/>
    <w:rsid w:val="5ABE2233"/>
    <w:rsid w:val="5BDF5D95"/>
    <w:rsid w:val="5BFE7528"/>
    <w:rsid w:val="5E2467F1"/>
    <w:rsid w:val="5F1A2B43"/>
    <w:rsid w:val="5FB837BB"/>
    <w:rsid w:val="60CC405A"/>
    <w:rsid w:val="61E215D8"/>
    <w:rsid w:val="621B3775"/>
    <w:rsid w:val="62364782"/>
    <w:rsid w:val="6394356A"/>
    <w:rsid w:val="63C61B2C"/>
    <w:rsid w:val="63D40BE9"/>
    <w:rsid w:val="64102431"/>
    <w:rsid w:val="64A5243A"/>
    <w:rsid w:val="64F531DE"/>
    <w:rsid w:val="65373578"/>
    <w:rsid w:val="671F124A"/>
    <w:rsid w:val="677A33C6"/>
    <w:rsid w:val="681F6961"/>
    <w:rsid w:val="68610A2F"/>
    <w:rsid w:val="68805514"/>
    <w:rsid w:val="69316E2F"/>
    <w:rsid w:val="694E2071"/>
    <w:rsid w:val="69766163"/>
    <w:rsid w:val="697A3B33"/>
    <w:rsid w:val="69D44760"/>
    <w:rsid w:val="6A520EC7"/>
    <w:rsid w:val="6AF87E20"/>
    <w:rsid w:val="6B322639"/>
    <w:rsid w:val="6C636C38"/>
    <w:rsid w:val="6CFA7E69"/>
    <w:rsid w:val="6DB34098"/>
    <w:rsid w:val="6DB545B6"/>
    <w:rsid w:val="6DE02FB4"/>
    <w:rsid w:val="6E514CED"/>
    <w:rsid w:val="6EB563D5"/>
    <w:rsid w:val="6ED92677"/>
    <w:rsid w:val="6F225983"/>
    <w:rsid w:val="6FFC5590"/>
    <w:rsid w:val="706D1DD0"/>
    <w:rsid w:val="70856B87"/>
    <w:rsid w:val="70D527EE"/>
    <w:rsid w:val="715B5300"/>
    <w:rsid w:val="71D27F8A"/>
    <w:rsid w:val="72553024"/>
    <w:rsid w:val="73122968"/>
    <w:rsid w:val="731F5D5E"/>
    <w:rsid w:val="73C51AD5"/>
    <w:rsid w:val="741E793C"/>
    <w:rsid w:val="745E3944"/>
    <w:rsid w:val="7635099D"/>
    <w:rsid w:val="77762421"/>
    <w:rsid w:val="77B56B1F"/>
    <w:rsid w:val="780F09F4"/>
    <w:rsid w:val="78A90480"/>
    <w:rsid w:val="7A364017"/>
    <w:rsid w:val="7A8265E1"/>
    <w:rsid w:val="7B686D42"/>
    <w:rsid w:val="7B841746"/>
    <w:rsid w:val="7C6C5AC7"/>
    <w:rsid w:val="7CC6544B"/>
    <w:rsid w:val="7D0239FF"/>
    <w:rsid w:val="7D5E40CD"/>
    <w:rsid w:val="7DCD56F2"/>
    <w:rsid w:val="7F001CE7"/>
    <w:rsid w:val="7FE47E50"/>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locked="1" w:semiHidden="0" w:uiPriority="9" w:unhideWhenUsed="0" w:qFormat="1"/>
    <w:lsdException w:name="heading 2" w:locked="1" w:semiHidden="0" w:uiPriority="9" w:qFormat="1"/>
    <w:lsdException w:name="heading 3" w:locked="1" w:semiHidden="0"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uiPriority="0"/>
    <w:lsdException w:name="index 2" w:locked="1" w:uiPriority="0"/>
    <w:lsdException w:name="index 3" w:locked="1" w:uiPriority="0"/>
    <w:lsdException w:name="index 4" w:locked="1" w:uiPriority="0"/>
    <w:lsdException w:name="index 5" w:locked="1" w:uiPriority="0"/>
    <w:lsdException w:name="index 6" w:locked="1" w:uiPriority="0"/>
    <w:lsdException w:name="index 7" w:locked="1" w:uiPriority="0"/>
    <w:lsdException w:name="index 8" w:locked="1" w:uiPriority="0"/>
    <w:lsdException w:name="index 9" w:locked="1" w:uiPriority="0"/>
    <w:lsdException w:name="toc 1" w:locked="1" w:semiHidden="0" w:uiPriority="39" w:qFormat="1"/>
    <w:lsdException w:name="toc 2" w:locked="1" w:semiHidden="0" w:uiPriority="39" w:qFormat="1"/>
    <w:lsdException w:name="toc 3" w:locked="1" w:semiHidden="0" w:uiPriority="39" w:qFormat="1"/>
    <w:lsdException w:name="toc 4" w:locked="1" w:semiHidden="0" w:uiPriority="39" w:qFormat="1"/>
    <w:lsdException w:name="toc 5" w:locked="1" w:semiHidden="0" w:uiPriority="39" w:qFormat="1"/>
    <w:lsdException w:name="toc 6" w:locked="1" w:semiHidden="0" w:uiPriority="39" w:qFormat="1"/>
    <w:lsdException w:name="toc 7" w:locked="1" w:semiHidden="0" w:uiPriority="39" w:qFormat="1"/>
    <w:lsdException w:name="toc 8" w:locked="1" w:semiHidden="0" w:uiPriority="39" w:qFormat="1"/>
    <w:lsdException w:name="toc 9" w:locked="1" w:semiHidden="0" w:uiPriority="39" w:qFormat="1"/>
    <w:lsdException w:name="Normal Indent" w:locked="1" w:semiHidden="0" w:uiPriority="0" w:unhideWhenUsed="0" w:qFormat="1"/>
    <w:lsdException w:name="footnote text" w:locked="1" w:uiPriority="0"/>
    <w:lsdException w:name="annotation text" w:semiHidden="0" w:unhideWhenUsed="0" w:qFormat="1"/>
    <w:lsdException w:name="header" w:semiHidden="0" w:unhideWhenUsed="0" w:qFormat="1"/>
    <w:lsdException w:name="footer" w:semiHidden="0" w:unhideWhenUsed="0" w:qFormat="1"/>
    <w:lsdException w:name="index heading" w:locked="1" w:uiPriority="0"/>
    <w:lsdException w:name="caption" w:locked="1" w:uiPriority="0" w:qFormat="1"/>
    <w:lsdException w:name="table of figures" w:locked="1" w:uiPriority="0"/>
    <w:lsdException w:name="envelope address" w:locked="1" w:uiPriority="0"/>
    <w:lsdException w:name="envelope return" w:locked="1" w:uiPriority="0"/>
    <w:lsdException w:name="footnote reference" w:locked="1" w:uiPriority="0"/>
    <w:lsdException w:name="annotation reference" w:semiHidden="0" w:unhideWhenUsed="0" w:qFormat="1"/>
    <w:lsdException w:name="line number" w:locked="1" w:uiPriority="0"/>
    <w:lsdException w:name="page number" w:locked="1" w:semiHidden="0" w:uiPriority="0" w:unhideWhenUsed="0"/>
    <w:lsdException w:name="endnote reference" w:locked="1" w:uiPriority="0"/>
    <w:lsdException w:name="endnote text" w:locked="1" w:uiPriority="0"/>
    <w:lsdException w:name="table of authorities" w:locked="1" w:uiPriority="0"/>
    <w:lsdException w:name="macro" w:locked="1" w:uiPriority="0"/>
    <w:lsdException w:name="toa heading" w:locked="1" w:uiPriority="0"/>
    <w:lsdException w:name="List" w:locked="1" w:uiPriority="0"/>
    <w:lsdException w:name="List Bullet" w:locked="1" w:uiPriority="0"/>
    <w:lsdException w:name="List Number" w:locked="1" w:semiHidden="0" w:uiPriority="0" w:unhideWhenUsed="0"/>
    <w:lsdException w:name="List 2" w:locked="1" w:uiPriority="0"/>
    <w:lsdException w:name="List 3" w:locked="1" w:uiPriority="0"/>
    <w:lsdException w:name="List 4" w:locked="1" w:semiHidden="0" w:uiPriority="0" w:unhideWhenUsed="0"/>
    <w:lsdException w:name="List 5" w:locked="1" w:semiHidden="0" w:uiPriority="0" w:unhideWhenUsed="0"/>
    <w:lsdException w:name="List Bullet 2" w:locked="1" w:uiPriority="0"/>
    <w:lsdException w:name="List Bullet 3" w:locked="1" w:uiPriority="0"/>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semiHidden="0" w:uiPriority="0" w:unhideWhenUsed="0" w:qFormat="1"/>
    <w:lsdException w:name="Closing" w:locked="1" w:uiPriority="0"/>
    <w:lsdException w:name="Signature" w:locked="1" w:uiPriority="0"/>
    <w:lsdException w:name="Default Paragraph Font" w:uiPriority="1"/>
    <w:lsdException w:name="Body Text" w:semiHidden="0" w:uiPriority="0" w:unhideWhenUsed="0" w:qFormat="1"/>
    <w:lsdException w:name="Body Text Indent" w:semiHidden="0" w:unhideWhenUsed="0" w:qFormat="1"/>
    <w:lsdException w:name="List Continue" w:locked="1" w:uiPriority="0"/>
    <w:lsdException w:name="List Continue 2" w:locked="1" w:uiPriority="0"/>
    <w:lsdException w:name="List Continue 3" w:locked="1" w:uiPriority="0"/>
    <w:lsdException w:name="List Continue 4" w:locked="1" w:uiPriority="0"/>
    <w:lsdException w:name="List Continue 5" w:locked="1" w:uiPriority="0"/>
    <w:lsdException w:name="Message Header" w:locked="1" w:uiPriority="0"/>
    <w:lsdException w:name="Subtitle" w:locked="1" w:semiHidden="0" w:uiPriority="0" w:unhideWhenUsed="0" w:qFormat="1"/>
    <w:lsdException w:name="Salutation" w:locked="1" w:semiHidden="0" w:uiPriority="0" w:unhideWhenUsed="0"/>
    <w:lsdException w:name="Date" w:semiHidden="0" w:uiPriority="0" w:unhideWhenUsed="0" w:qFormat="1"/>
    <w:lsdException w:name="Body Text First Indent" w:locked="1" w:semiHidden="0" w:uiPriority="0" w:unhideWhenUsed="0" w:qFormat="1"/>
    <w:lsdException w:name="Body Text First Indent 2" w:locked="1" w:semiHidden="0" w:unhideWhenUsed="0" w:qFormat="1"/>
    <w:lsdException w:name="Note Heading" w:locked="1" w:uiPriority="0"/>
    <w:lsdException w:name="Body Text 2" w:locked="1" w:uiPriority="0"/>
    <w:lsdException w:name="Body Text 3" w:locked="1" w:uiPriority="0"/>
    <w:lsdException w:name="Body Text Indent 2" w:locked="1" w:semiHidden="0" w:qFormat="1"/>
    <w:lsdException w:name="Body Text Indent 3" w:locked="1" w:semiHidden="0" w:qFormat="1"/>
    <w:lsdException w:name="Block Text" w:locked="1" w:uiPriority="0"/>
    <w:lsdException w:name="Hyperlink" w:locked="1" w:semiHidden="0" w:qFormat="1"/>
    <w:lsdException w:name="FollowedHyperlink" w:locked="1" w:semiHidden="0" w:qFormat="1"/>
    <w:lsdException w:name="Strong" w:locked="1" w:semiHidden="0" w:uiPriority="22" w:unhideWhenUsed="0" w:qFormat="1"/>
    <w:lsdException w:name="Emphasis" w:locked="1" w:semiHidden="0" w:uiPriority="0" w:unhideWhenUsed="0" w:qFormat="1"/>
    <w:lsdException w:name="Document Map" w:locked="1" w:semiHidden="0" w:qFormat="1"/>
    <w:lsdException w:name="Plain Text" w:locked="1" w:semiHidden="0" w:unhideWhenUsed="0" w:qFormat="1"/>
    <w:lsdException w:name="E-mail Signature" w:locked="1" w:uiPriority="0"/>
    <w:lsdException w:name="Normal (Web)" w:semiHidden="0" w:uiPriority="0" w:unhideWhenUsed="0" w:qFormat="1"/>
    <w:lsdException w:name="HTML Acronym" w:locked="1" w:uiPriority="0"/>
    <w:lsdException w:name="HTML Address" w:locked="1" w:uiPriority="0"/>
    <w:lsdException w:name="HTML Cite" w:locked="1" w:uiPriority="0"/>
    <w:lsdException w:name="HTML Code" w:locked="1" w:uiPriority="0"/>
    <w:lsdException w:name="HTML Definition" w:locked="1" w:uiPriority="0"/>
    <w:lsdException w:name="HTML Keyboard" w:locked="1" w:uiPriority="0"/>
    <w:lsdException w:name="HTML Preformatted" w:locked="1" w:uiPriority="0"/>
    <w:lsdException w:name="HTML Sample" w:locked="1" w:uiPriority="0"/>
    <w:lsdException w:name="HTML Typewriter" w:locked="1" w:uiPriority="0"/>
    <w:lsdException w:name="HTML Variable" w:locked="1" w:uiPriority="0"/>
    <w:lsdException w:name="Normal Table" w:qFormat="1"/>
    <w:lsdException w:name="annotation subject" w:unhideWhenUsed="0" w:qFormat="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0" w:unhideWhenUsed="0" w:qFormat="1"/>
    <w:lsdException w:name="Table Grid" w:semiHidden="0" w:unhideWhenUsed="0" w:qFormat="1"/>
    <w:lsdException w:name="Table Theme" w:locked="1"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uiPriority w:val="9"/>
    <w:qFormat/>
    <w:locked/>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Heading2">
    <w:name w:val="heading 2"/>
    <w:basedOn w:val="Normal"/>
    <w:next w:val="Normal"/>
    <w:link w:val="2Char0"/>
    <w:uiPriority w:val="9"/>
    <w:unhideWhenUsed/>
    <w:qFormat/>
    <w:locked/>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link w:val="3Char"/>
    <w:unhideWhenUsed/>
    <w:qFormat/>
    <w:locked/>
    <w:pPr>
      <w:widowControl/>
      <w:numPr>
        <w:ilvl w:val="2"/>
        <w:numId w:val="1"/>
      </w:numPr>
      <w:spacing w:beforeLines="50" w:afterLines="50"/>
      <w:jc w:val="left"/>
      <w:outlineLvl w:val="2"/>
    </w:pPr>
    <w:rPr>
      <w:rFonts w:ascii="Calibri" w:hAnsi="Calibri"/>
      <w:b/>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TOC7">
    <w:name w:val="toc 7"/>
    <w:basedOn w:val="Normal"/>
    <w:next w:val="Normal"/>
    <w:uiPriority w:val="39"/>
    <w:unhideWhenUsed/>
    <w:qFormat/>
    <w:locked/>
    <w:pPr>
      <w:ind w:left="1260"/>
      <w:jc w:val="left"/>
    </w:pPr>
    <w:rPr>
      <w:rFonts w:ascii="Calibri" w:hAnsi="Calibri"/>
      <w:sz w:val="18"/>
      <w:szCs w:val="18"/>
    </w:rPr>
  </w:style>
  <w:style w:type="paragraph" w:styleId="NormalIndent">
    <w:name w:val="Normal Indent"/>
    <w:basedOn w:val="Normal"/>
    <w:link w:val="Char13"/>
    <w:qFormat/>
    <w:locked/>
    <w:pPr>
      <w:ind w:firstLine="420"/>
    </w:pPr>
    <w:rPr>
      <w:rFonts w:ascii="Calibri" w:hAnsi="Calibri"/>
      <w:sz w:val="24"/>
      <w:szCs w:val="22"/>
    </w:rPr>
  </w:style>
  <w:style w:type="paragraph" w:styleId="DocumentMap">
    <w:name w:val="Document Map"/>
    <w:basedOn w:val="Normal"/>
    <w:link w:val="Char9"/>
    <w:uiPriority w:val="99"/>
    <w:unhideWhenUsed/>
    <w:qFormat/>
    <w:locked/>
    <w:rPr>
      <w:rFonts w:ascii="宋体"/>
      <w:sz w:val="18"/>
      <w:szCs w:val="18"/>
    </w:rPr>
  </w:style>
  <w:style w:type="paragraph" w:styleId="CommentText">
    <w:name w:val="annotation text"/>
    <w:basedOn w:val="Normal"/>
    <w:link w:val="Char3"/>
    <w:uiPriority w:val="99"/>
    <w:qFormat/>
    <w:pPr>
      <w:jc w:val="left"/>
    </w:pPr>
    <w:rPr>
      <w:kern w:val="0"/>
      <w:sz w:val="24"/>
      <w:szCs w:val="20"/>
    </w:rPr>
  </w:style>
  <w:style w:type="paragraph" w:styleId="BodyText">
    <w:name w:val="Body Text"/>
    <w:basedOn w:val="Normal"/>
    <w:link w:val="Char2"/>
    <w:qFormat/>
    <w:pPr>
      <w:widowControl/>
      <w:snapToGrid w:val="0"/>
      <w:spacing w:before="60" w:after="160" w:line="259" w:lineRule="auto"/>
      <w:ind w:right="113"/>
    </w:pPr>
    <w:rPr>
      <w:kern w:val="0"/>
      <w:sz w:val="18"/>
      <w:szCs w:val="20"/>
    </w:rPr>
  </w:style>
  <w:style w:type="paragraph" w:styleId="BodyTextIndent">
    <w:name w:val="Body Text Indent"/>
    <w:basedOn w:val="Normal"/>
    <w:link w:val="Char8"/>
    <w:uiPriority w:val="99"/>
    <w:qFormat/>
    <w:pPr>
      <w:spacing w:after="120"/>
      <w:ind w:left="420" w:leftChars="200"/>
    </w:pPr>
    <w:rPr>
      <w:kern w:val="0"/>
      <w:sz w:val="24"/>
      <w:szCs w:val="20"/>
    </w:rPr>
  </w:style>
  <w:style w:type="paragraph" w:styleId="TOC5">
    <w:name w:val="toc 5"/>
    <w:basedOn w:val="Normal"/>
    <w:next w:val="Normal"/>
    <w:uiPriority w:val="39"/>
    <w:unhideWhenUsed/>
    <w:qFormat/>
    <w:locked/>
    <w:pPr>
      <w:ind w:left="840"/>
      <w:jc w:val="left"/>
    </w:pPr>
    <w:rPr>
      <w:rFonts w:ascii="Calibri" w:hAnsi="Calibri"/>
      <w:sz w:val="18"/>
      <w:szCs w:val="18"/>
    </w:rPr>
  </w:style>
  <w:style w:type="paragraph" w:styleId="TOC3">
    <w:name w:val="toc 3"/>
    <w:basedOn w:val="Normal"/>
    <w:next w:val="Normal"/>
    <w:uiPriority w:val="39"/>
    <w:unhideWhenUsed/>
    <w:qFormat/>
    <w:locked/>
    <w:pPr>
      <w:ind w:left="420"/>
      <w:jc w:val="left"/>
    </w:pPr>
    <w:rPr>
      <w:rFonts w:ascii="Calibri" w:hAnsi="Calibri"/>
      <w:i/>
      <w:iCs/>
      <w:sz w:val="20"/>
      <w:szCs w:val="20"/>
    </w:rPr>
  </w:style>
  <w:style w:type="paragraph" w:styleId="PlainText">
    <w:name w:val="Plain Text"/>
    <w:basedOn w:val="Normal"/>
    <w:link w:val="Char16"/>
    <w:uiPriority w:val="99"/>
    <w:qFormat/>
    <w:locked/>
    <w:rPr>
      <w:rFonts w:ascii="宋体" w:hAnsi="Courier New"/>
      <w:sz w:val="24"/>
      <w:szCs w:val="21"/>
    </w:rPr>
  </w:style>
  <w:style w:type="paragraph" w:styleId="TOC8">
    <w:name w:val="toc 8"/>
    <w:basedOn w:val="Normal"/>
    <w:next w:val="Normal"/>
    <w:uiPriority w:val="39"/>
    <w:unhideWhenUsed/>
    <w:qFormat/>
    <w:locked/>
    <w:pPr>
      <w:ind w:left="1470"/>
      <w:jc w:val="left"/>
    </w:pPr>
    <w:rPr>
      <w:rFonts w:ascii="Calibri" w:hAnsi="Calibri"/>
      <w:sz w:val="18"/>
      <w:szCs w:val="18"/>
    </w:rPr>
  </w:style>
  <w:style w:type="paragraph" w:styleId="Date">
    <w:name w:val="Date"/>
    <w:basedOn w:val="Normal"/>
    <w:next w:val="Normal"/>
    <w:link w:val="Char0"/>
    <w:qFormat/>
    <w:pPr>
      <w:ind w:left="100" w:leftChars="2500"/>
    </w:pPr>
    <w:rPr>
      <w:kern w:val="0"/>
      <w:sz w:val="24"/>
      <w:szCs w:val="20"/>
    </w:rPr>
  </w:style>
  <w:style w:type="paragraph" w:styleId="BodyTextIndent2">
    <w:name w:val="Body Text Indent 2"/>
    <w:basedOn w:val="Normal"/>
    <w:link w:val="2Char1"/>
    <w:uiPriority w:val="99"/>
    <w:unhideWhenUsed/>
    <w:qFormat/>
    <w:locked/>
    <w:pPr>
      <w:spacing w:after="120" w:line="480" w:lineRule="auto"/>
      <w:ind w:left="420" w:leftChars="200"/>
    </w:pPr>
  </w:style>
  <w:style w:type="paragraph" w:styleId="BalloonText">
    <w:name w:val="Balloon Text"/>
    <w:basedOn w:val="Normal"/>
    <w:link w:val="Char5"/>
    <w:uiPriority w:val="99"/>
    <w:qFormat/>
    <w:rPr>
      <w:kern w:val="0"/>
      <w:sz w:val="18"/>
      <w:szCs w:val="20"/>
    </w:rPr>
  </w:style>
  <w:style w:type="paragraph" w:styleId="Footer">
    <w:name w:val="footer"/>
    <w:basedOn w:val="Normal"/>
    <w:link w:val="Char"/>
    <w:uiPriority w:val="99"/>
    <w:qFormat/>
    <w:pPr>
      <w:tabs>
        <w:tab w:val="center" w:pos="4153"/>
        <w:tab w:val="right" w:pos="8306"/>
      </w:tabs>
      <w:snapToGrid w:val="0"/>
      <w:jc w:val="left"/>
    </w:pPr>
    <w:rPr>
      <w:kern w:val="0"/>
      <w:sz w:val="18"/>
      <w:szCs w:val="20"/>
    </w:rPr>
  </w:style>
  <w:style w:type="paragraph" w:styleId="Header">
    <w:name w:val="header"/>
    <w:basedOn w:val="Normal"/>
    <w:link w:val="Char7"/>
    <w:uiPriority w:val="99"/>
    <w:qFormat/>
    <w:pPr>
      <w:pBdr>
        <w:bottom w:val="single" w:sz="6" w:space="1" w:color="auto"/>
      </w:pBdr>
      <w:tabs>
        <w:tab w:val="center" w:pos="4153"/>
        <w:tab w:val="right" w:pos="8306"/>
      </w:tabs>
      <w:snapToGrid w:val="0"/>
      <w:jc w:val="center"/>
    </w:pPr>
    <w:rPr>
      <w:kern w:val="0"/>
      <w:sz w:val="18"/>
      <w:szCs w:val="20"/>
    </w:rPr>
  </w:style>
  <w:style w:type="paragraph" w:styleId="TOC1">
    <w:name w:val="toc 1"/>
    <w:basedOn w:val="Normal"/>
    <w:next w:val="Normal"/>
    <w:uiPriority w:val="39"/>
    <w:unhideWhenUsed/>
    <w:qFormat/>
    <w:locked/>
    <w:pPr>
      <w:tabs>
        <w:tab w:val="right" w:leader="dot" w:pos="8296"/>
      </w:tabs>
      <w:spacing w:before="120" w:after="120"/>
      <w:jc w:val="center"/>
    </w:pPr>
    <w:rPr>
      <w:rFonts w:ascii="Calibri" w:hAnsi="Calibri"/>
      <w:b/>
      <w:sz w:val="44"/>
      <w:szCs w:val="44"/>
    </w:rPr>
  </w:style>
  <w:style w:type="paragraph" w:styleId="TOC4">
    <w:name w:val="toc 4"/>
    <w:basedOn w:val="Normal"/>
    <w:next w:val="Normal"/>
    <w:uiPriority w:val="39"/>
    <w:unhideWhenUsed/>
    <w:qFormat/>
    <w:locked/>
    <w:pPr>
      <w:ind w:left="630"/>
      <w:jc w:val="left"/>
    </w:pPr>
    <w:rPr>
      <w:rFonts w:ascii="Calibri" w:hAnsi="Calibri"/>
      <w:sz w:val="18"/>
      <w:szCs w:val="18"/>
    </w:rPr>
  </w:style>
  <w:style w:type="paragraph" w:styleId="TOC6">
    <w:name w:val="toc 6"/>
    <w:basedOn w:val="Normal"/>
    <w:next w:val="Normal"/>
    <w:uiPriority w:val="39"/>
    <w:unhideWhenUsed/>
    <w:qFormat/>
    <w:locked/>
    <w:pPr>
      <w:ind w:left="1050"/>
      <w:jc w:val="left"/>
    </w:pPr>
    <w:rPr>
      <w:rFonts w:ascii="Calibri" w:hAnsi="Calibri"/>
      <w:sz w:val="18"/>
      <w:szCs w:val="18"/>
    </w:rPr>
  </w:style>
  <w:style w:type="paragraph" w:styleId="BodyTextIndent3">
    <w:name w:val="Body Text Indent 3"/>
    <w:basedOn w:val="Normal"/>
    <w:link w:val="3Char0"/>
    <w:uiPriority w:val="99"/>
    <w:unhideWhenUsed/>
    <w:qFormat/>
    <w:locked/>
    <w:pPr>
      <w:spacing w:line="500" w:lineRule="exact"/>
      <w:ind w:firstLine="570"/>
    </w:pPr>
    <w:rPr>
      <w:sz w:val="24"/>
      <w:szCs w:val="20"/>
    </w:rPr>
  </w:style>
  <w:style w:type="paragraph" w:styleId="TOC2">
    <w:name w:val="toc 2"/>
    <w:basedOn w:val="Normal"/>
    <w:next w:val="Normal"/>
    <w:uiPriority w:val="39"/>
    <w:unhideWhenUsed/>
    <w:qFormat/>
    <w:locked/>
    <w:pPr>
      <w:ind w:left="210"/>
      <w:jc w:val="left"/>
    </w:pPr>
    <w:rPr>
      <w:rFonts w:ascii="Calibri" w:hAnsi="Calibri"/>
      <w:smallCaps/>
      <w:sz w:val="20"/>
      <w:szCs w:val="20"/>
    </w:rPr>
  </w:style>
  <w:style w:type="paragraph" w:styleId="TOC9">
    <w:name w:val="toc 9"/>
    <w:basedOn w:val="Normal"/>
    <w:next w:val="Normal"/>
    <w:uiPriority w:val="39"/>
    <w:unhideWhenUsed/>
    <w:qFormat/>
    <w:locked/>
    <w:pPr>
      <w:ind w:left="1680"/>
      <w:jc w:val="left"/>
    </w:pPr>
    <w:rPr>
      <w:rFonts w:ascii="Calibri" w:hAnsi="Calibri"/>
      <w:sz w:val="18"/>
      <w:szCs w:val="18"/>
    </w:rPr>
  </w:style>
  <w:style w:type="paragraph" w:styleId="NormalWeb">
    <w:name w:val="Normal (Web)"/>
    <w:basedOn w:val="Normal"/>
    <w:link w:val="Char1"/>
    <w:qFormat/>
    <w:pPr>
      <w:widowControl/>
      <w:spacing w:before="100" w:beforeAutospacing="1" w:after="100" w:afterAutospacing="1"/>
      <w:jc w:val="left"/>
    </w:pPr>
    <w:rPr>
      <w:rFonts w:ascii="宋体" w:hAnsi="宋体"/>
      <w:kern w:val="0"/>
      <w:sz w:val="24"/>
      <w:szCs w:val="20"/>
    </w:rPr>
  </w:style>
  <w:style w:type="paragraph" w:styleId="Title">
    <w:name w:val="Title"/>
    <w:basedOn w:val="Normal"/>
    <w:next w:val="Normal"/>
    <w:link w:val="Char11"/>
    <w:qFormat/>
    <w:locked/>
    <w:pPr>
      <w:spacing w:line="360" w:lineRule="auto"/>
      <w:jc w:val="left"/>
      <w:outlineLvl w:val="1"/>
    </w:pPr>
    <w:rPr>
      <w:rFonts w:ascii="Cambria" w:hAnsi="Cambria"/>
      <w:b/>
      <w:bCs/>
      <w:sz w:val="24"/>
      <w:szCs w:val="32"/>
    </w:rPr>
  </w:style>
  <w:style w:type="paragraph" w:styleId="CommentSubject">
    <w:name w:val="annotation subject"/>
    <w:basedOn w:val="CommentText"/>
    <w:next w:val="CommentText"/>
    <w:link w:val="Char6"/>
    <w:uiPriority w:val="99"/>
    <w:semiHidden/>
    <w:qFormat/>
    <w:rPr>
      <w:b/>
      <w:kern w:val="2"/>
    </w:rPr>
  </w:style>
  <w:style w:type="paragraph" w:styleId="BodyTextFirstIndent">
    <w:name w:val="Body Text First Indent"/>
    <w:basedOn w:val="BodyText"/>
    <w:link w:val="Char12"/>
    <w:qFormat/>
    <w:locked/>
    <w:pPr>
      <w:widowControl w:val="0"/>
      <w:snapToGrid/>
      <w:spacing w:before="0" w:after="0" w:line="240" w:lineRule="auto"/>
      <w:ind w:right="0" w:firstLine="420" w:firstLineChars="100"/>
    </w:pPr>
    <w:rPr>
      <w:kern w:val="2"/>
      <w:sz w:val="21"/>
      <w:szCs w:val="24"/>
    </w:rPr>
  </w:style>
  <w:style w:type="paragraph" w:styleId="BodyTextFirstIndent2">
    <w:name w:val="Body Text First Indent 2"/>
    <w:basedOn w:val="Normal"/>
    <w:next w:val="Normal"/>
    <w:link w:val="2Char"/>
    <w:uiPriority w:val="99"/>
    <w:qFormat/>
    <w:locked/>
    <w:pPr>
      <w:spacing w:after="120"/>
      <w:ind w:left="420" w:firstLine="420" w:leftChars="200" w:firstLineChars="200"/>
    </w:p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locked/>
    <w:rPr>
      <w:b/>
      <w:bCs/>
    </w:rPr>
  </w:style>
  <w:style w:type="character" w:styleId="PageNumber">
    <w:name w:val="page number"/>
    <w:basedOn w:val="DefaultParagraphFont"/>
    <w:locked/>
  </w:style>
  <w:style w:type="character" w:styleId="FollowedHyperlink">
    <w:name w:val="FollowedHyperlink"/>
    <w:uiPriority w:val="99"/>
    <w:unhideWhenUsed/>
    <w:qFormat/>
    <w:locked/>
    <w:rPr>
      <w:color w:val="0065CF"/>
      <w:u w:val="none"/>
    </w:rPr>
  </w:style>
  <w:style w:type="character" w:styleId="Hyperlink">
    <w:name w:val="Hyperlink"/>
    <w:uiPriority w:val="99"/>
    <w:unhideWhenUsed/>
    <w:qFormat/>
    <w:locked/>
    <w:rPr>
      <w:color w:val="0000FF"/>
      <w:u w:val="single"/>
    </w:rPr>
  </w:style>
  <w:style w:type="character" w:styleId="CommentReference">
    <w:name w:val="annotation reference"/>
    <w:uiPriority w:val="99"/>
    <w:qFormat/>
    <w:rPr>
      <w:sz w:val="21"/>
    </w:rPr>
  </w:style>
  <w:style w:type="character" w:customStyle="1" w:styleId="Char">
    <w:name w:val="页脚 Char"/>
    <w:link w:val="Footer"/>
    <w:uiPriority w:val="99"/>
    <w:qFormat/>
    <w:locked/>
    <w:rPr>
      <w:sz w:val="18"/>
    </w:rPr>
  </w:style>
  <w:style w:type="character" w:customStyle="1" w:styleId="Char0">
    <w:name w:val="日期 Char"/>
    <w:link w:val="Date"/>
    <w:locked/>
    <w:rPr>
      <w:rFonts w:ascii="Times New Roman" w:eastAsia="宋体" w:hAnsi="Times New Roman"/>
      <w:sz w:val="24"/>
    </w:rPr>
  </w:style>
  <w:style w:type="character" w:customStyle="1" w:styleId="a">
    <w:name w:val="页脚 字符"/>
    <w:basedOn w:val="DefaultParagraphFont"/>
    <w:uiPriority w:val="99"/>
  </w:style>
  <w:style w:type="character" w:customStyle="1" w:styleId="Char1">
    <w:name w:val="普通(网站) Char"/>
    <w:link w:val="NormalWeb"/>
    <w:locked/>
    <w:rPr>
      <w:rFonts w:ascii="宋体" w:eastAsia="宋体" w:hAnsi="宋体"/>
      <w:sz w:val="24"/>
    </w:rPr>
  </w:style>
  <w:style w:type="character" w:customStyle="1" w:styleId="1">
    <w:name w:val="正文文本 字符1"/>
    <w:semiHidden/>
    <w:rPr>
      <w:rFonts w:ascii="Times New Roman" w:eastAsia="宋体" w:hAnsi="Times New Roman"/>
      <w:sz w:val="24"/>
    </w:rPr>
  </w:style>
  <w:style w:type="character" w:customStyle="1" w:styleId="Char2">
    <w:name w:val="正文文本 Char"/>
    <w:link w:val="BodyText"/>
    <w:locked/>
    <w:rPr>
      <w:sz w:val="18"/>
    </w:rPr>
  </w:style>
  <w:style w:type="character" w:customStyle="1" w:styleId="Char3">
    <w:name w:val="批注文字 Char"/>
    <w:link w:val="CommentText"/>
    <w:uiPriority w:val="99"/>
    <w:qFormat/>
    <w:locked/>
    <w:rPr>
      <w:rFonts w:ascii="Times New Roman" w:eastAsia="宋体" w:hAnsi="Times New Roman"/>
      <w:sz w:val="24"/>
    </w:rPr>
  </w:style>
  <w:style w:type="character" w:customStyle="1" w:styleId="Char4">
    <w:name w:val="表格 Char"/>
    <w:link w:val="a0"/>
    <w:locked/>
    <w:rPr>
      <w:rFonts w:ascii="宋体"/>
      <w:sz w:val="21"/>
    </w:rPr>
  </w:style>
  <w:style w:type="paragraph" w:customStyle="1" w:styleId="a0">
    <w:name w:val="表格"/>
    <w:basedOn w:val="Normal"/>
    <w:next w:val="Normal"/>
    <w:link w:val="Char4"/>
    <w:qFormat/>
    <w:pPr>
      <w:adjustRightInd w:val="0"/>
      <w:snapToGrid w:val="0"/>
      <w:spacing w:beforeLines="10" w:afterLines="10" w:line="259" w:lineRule="auto"/>
      <w:jc w:val="center"/>
    </w:pPr>
    <w:rPr>
      <w:rFonts w:ascii="宋体"/>
      <w:kern w:val="0"/>
      <w:szCs w:val="20"/>
    </w:rPr>
  </w:style>
  <w:style w:type="character" w:customStyle="1" w:styleId="a1">
    <w:name w:val="日期 字符"/>
    <w:semiHidden/>
    <w:rPr>
      <w:rFonts w:ascii="Times New Roman" w:eastAsia="宋体" w:hAnsi="Times New Roman"/>
      <w:sz w:val="24"/>
    </w:rPr>
  </w:style>
  <w:style w:type="character" w:customStyle="1" w:styleId="Char5">
    <w:name w:val="批注框文本 Char"/>
    <w:link w:val="BalloonText"/>
    <w:uiPriority w:val="99"/>
    <w:semiHidden/>
    <w:qFormat/>
    <w:locked/>
    <w:rPr>
      <w:rFonts w:ascii="Times New Roman" w:eastAsia="宋体" w:hAnsi="Times New Roman"/>
      <w:sz w:val="18"/>
    </w:rPr>
  </w:style>
  <w:style w:type="character" w:customStyle="1" w:styleId="Char6">
    <w:name w:val="批注主题 Char"/>
    <w:link w:val="CommentSubject"/>
    <w:uiPriority w:val="99"/>
    <w:semiHidden/>
    <w:qFormat/>
    <w:locked/>
    <w:rPr>
      <w:rFonts w:ascii="Times New Roman" w:eastAsia="宋体" w:hAnsi="Times New Roman"/>
      <w:b/>
      <w:kern w:val="2"/>
      <w:sz w:val="24"/>
    </w:rPr>
  </w:style>
  <w:style w:type="character" w:customStyle="1" w:styleId="Char7">
    <w:name w:val="页眉 Char"/>
    <w:link w:val="Header"/>
    <w:uiPriority w:val="99"/>
    <w:qFormat/>
    <w:locked/>
    <w:rPr>
      <w:sz w:val="18"/>
    </w:rPr>
  </w:style>
  <w:style w:type="character" w:customStyle="1" w:styleId="10">
    <w:name w:val="批注文字 字符1"/>
    <w:semiHidden/>
    <w:rPr>
      <w:rFonts w:ascii="Times New Roman" w:eastAsia="宋体" w:hAnsi="Times New Roman"/>
      <w:sz w:val="24"/>
    </w:rPr>
  </w:style>
  <w:style w:type="character" w:customStyle="1" w:styleId="Char8">
    <w:name w:val="正文文本缩进 Char"/>
    <w:link w:val="BodyTextIndent"/>
    <w:uiPriority w:val="99"/>
    <w:qFormat/>
    <w:locked/>
    <w:rPr>
      <w:rFonts w:ascii="Times New Roman" w:eastAsia="宋体" w:hAnsi="Times New Roman"/>
      <w:sz w:val="24"/>
    </w:rPr>
  </w:style>
  <w:style w:type="paragraph" w:customStyle="1" w:styleId="100">
    <w:name w:val="正文_10"/>
    <w:qFormat/>
    <w:pPr>
      <w:widowControl w:val="0"/>
      <w:jc w:val="both"/>
    </w:pPr>
    <w:rPr>
      <w:rFonts w:ascii="Times New Roman" w:eastAsia="宋体" w:hAnsi="Times New Roman" w:cs="Times New Roman"/>
      <w:kern w:val="2"/>
      <w:sz w:val="21"/>
      <w:szCs w:val="22"/>
      <w:lang w:val="en-US" w:eastAsia="zh-CN" w:bidi="ar-SA"/>
    </w:rPr>
  </w:style>
  <w:style w:type="paragraph" w:customStyle="1" w:styleId="2">
    <w:name w:val="普通(网站)2"/>
    <w:basedOn w:val="Normal"/>
    <w:qFormat/>
    <w:pPr>
      <w:widowControl/>
      <w:spacing w:before="100" w:beforeAutospacing="1" w:after="100" w:afterAutospacing="1"/>
      <w:jc w:val="left"/>
    </w:pPr>
    <w:rPr>
      <w:rFonts w:ascii="宋体" w:hAnsi="宋体"/>
      <w:sz w:val="24"/>
      <w:szCs w:val="20"/>
    </w:rPr>
  </w:style>
  <w:style w:type="character" w:customStyle="1" w:styleId="2Char">
    <w:name w:val="正文首行缩进 2 Char"/>
    <w:link w:val="BodyTextFirstIndent2"/>
    <w:uiPriority w:val="99"/>
    <w:qFormat/>
    <w:rPr>
      <w:rFonts w:ascii="Times New Roman" w:eastAsia="宋体" w:hAnsi="Times New Roman"/>
      <w:kern w:val="2"/>
      <w:sz w:val="21"/>
      <w:szCs w:val="24"/>
    </w:rPr>
  </w:style>
  <w:style w:type="character" w:customStyle="1" w:styleId="2Char0">
    <w:name w:val="标题 2 Char"/>
    <w:link w:val="Heading2"/>
    <w:uiPriority w:val="9"/>
    <w:qFormat/>
    <w:rPr>
      <w:rFonts w:ascii="Cambria" w:eastAsia="宋体" w:hAnsi="Cambria" w:cs="Times New Roman"/>
      <w:b/>
      <w:bCs/>
      <w:kern w:val="2"/>
      <w:sz w:val="32"/>
      <w:szCs w:val="32"/>
    </w:rPr>
  </w:style>
  <w:style w:type="character" w:customStyle="1" w:styleId="3Char">
    <w:name w:val="标题 3 Char"/>
    <w:link w:val="Heading3"/>
    <w:qFormat/>
    <w:rPr>
      <w:rFonts w:ascii="Calibri" w:eastAsia="宋体" w:hAnsi="Calibri" w:cs="Times New Roman"/>
      <w:b/>
      <w:sz w:val="21"/>
    </w:rPr>
  </w:style>
  <w:style w:type="character" w:customStyle="1" w:styleId="Char9">
    <w:name w:val="文档结构图 Char"/>
    <w:link w:val="DocumentMap"/>
    <w:uiPriority w:val="99"/>
    <w:qFormat/>
    <w:rPr>
      <w:rFonts w:ascii="宋体"/>
      <w:kern w:val="2"/>
      <w:sz w:val="18"/>
      <w:szCs w:val="18"/>
    </w:rPr>
  </w:style>
  <w:style w:type="character" w:customStyle="1" w:styleId="Char10">
    <w:name w:val="纯文本 Char"/>
    <w:qFormat/>
    <w:rPr>
      <w:rFonts w:ascii="宋体" w:hAnsi="Courier New" w:cs="Courier New"/>
      <w:kern w:val="2"/>
      <w:sz w:val="21"/>
      <w:szCs w:val="21"/>
    </w:rPr>
  </w:style>
  <w:style w:type="character" w:customStyle="1" w:styleId="2Char1">
    <w:name w:val="正文文本缩进 2 Char"/>
    <w:link w:val="BodyTextIndent2"/>
    <w:uiPriority w:val="99"/>
    <w:qFormat/>
    <w:rPr>
      <w:kern w:val="2"/>
      <w:sz w:val="21"/>
      <w:szCs w:val="24"/>
    </w:rPr>
  </w:style>
  <w:style w:type="character" w:customStyle="1" w:styleId="3Char0">
    <w:name w:val="正文文本缩进 3 Char"/>
    <w:link w:val="BodyTextIndent3"/>
    <w:uiPriority w:val="99"/>
    <w:qFormat/>
    <w:rPr>
      <w:kern w:val="2"/>
      <w:sz w:val="24"/>
    </w:rPr>
  </w:style>
  <w:style w:type="character" w:customStyle="1" w:styleId="Char11">
    <w:name w:val="标题 Char"/>
    <w:link w:val="Title"/>
    <w:qFormat/>
    <w:rPr>
      <w:rFonts w:ascii="Cambria" w:hAnsi="Cambria"/>
      <w:b/>
      <w:bCs/>
      <w:kern w:val="2"/>
      <w:sz w:val="24"/>
      <w:szCs w:val="32"/>
    </w:rPr>
  </w:style>
  <w:style w:type="character" w:customStyle="1" w:styleId="Char12">
    <w:name w:val="正文首行缩进 Char"/>
    <w:link w:val="BodyTextFirstIndent"/>
    <w:qFormat/>
    <w:rPr>
      <w:kern w:val="2"/>
      <w:sz w:val="21"/>
      <w:szCs w:val="24"/>
    </w:rPr>
  </w:style>
  <w:style w:type="character" w:customStyle="1" w:styleId="Char13">
    <w:name w:val="正文缩进 Char"/>
    <w:link w:val="NormalIndent"/>
    <w:qFormat/>
    <w:rPr>
      <w:rFonts w:ascii="Calibri" w:hAnsi="Calibri" w:cs="Times New Roman"/>
      <w:kern w:val="2"/>
      <w:sz w:val="24"/>
      <w:szCs w:val="22"/>
    </w:rPr>
  </w:style>
  <w:style w:type="character" w:customStyle="1" w:styleId="4CharChar">
    <w:name w:val="4正文 Char Char"/>
    <w:link w:val="4"/>
    <w:qFormat/>
    <w:rPr>
      <w:rFonts w:cs="宋体"/>
    </w:rPr>
  </w:style>
  <w:style w:type="paragraph" w:customStyle="1" w:styleId="4">
    <w:name w:val="4正文"/>
    <w:basedOn w:val="Normal"/>
    <w:link w:val="4CharChar"/>
    <w:qFormat/>
    <w:pPr>
      <w:ind w:firstLine="480"/>
    </w:pPr>
    <w:rPr>
      <w:kern w:val="0"/>
      <w:sz w:val="20"/>
      <w:szCs w:val="20"/>
    </w:rPr>
  </w:style>
  <w:style w:type="character" w:customStyle="1" w:styleId="-lsChar">
    <w:name w:val="正文-ls Char"/>
    <w:link w:val="-ls"/>
    <w:qFormat/>
    <w:rPr>
      <w:rFonts w:hAnsi="宋体" w:cs="宋体"/>
      <w:sz w:val="24"/>
    </w:rPr>
  </w:style>
  <w:style w:type="paragraph" w:customStyle="1" w:styleId="-ls">
    <w:name w:val="正文-ls"/>
    <w:basedOn w:val="Normal"/>
    <w:link w:val="-lsChar"/>
    <w:qFormat/>
    <w:pPr>
      <w:spacing w:line="360" w:lineRule="auto"/>
      <w:ind w:firstLine="200" w:firstLineChars="200"/>
    </w:pPr>
    <w:rPr>
      <w:rFonts w:hAnsi="宋体"/>
      <w:kern w:val="0"/>
      <w:sz w:val="24"/>
      <w:szCs w:val="20"/>
    </w:rPr>
  </w:style>
  <w:style w:type="character" w:customStyle="1" w:styleId="1Char">
    <w:name w:val="标题 1 Char"/>
    <w:link w:val="Heading1"/>
    <w:uiPriority w:val="9"/>
    <w:qFormat/>
    <w:rPr>
      <w:rFonts w:eastAsia="黑体"/>
      <w:b/>
      <w:bCs/>
      <w:color w:val="000000"/>
      <w:kern w:val="44"/>
      <w:sz w:val="30"/>
      <w:szCs w:val="30"/>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lang w:val="en-US" w:eastAsia="zh-CN" w:bidi="ar-SA"/>
    </w:rPr>
  </w:style>
  <w:style w:type="paragraph" w:customStyle="1" w:styleId="5">
    <w:name w:val="无悬挂正文5号"/>
    <w:basedOn w:val="Normal"/>
    <w:qFormat/>
    <w:pPr>
      <w:widowControl/>
      <w:jc w:val="center"/>
    </w:pPr>
    <w:rPr>
      <w:kern w:val="0"/>
      <w:sz w:val="20"/>
      <w:szCs w:val="22"/>
    </w:rPr>
  </w:style>
  <w:style w:type="paragraph" w:customStyle="1" w:styleId="a2">
    <w:name w:val="六表内容"/>
    <w:basedOn w:val="Normal"/>
    <w:qFormat/>
    <w:pPr>
      <w:spacing w:line="340" w:lineRule="exact"/>
      <w:jc w:val="center"/>
    </w:pPr>
    <w:rPr>
      <w:rFonts w:ascii="宋体" w:hAnsi="宋体"/>
      <w:color w:val="000000"/>
      <w:spacing w:val="-20"/>
      <w:kern w:val="0"/>
      <w:szCs w:val="21"/>
    </w:rPr>
  </w:style>
  <w:style w:type="paragraph" w:styleId="ListParagraph">
    <w:name w:val="List Paragraph"/>
    <w:basedOn w:val="Normal"/>
    <w:unhideWhenUsed/>
    <w:qFormat/>
    <w:pPr>
      <w:ind w:firstLine="420" w:firstLineChars="200"/>
    </w:pPr>
  </w:style>
  <w:style w:type="paragraph" w:customStyle="1" w:styleId="1222">
    <w:name w:val="样式 样式 样式 首行缩进:  1 字符 + 首行缩进:  2 字符2 + 首行缩进:  2 字符"/>
    <w:basedOn w:val="Normal"/>
    <w:qFormat/>
    <w:pPr>
      <w:spacing w:line="360" w:lineRule="auto"/>
      <w:ind w:firstLine="480" w:firstLineChars="200"/>
    </w:pPr>
    <w:rPr>
      <w:rFonts w:ascii="宋体" w:hAnsi="宋体" w:cs="宋体"/>
      <w:sz w:val="24"/>
    </w:rPr>
  </w:style>
  <w:style w:type="paragraph" w:customStyle="1" w:styleId="a3">
    <w:name w:val="简单回函地址"/>
    <w:basedOn w:val="Normal"/>
    <w:qFormat/>
    <w:pPr>
      <w:adjustRightInd w:val="0"/>
      <w:spacing w:line="312" w:lineRule="atLeast"/>
      <w:textAlignment w:val="baseline"/>
    </w:pPr>
    <w:rPr>
      <w:rFonts w:ascii="Calibri" w:hAnsi="Calibri"/>
      <w:kern w:val="0"/>
      <w:szCs w:val="20"/>
    </w:rPr>
  </w:style>
  <w:style w:type="paragraph" w:customStyle="1" w:styleId="CharChar1CharCharCharChar">
    <w:name w:val="Char Char1 Char Char Char Char"/>
    <w:basedOn w:val="Normal"/>
    <w:qFormat/>
  </w:style>
  <w:style w:type="paragraph" w:customStyle="1" w:styleId="a4">
    <w:name w:val="图表标题"/>
    <w:basedOn w:val="Normal"/>
    <w:qFormat/>
    <w:pPr>
      <w:numPr>
        <w:ilvl w:val="8"/>
        <w:numId w:val="1"/>
      </w:numPr>
      <w:spacing w:afterLines="50"/>
      <w:jc w:val="center"/>
    </w:pPr>
    <w:rPr>
      <w:rFonts w:ascii="Calibri" w:eastAsia="黑体" w:hAnsi="Calibri"/>
      <w:szCs w:val="21"/>
    </w:rPr>
  </w:style>
  <w:style w:type="paragraph" w:customStyle="1" w:styleId="3510">
    <w:name w:val="样式 标题 3 + 左侧:  5.1 毫米 首行缩进:  0 毫米"/>
    <w:basedOn w:val="Heading3"/>
    <w:qFormat/>
    <w:pPr>
      <w:spacing w:beforeLines="0" w:afterLines="0"/>
      <w:ind w:firstLine="480" w:firstLineChars="200"/>
    </w:pPr>
    <w:rPr>
      <w:rFonts w:ascii="Times New Roman"/>
    </w:rPr>
  </w:style>
  <w:style w:type="paragraph" w:customStyle="1" w:styleId="11">
    <w:name w:val="正文1"/>
    <w:qFormat/>
    <w:pPr>
      <w:widowControl w:val="0"/>
      <w:adjustRightInd w:val="0"/>
      <w:spacing w:line="315" w:lineRule="atLeast"/>
      <w:jc w:val="both"/>
      <w:textAlignment w:val="baseline"/>
    </w:pPr>
    <w:rPr>
      <w:rFonts w:ascii="宋体" w:eastAsia="宋体" w:hAnsi="Times New Roman" w:cs="Times New Roman"/>
      <w:sz w:val="24"/>
      <w:lang w:val="en-US" w:eastAsia="zh-CN" w:bidi="ar-SA"/>
    </w:rPr>
  </w:style>
  <w:style w:type="paragraph" w:customStyle="1" w:styleId="125TimesNewRoman0851">
    <w:name w:val="样式 样式 样式 首行缩进:  1 厘米 行距: 固定值 25 磅 + Times New Roman 首行缩进:  0.85 ...1"/>
    <w:basedOn w:val="Normal"/>
    <w:qFormat/>
    <w:pPr>
      <w:adjustRightInd w:val="0"/>
      <w:snapToGrid w:val="0"/>
      <w:spacing w:line="360" w:lineRule="auto"/>
      <w:ind w:firstLine="200" w:firstLineChars="200"/>
    </w:pPr>
    <w:rPr>
      <w:snapToGrid w:val="0"/>
      <w:kern w:val="24"/>
      <w:sz w:val="24"/>
    </w:rPr>
  </w:style>
  <w:style w:type="character" w:customStyle="1" w:styleId="fontstyle01">
    <w:name w:val="fontstyle01"/>
    <w:qFormat/>
    <w:rPr>
      <w:rFonts w:ascii="新宋体" w:eastAsia="新宋体" w:hAnsi="新宋体" w:hint="eastAsia"/>
      <w:color w:val="000000"/>
      <w:sz w:val="32"/>
      <w:szCs w:val="32"/>
    </w:rPr>
  </w:style>
  <w:style w:type="character" w:customStyle="1" w:styleId="fontstyle21">
    <w:name w:val="fontstyle21"/>
    <w:qFormat/>
    <w:rPr>
      <w:rFonts w:ascii="TimesNewRomanPSMT" w:hAnsi="TimesNewRomanPSMT" w:hint="default"/>
      <w:color w:val="000000"/>
      <w:sz w:val="32"/>
      <w:szCs w:val="32"/>
    </w:rPr>
  </w:style>
  <w:style w:type="paragraph" w:customStyle="1" w:styleId="a5">
    <w:name w:val="样式"/>
    <w:uiPriority w:val="99"/>
    <w:qFormat/>
    <w:pPr>
      <w:widowControl w:val="0"/>
      <w:autoSpaceDE w:val="0"/>
      <w:autoSpaceDN w:val="0"/>
      <w:adjustRightInd w:val="0"/>
    </w:pPr>
    <w:rPr>
      <w:rFonts w:ascii="宋体" w:eastAsia="宋体" w:hAnsi="宋体" w:cs="宋体"/>
      <w:sz w:val="24"/>
      <w:szCs w:val="24"/>
      <w:lang w:val="en-US" w:eastAsia="zh-CN" w:bidi="ar-SA"/>
    </w:rPr>
  </w:style>
  <w:style w:type="character" w:customStyle="1" w:styleId="bsharetext">
    <w:name w:val="bsharetext"/>
    <w:basedOn w:val="DefaultParagraphFont"/>
    <w:qFormat/>
  </w:style>
  <w:style w:type="character" w:customStyle="1" w:styleId="Char14">
    <w:name w:val="页脚 Char1"/>
    <w:qFormat/>
    <w:rPr>
      <w:rFonts w:ascii="Calibri" w:hAnsi="Calibri" w:cs="Calibri" w:hint="default"/>
    </w:rPr>
  </w:style>
  <w:style w:type="character" w:customStyle="1" w:styleId="hover27">
    <w:name w:val="hover27"/>
    <w:basedOn w:val="DefaultParagraphFont"/>
    <w:qFormat/>
  </w:style>
  <w:style w:type="character" w:customStyle="1" w:styleId="Char15">
    <w:name w:val="页眉 Char1"/>
    <w:qFormat/>
    <w:rPr>
      <w:rFonts w:ascii="Calibri" w:hAnsi="Calibri" w:cs="Calibri" w:hint="default"/>
    </w:rPr>
  </w:style>
  <w:style w:type="paragraph" w:customStyle="1" w:styleId="a6">
    <w:name w:val="第一章表标头"/>
    <w:basedOn w:val="Normal"/>
    <w:qFormat/>
    <w:pPr>
      <w:tabs>
        <w:tab w:val="left" w:pos="360"/>
        <w:tab w:val="left" w:pos="420"/>
        <w:tab w:val="left" w:pos="2269"/>
      </w:tabs>
      <w:adjustRightInd w:val="0"/>
      <w:snapToGrid w:val="0"/>
      <w:spacing w:line="480" w:lineRule="exact"/>
      <w:ind w:left="420" w:hanging="420" w:firstLineChars="200"/>
      <w:jc w:val="center"/>
    </w:pPr>
    <w:rPr>
      <w:rFonts w:ascii="黑体" w:eastAsia="黑体"/>
      <w:sz w:val="24"/>
    </w:rPr>
  </w:style>
  <w:style w:type="character" w:customStyle="1" w:styleId="CharChar1">
    <w:name w:val="表头名 Char Char1"/>
    <w:link w:val="a7"/>
    <w:qFormat/>
    <w:rPr>
      <w:rFonts w:ascii="宋体" w:hAnsi="宋体"/>
      <w:b/>
      <w:kern w:val="24"/>
      <w:sz w:val="24"/>
      <w:szCs w:val="28"/>
    </w:rPr>
  </w:style>
  <w:style w:type="paragraph" w:customStyle="1" w:styleId="a7">
    <w:name w:val="表头"/>
    <w:basedOn w:val="Normal"/>
    <w:next w:val="Normal"/>
    <w:link w:val="CharChar1"/>
    <w:qFormat/>
    <w:pPr>
      <w:widowControl/>
      <w:tabs>
        <w:tab w:val="left" w:pos="6840"/>
      </w:tabs>
      <w:topLinePunct/>
      <w:adjustRightInd w:val="0"/>
      <w:snapToGrid w:val="0"/>
      <w:spacing w:line="529" w:lineRule="exact"/>
      <w:jc w:val="center"/>
    </w:pPr>
    <w:rPr>
      <w:rFonts w:ascii="宋体" w:hAnsi="宋体"/>
      <w:b/>
      <w:kern w:val="24"/>
      <w:sz w:val="24"/>
      <w:szCs w:val="28"/>
    </w:rPr>
  </w:style>
  <w:style w:type="paragraph" w:customStyle="1" w:styleId="6-">
    <w:name w:val="6-表头"/>
    <w:basedOn w:val="Normal"/>
    <w:qFormat/>
    <w:pPr>
      <w:autoSpaceDE w:val="0"/>
      <w:autoSpaceDN w:val="0"/>
      <w:jc w:val="center"/>
    </w:pPr>
    <w:rPr>
      <w:b/>
      <w:bCs/>
      <w:color w:val="0000FF"/>
      <w:sz w:val="24"/>
      <w:szCs w:val="21"/>
    </w:rPr>
  </w:style>
  <w:style w:type="paragraph" w:customStyle="1" w:styleId="CharCharCharCharCharCharCharCharCharCharCharCharChar">
    <w:name w:val="Char Char Char Char Char Char Char Char Char Char Char Char Char"/>
    <w:basedOn w:val="BodyTextFirstIndent2"/>
    <w:qFormat/>
    <w:pPr>
      <w:widowControl/>
      <w:adjustRightInd w:val="0"/>
      <w:snapToGrid w:val="0"/>
      <w:spacing w:line="360" w:lineRule="auto"/>
      <w:ind w:left="0" w:firstLine="200" w:leftChars="0"/>
      <w:jc w:val="left"/>
    </w:pPr>
    <w:rPr>
      <w:rFonts w:ascii="宋体" w:cs="宋体"/>
      <w:kern w:val="0"/>
      <w:sz w:val="24"/>
    </w:rPr>
  </w:style>
  <w:style w:type="paragraph" w:customStyle="1" w:styleId="a8">
    <w:name w:val="标准正文"/>
    <w:basedOn w:val="Normal"/>
    <w:uiPriority w:val="99"/>
    <w:qFormat/>
    <w:pPr>
      <w:spacing w:line="360" w:lineRule="auto"/>
      <w:ind w:firstLine="480" w:firstLineChars="200"/>
      <w:jc w:val="left"/>
    </w:pPr>
    <w:rPr>
      <w:sz w:val="22"/>
      <w:szCs w:val="22"/>
    </w:rPr>
  </w:style>
  <w:style w:type="character" w:customStyle="1" w:styleId="font61">
    <w:name w:val="font61"/>
    <w:qFormat/>
    <w:rPr>
      <w:rFonts w:ascii="宋体" w:eastAsia="宋体" w:hAnsi="宋体" w:cs="宋体" w:hint="eastAsia"/>
      <w:color w:val="000000"/>
      <w:sz w:val="32"/>
      <w:szCs w:val="32"/>
      <w:u w:val="none"/>
    </w:rPr>
  </w:style>
  <w:style w:type="character" w:customStyle="1" w:styleId="font41">
    <w:name w:val="font41"/>
    <w:qFormat/>
    <w:rPr>
      <w:rFonts w:ascii="宋体" w:eastAsia="宋体" w:hAnsi="宋体" w:cs="宋体" w:hint="eastAsia"/>
      <w:color w:val="000000"/>
      <w:sz w:val="22"/>
      <w:szCs w:val="22"/>
      <w:u w:val="none"/>
      <w:vertAlign w:val="superscript"/>
    </w:rPr>
  </w:style>
  <w:style w:type="character" w:customStyle="1" w:styleId="font31">
    <w:name w:val="font31"/>
    <w:qFormat/>
    <w:rPr>
      <w:rFonts w:ascii="宋体" w:eastAsia="宋体" w:hAnsi="宋体" w:cs="宋体" w:hint="eastAsia"/>
      <w:color w:val="000000"/>
      <w:sz w:val="22"/>
      <w:szCs w:val="22"/>
      <w:u w:val="none"/>
    </w:rPr>
  </w:style>
  <w:style w:type="character" w:customStyle="1" w:styleId="fontstyle31">
    <w:name w:val="fontstyle31"/>
    <w:qFormat/>
    <w:rPr>
      <w:rFonts w:ascii="Times New Roman" w:hAnsi="Times New Roman" w:cs="Times New Roman" w:hint="default"/>
      <w:b/>
      <w:bCs/>
      <w:color w:val="000000"/>
      <w:sz w:val="24"/>
      <w:szCs w:val="24"/>
    </w:rPr>
  </w:style>
  <w:style w:type="character" w:customStyle="1" w:styleId="fontstyle11">
    <w:name w:val="fontstyle11"/>
    <w:qFormat/>
    <w:rPr>
      <w:rFonts w:ascii="宋体" w:eastAsia="宋体" w:hAnsi="宋体" w:hint="eastAsia"/>
      <w:color w:val="000000"/>
      <w:sz w:val="24"/>
      <w:szCs w:val="24"/>
    </w:rPr>
  </w:style>
  <w:style w:type="character" w:customStyle="1" w:styleId="Char16">
    <w:name w:val="纯文本 Char1"/>
    <w:link w:val="PlainText"/>
    <w:uiPriority w:val="99"/>
    <w:qFormat/>
    <w:rPr>
      <w:rFonts w:ascii="宋体" w:hAnsi="Courier New" w:cs="Courier New"/>
      <w:kern w:val="2"/>
      <w:sz w:val="24"/>
      <w:szCs w:val="21"/>
    </w:rPr>
  </w:style>
  <w:style w:type="paragraph" w:customStyle="1" w:styleId="CharCharCharCharCharCharCharCharCharCharCharCharChar1">
    <w:name w:val="Char Char Char Char Char Char Char Char Char Char Char Char Char1"/>
    <w:basedOn w:val="BodyTextFirstIndent2"/>
    <w:qFormat/>
    <w:pPr>
      <w:widowControl/>
      <w:adjustRightInd w:val="0"/>
      <w:snapToGrid w:val="0"/>
      <w:spacing w:after="0" w:line="360" w:lineRule="auto"/>
      <w:ind w:left="0" w:firstLine="200" w:leftChars="0"/>
      <w:jc w:val="left"/>
    </w:pPr>
    <w:rPr>
      <w:rFonts w:ascii="宋体" w:cs="宋体"/>
      <w:kern w:val="0"/>
      <w:sz w:val="24"/>
    </w:rPr>
  </w:style>
  <w:style w:type="character" w:customStyle="1" w:styleId="font21">
    <w:name w:val="font21"/>
    <w:qFormat/>
    <w:rPr>
      <w:rFonts w:ascii="宋体" w:eastAsia="宋体" w:hAnsi="宋体" w:cs="宋体" w:hint="eastAsia"/>
      <w:color w:val="000000"/>
      <w:sz w:val="21"/>
      <w:szCs w:val="21"/>
      <w:u w:val="none"/>
    </w:rPr>
  </w:style>
  <w:style w:type="table" w:customStyle="1" w:styleId="9">
    <w:name w:val="网格型9"/>
    <w:basedOn w:val="TableNormal"/>
    <w:uiPriority w:val="59"/>
    <w:qFormat/>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51">
    <w:name w:val="font51"/>
    <w:qFormat/>
    <w:rPr>
      <w:rFonts w:ascii="Arial" w:hAnsi="Arial" w:cs="Arial" w:hint="default"/>
      <w:color w:val="000000"/>
      <w:sz w:val="24"/>
      <w:szCs w:val="24"/>
      <w:u w:val="none"/>
    </w:rPr>
  </w:style>
  <w:style w:type="character" w:customStyle="1" w:styleId="font71">
    <w:name w:val="font71"/>
    <w:qFormat/>
    <w:rPr>
      <w:rFonts w:ascii="Times New Roman" w:hAnsi="Times New Roman" w:cs="Times New Roman" w:hint="default"/>
      <w:color w:val="000000"/>
      <w:sz w:val="21"/>
      <w:szCs w:val="21"/>
      <w:u w:val="none"/>
    </w:rPr>
  </w:style>
  <w:style w:type="character" w:customStyle="1" w:styleId="font81">
    <w:name w:val="font81"/>
    <w:qFormat/>
    <w:rPr>
      <w:rFonts w:ascii="宋体" w:eastAsia="宋体" w:hAnsi="宋体" w:cs="宋体" w:hint="eastAsia"/>
      <w:color w:val="000000"/>
      <w:sz w:val="16"/>
      <w:szCs w:val="16"/>
      <w:u w:val="none"/>
    </w:rPr>
  </w:style>
  <w:style w:type="character" w:customStyle="1" w:styleId="font11">
    <w:name w:val="font11"/>
    <w:rPr>
      <w:rFonts w:ascii="宋体" w:eastAsia="宋体" w:hAnsi="宋体" w:cs="宋体" w:hint="eastAsia"/>
      <w:color w:val="000000"/>
      <w:sz w:val="21"/>
      <w:szCs w:val="21"/>
      <w:u w:val="none"/>
    </w:rPr>
  </w:style>
  <w:style w:type="paragraph" w:customStyle="1" w:styleId="TableParagraph">
    <w:name w:val="Table Paragraph"/>
    <w:basedOn w:val="Normal"/>
    <w:uiPriority w:val="1"/>
    <w:qFormat/>
    <w:pPr>
      <w:jc w:val="left"/>
    </w:pPr>
    <w:rPr>
      <w:rFonts w:ascii="Calibri" w:hAnsi="Calibri"/>
      <w:kern w:val="0"/>
      <w:sz w:val="22"/>
      <w:szCs w:val="22"/>
      <w:lang w:eastAsia="en-US"/>
    </w:rPr>
  </w:style>
  <w:style w:type="paragraph" w:customStyle="1" w:styleId="Style10">
    <w:name w:val="_Style 10"/>
    <w:basedOn w:val="Normal"/>
    <w:qFormat/>
    <w:pPr>
      <w:adjustRightInd w:val="0"/>
      <w:spacing w:line="360" w:lineRule="atLeast"/>
      <w:jc w:val="left"/>
      <w:textAlignment w:val="baseline"/>
    </w:pPr>
    <w:rPr>
      <w:rFonts w:ascii="Tahoma" w:hAnsi="Tahoma"/>
      <w:kern w:val="0"/>
      <w:sz w:val="24"/>
      <w:szCs w:val="20"/>
    </w:rPr>
  </w:style>
  <w:style w:type="character" w:customStyle="1" w:styleId="CharChar">
    <w:name w:val="Char Char"/>
    <w:qFormat/>
    <w:rPr>
      <w:rFonts w:ascii="宋体" w:hAnsi="Courier New" w:cs="Courier New"/>
      <w:kern w:val="2"/>
      <w:sz w:val="21"/>
      <w:szCs w:val="21"/>
    </w:rPr>
  </w:style>
  <w:style w:type="paragraph" w:customStyle="1" w:styleId="40">
    <w:name w:val="样式4"/>
    <w:basedOn w:val="Normal"/>
    <w:next w:val="Normal"/>
    <w:qFormat/>
    <w:pPr>
      <w:spacing w:line="440" w:lineRule="exact"/>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hyperlink" Target="https://d.book118.com/075022034312011124" TargetMode="External" /><Relationship Id="rId15" Type="http://schemas.openxmlformats.org/officeDocument/2006/relationships/footer" Target="footer9.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_rels/settings.xml.rels><?xml version="1.0" encoding="utf-8" standalone="yes"?><Relationships xmlns="http://schemas.openxmlformats.org/package/2006/relationships"><Relationship Id="rId1" Type="http://schemas.openxmlformats.org/officeDocument/2006/relationships/attachedTemplate" Target="file:///C:\dsoa\wdzx97.dot"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1C92C7-9B84-4BD3-A306-7027DAB57D1E}">
  <ds:schemaRefs/>
</ds:datastoreItem>
</file>

<file path=docProps/app.xml><?xml version="1.0" encoding="utf-8"?>
<Properties xmlns="http://schemas.openxmlformats.org/officeDocument/2006/extended-properties" xmlns:vt="http://schemas.openxmlformats.org/officeDocument/2006/docPropsVTypes">
  <Template>wdzx97.dot</Template>
  <TotalTime>1502</TotalTime>
  <Pages>12</Pages>
  <Words>4821</Words>
  <Characters>27480</Characters>
  <Application>Microsoft Office Word</Application>
  <DocSecurity>0</DocSecurity>
  <Lines>229</Lines>
  <Paragraphs>64</Paragraphs>
  <ScaleCrop>false</ScaleCrop>
  <Company>微软公司</Company>
  <LinksUpToDate>false</LinksUpToDate>
  <CharactersWithSpaces>32237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lastModifiedBy>WPS_1559717548</cp:lastModifiedBy>
  <cp:revision>117</cp:revision>
  <cp:lastPrinted>2021-05-08T08:02:00Z</cp:lastPrinted>
  <dcterms:created xsi:type="dcterms:W3CDTF">2021-07-14T01:19:00Z</dcterms:created>
  <dcterms:modified xsi:type="dcterms:W3CDTF">2024-03-20T08:39:09Z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