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2018-2023年山东交通职业学院高职单招（数学／语文／英语）历年常考试题库含答案解析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称司马迁《史记》为“史家之绝唱，无韵之《离骚》”的作家是（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A.鲁迅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B.茅盾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C.胡适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D.周作人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《水调歌头》“明月几时有”一词怀念的对象是（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A.父亲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B.朋友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C.妻子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D.弟弟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《五代史伶官传序》的中心论点是（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A.“满招损，谦得益”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B.“盛衰之理，虽曰天命，岂非人事哉”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C.“忧劳可以兴国，逸豫可以亡身”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D.“祸患常积于忽微，智勇多困于所溺”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《氓》选自《诗经·国风》中的（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A.王风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B.秦风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C.卫风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D.郑风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柳永的词集是（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A.《乐章集》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B.《漱玉词》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C.《淮海词》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D.《珠玉集》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下列选项中，画线部分翻译错误的一项是（）。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A.闻道百，以为莫己若者，我之谓也以为~~莫己若者：认为没有谁如同自己一样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B.今乃弃黔首以资敌国，却宾客以业诸侯~~却宾客以业诸侯：驱逐宾客使诸侯成就功业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C.填然鼓之，兵刃既接，弃甲曳兵而走~~弃甲曳兵而走：抛弃了铠甲、拖着士兵离开了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D.制，岩邑也，虢叔死焉，佗邑为命制~~岩邑也：制是险要的城邑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下列诗句中，在描写罗敷美貌时运用了侧面烘托手法的是（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A.头上倭堕髻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B.耳中明月珠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C.来归相怨怒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D.紫绮为上襦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莫泊桑在文坛上崭露头角的第一部成名作是（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A.《俊友》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B.《一生》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C.《苦恼》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D.《羊脂球》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下列诗句中，运用反比的是（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A.桑之未落，其叶沃若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B.于嗟鸠兮，无食桑葚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C.淇水汤汤，渐车帷裳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D.淇则有岸，隰则有泮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在《往事（一之十四）》中，冰心赞颂了大海的性格和美德，号召大家做一个（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A.女神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B.大海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C.海舟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D.“海化”青年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《麦琪的礼物》运用的结构方法是（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A.一虚一实，双线并行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B.采用两条平行的情节线索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C.四条情节线交叉叙述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D.追溯法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下列选项中，不属于辛弃疾《水龙吟·登建康赏心亭》表现手法的一项是（）。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A.比喻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B.用典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C.拟人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D.叠字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《风波》、《断魂枪》、《苦恼》的作者依次是（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A.鲁迅、契诃夫、老舍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B.契诃夫、鲁迅、老舍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C.鲁迅、老舍、契诃夫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D.契诃夫、老舍、鲁迅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《答司马谏议书》的总体行文风格是（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A.慷慨激昂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https://d.book118.com/075103040330011112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9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hyperlink" Target="https://d.book118.com/075103040330011112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