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sz w:val="22"/>
        </w:rPr>
      </w:pPr>
    </w:p>
    <w:p>
      <w:pPr>
        <w:spacing w:before="1"/>
        <w:jc w:val="center"/>
        <w:rPr>
          <w:rFonts w:ascii="微软雅黑" w:eastAsia="微软雅黑"/>
          <w:b/>
          <w:sz w:val="36"/>
        </w:rPr>
      </w:pPr>
      <w:r>
        <w:rPr>
          <w:rFonts w:ascii="微软雅黑" w:eastAsia="微软雅黑" w:hint="eastAsia"/>
          <w:b/>
          <w:sz w:val="36"/>
        </w:rPr>
        <w:t xml:space="preserve">团 </w:t>
      </w:r>
      <w:r>
        <w:rPr>
          <w:rFonts w:ascii="微软雅黑" w:eastAsia="微软雅黑"/>
          <w:b/>
          <w:sz w:val="36"/>
        </w:rPr>
        <w:t xml:space="preserve">  </w:t>
      </w:r>
      <w:r>
        <w:rPr>
          <w:rFonts w:ascii="微软雅黑" w:eastAsia="微软雅黑" w:hint="eastAsia"/>
          <w:b/>
          <w:sz w:val="36"/>
        </w:rPr>
        <w:t xml:space="preserve">体 </w:t>
      </w:r>
      <w:r>
        <w:rPr>
          <w:rFonts w:ascii="微软雅黑" w:eastAsia="微软雅黑"/>
          <w:b/>
          <w:sz w:val="36"/>
        </w:rPr>
        <w:t xml:space="preserve">  </w:t>
      </w:r>
      <w:r>
        <w:rPr>
          <w:rFonts w:ascii="微软雅黑" w:eastAsia="微软雅黑" w:hint="eastAsia"/>
          <w:b/>
          <w:sz w:val="36"/>
        </w:rPr>
        <w:t xml:space="preserve">标 </w:t>
      </w:r>
      <w:r>
        <w:rPr>
          <w:rFonts w:ascii="微软雅黑" w:eastAsia="微软雅黑"/>
          <w:b/>
          <w:sz w:val="36"/>
        </w:rPr>
        <w:t xml:space="preserve"> </w:t>
      </w:r>
      <w:r>
        <w:rPr>
          <w:rFonts w:ascii="微软雅黑" w:eastAsia="微软雅黑" w:hint="eastAsia"/>
          <w:b/>
          <w:sz w:val="36"/>
        </w:rPr>
        <w:t xml:space="preserve"> 准</w:t>
      </w:r>
    </w:p>
    <w:p>
      <w:pPr>
        <w:pStyle w:val="BodyText"/>
        <w:spacing w:before="5"/>
        <w:rPr>
          <w:rFonts w:ascii="微软雅黑"/>
          <w:b/>
          <w:sz w:val="14"/>
        </w:rPr>
      </w:pPr>
    </w:p>
    <w:p>
      <w:pPr>
        <w:pStyle w:val="Heading3"/>
        <w:spacing w:before="52"/>
        <w:ind w:firstLine="5462" w:firstLineChars="1707"/>
      </w:pPr>
      <w:r>
        <w:pict>
          <v:line id="直接连接符 2" o:spid="_x0000_s1025" style="mso-height-relative:page;mso-position-horizontal-relative:page;mso-width-relative:page;mso-wrap-distance-bottom:0;mso-wrap-distance-top:0;position:absolute;z-index:-251658240" from="85.75pt,52.15pt" to="504.25pt,52.15pt" coordsize="21600,21600">
            <w10:wrap type="topAndBottom"/>
          </v:line>
        </w:pict>
      </w:r>
      <w:r>
        <w:t>T</w:t>
      </w:r>
      <w:r>
        <w:rPr>
          <w:rFonts w:hint="eastAsia"/>
        </w:rPr>
        <w:t>/</w:t>
      </w:r>
      <w:r>
        <w:t>G-CMCAxxxx-</w:t>
      </w:r>
      <w:r>
        <w:rPr>
          <w:rFonts w:hint="eastAsia"/>
        </w:rPr>
        <w:t>2019</w:t>
      </w:r>
    </w:p>
    <w:p>
      <w:pPr>
        <w:pStyle w:val="BodyText"/>
        <w:rPr>
          <w:sz w:val="24"/>
        </w:rPr>
      </w:pPr>
    </w:p>
    <w:p>
      <w:pPr>
        <w:pStyle w:val="BodyText"/>
        <w:rPr>
          <w:sz w:val="24"/>
        </w:rPr>
      </w:pPr>
    </w:p>
    <w:p>
      <w:pPr>
        <w:pStyle w:val="BodyText"/>
        <w:rPr>
          <w:sz w:val="24"/>
        </w:rPr>
      </w:pPr>
    </w:p>
    <w:p>
      <w:pPr>
        <w:pStyle w:val="BodyText"/>
        <w:spacing w:before="5"/>
        <w:rPr>
          <w:sz w:val="23"/>
        </w:rPr>
      </w:pPr>
    </w:p>
    <w:p>
      <w:pPr>
        <w:spacing w:after="160"/>
        <w:jc w:val="center"/>
        <w:rPr>
          <w:rFonts w:ascii="黑体" w:eastAsia="黑体" w:hAnsi="黑体"/>
          <w:b/>
          <w:sz w:val="52"/>
          <w:szCs w:val="52"/>
        </w:rPr>
      </w:pPr>
      <w:r>
        <w:rPr>
          <w:rFonts w:ascii="黑体" w:eastAsia="黑体" w:hAnsi="黑体"/>
          <w:b/>
          <w:sz w:val="52"/>
          <w:szCs w:val="52"/>
        </w:rPr>
        <w:t>冶金搬迁工程施工质量验收</w:t>
      </w:r>
      <w:r>
        <w:rPr>
          <w:rFonts w:ascii="黑体" w:eastAsia="黑体" w:hAnsi="黑体" w:hint="eastAsia"/>
          <w:b/>
          <w:sz w:val="52"/>
          <w:szCs w:val="52"/>
        </w:rPr>
        <w:t>标准</w:t>
      </w:r>
    </w:p>
    <w:p>
      <w:pPr>
        <w:spacing w:after="160"/>
        <w:jc w:val="center"/>
        <w:rPr>
          <w:rFonts w:ascii="黑体" w:eastAsia="黑体" w:hAnsi="黑体"/>
          <w:b/>
          <w:sz w:val="28"/>
          <w:szCs w:val="28"/>
        </w:rPr>
      </w:pPr>
      <w:r>
        <w:rPr>
          <w:rFonts w:ascii="黑体" w:eastAsia="黑体" w:hAnsi="黑体"/>
          <w:sz w:val="28"/>
          <w:szCs w:val="28"/>
        </w:rPr>
        <w:t>Specification for construction quality acceptance of metallurgical relocation project</w:t>
      </w:r>
    </w:p>
    <w:p>
      <w:pPr>
        <w:pStyle w:val="BodyText"/>
        <w:rPr>
          <w:b/>
          <w:sz w:val="28"/>
        </w:rPr>
      </w:pPr>
    </w:p>
    <w:p>
      <w:pPr>
        <w:spacing w:before="243"/>
        <w:ind w:left="3004" w:right="2885"/>
        <w:jc w:val="center"/>
        <w:rPr>
          <w:sz w:val="32"/>
        </w:rPr>
      </w:pPr>
      <w:r>
        <w:rPr>
          <w:sz w:val="32"/>
        </w:rPr>
        <w:t>（征求意见稿）</w:t>
      </w:r>
    </w:p>
    <w:p>
      <w:pPr>
        <w:pStyle w:val="BodyText"/>
        <w:rPr>
          <w:sz w:val="32"/>
        </w:rPr>
      </w:pPr>
    </w:p>
    <w:p>
      <w:pPr>
        <w:pStyle w:val="Heading3"/>
        <w:spacing w:before="225"/>
        <w:ind w:right="84"/>
        <w:jc w:val="center"/>
      </w:pPr>
      <w:r>
        <w:t>（本规程未公开印刷之前禁止拷贝、传播和摘录，仅用于本群专业工作者讨论）</w:t>
      </w:r>
    </w:p>
    <w:p>
      <w:pPr>
        <w:pStyle w:val="BodyText"/>
        <w:spacing w:before="9"/>
        <w:rPr>
          <w:sz w:val="24"/>
        </w:rPr>
      </w:pPr>
    </w:p>
    <w:p>
      <w:pPr>
        <w:ind w:right="-58"/>
        <w:jc w:val="center"/>
        <w:rPr>
          <w:sz w:val="24"/>
        </w:rPr>
      </w:pPr>
      <w:r>
        <w:rPr>
          <w:sz w:val="24"/>
        </w:rPr>
        <w:t>（版权所有 违者必究）</w:t>
      </w:r>
    </w:p>
    <w:p>
      <w:pPr>
        <w:pStyle w:val="BodyText"/>
        <w:rPr>
          <w:sz w:val="24"/>
        </w:rPr>
      </w:pPr>
    </w:p>
    <w:p>
      <w:pPr>
        <w:pStyle w:val="BodyText"/>
        <w:spacing w:before="6"/>
        <w:rPr>
          <w:sz w:val="18"/>
        </w:rPr>
      </w:pPr>
    </w:p>
    <w:p>
      <w:pPr>
        <w:pStyle w:val="BodyText"/>
        <w:spacing w:before="6"/>
        <w:rPr>
          <w:sz w:val="18"/>
        </w:rPr>
      </w:pPr>
    </w:p>
    <w:p>
      <w:pPr>
        <w:pStyle w:val="BodyText"/>
        <w:spacing w:before="6"/>
        <w:jc w:val="center"/>
        <w:rPr>
          <w:sz w:val="18"/>
        </w:rPr>
      </w:pPr>
      <w:r>
        <w:pict>
          <v:line id="直接连接符 210" o:spid="_x0000_s1026" style="mso-height-relative:page;mso-position-horizontal-relative:page;mso-width-relative:page;mso-wrap-distance-bottom:0;mso-wrap-distance-top:0;position:absolute;z-index:-251657216" from="88.5pt,32.65pt" to="507pt,32.65pt" coordsize="21600,21600">
            <w10:wrap type="topAndBottom"/>
          </v:line>
        </w:pict>
      </w:r>
      <w:r>
        <w:rPr>
          <w:rFonts w:ascii="微软雅黑" w:eastAsia="微软雅黑" w:hAnsi="微软雅黑" w:hint="eastAsia"/>
          <w:b/>
          <w:w w:val="105"/>
          <w:sz w:val="24"/>
        </w:rPr>
        <w:t>2019-××-××发布</w:t>
      </w:r>
      <w:r>
        <w:rPr>
          <w:rFonts w:ascii="微软雅黑" w:eastAsia="微软雅黑" w:hAnsi="微软雅黑" w:hint="eastAsia"/>
          <w:b/>
          <w:w w:val="105"/>
          <w:sz w:val="24"/>
        </w:rPr>
        <w:tab/>
      </w:r>
      <w:r>
        <w:rPr>
          <w:rFonts w:ascii="微软雅黑" w:eastAsia="微软雅黑" w:hAnsi="微软雅黑" w:hint="eastAsia"/>
          <w:b/>
          <w:w w:val="105"/>
          <w:sz w:val="24"/>
        </w:rPr>
        <w:t xml:space="preserve">                             2019-××-××实施</w:t>
      </w:r>
    </w:p>
    <w:p>
      <w:pPr>
        <w:pStyle w:val="BodyText"/>
        <w:spacing w:before="6"/>
        <w:rPr>
          <w:sz w:val="18"/>
        </w:rPr>
      </w:pPr>
    </w:p>
    <w:p>
      <w:pPr>
        <w:pStyle w:val="BodyText"/>
        <w:spacing w:before="6"/>
        <w:jc w:val="center"/>
        <w:rPr>
          <w:sz w:val="18"/>
        </w:rPr>
        <w:sectPr>
          <w:footerReference w:type="default" r:id="rId6"/>
          <w:pgSz w:w="11906" w:h="16838"/>
          <w:pgMar w:top="1440" w:right="1800" w:bottom="1440" w:left="1800" w:header="851" w:footer="992" w:gutter="0"/>
          <w:pgNumType w:start="1"/>
          <w:cols w:num="1" w:space="720"/>
          <w:docGrid w:type="lines" w:linePitch="312" w:charSpace="0"/>
        </w:sectPr>
      </w:pPr>
      <w:r>
        <w:rPr>
          <w:sz w:val="30"/>
        </w:rPr>
        <w:t>中国冶金建设协会发布</w:t>
      </w:r>
    </w:p>
    <w:p>
      <w:pPr>
        <w:pStyle w:val="Heading1"/>
        <w:numPr>
          <w:ilvl w:val="0"/>
          <w:numId w:val="0"/>
        </w:numPr>
        <w:spacing w:before="340" w:after="330" w:line="578" w:lineRule="auto"/>
        <w:ind w:left="360"/>
        <w:jc w:val="center"/>
        <w:rPr>
          <w:rFonts w:ascii="黑体" w:eastAsia="黑体" w:hAnsi="黑体"/>
          <w:sz w:val="21"/>
          <w:szCs w:val="21"/>
        </w:rPr>
      </w:pPr>
      <w:bookmarkStart w:id="0" w:name="_GoBack"/>
      <w:bookmarkEnd w:id="0"/>
      <w:r>
        <w:rPr>
          <w:rFonts w:ascii="黑体" w:eastAsia="黑体" w:hAnsi="黑体"/>
          <w:sz w:val="21"/>
          <w:szCs w:val="21"/>
        </w:rPr>
        <w:t xml:space="preserve"> </w:t>
      </w:r>
      <w:bookmarkStart w:id="1" w:name="_Toc527229344"/>
      <w:r>
        <w:rPr>
          <w:rFonts w:ascii="黑体" w:eastAsia="黑体" w:hAnsi="黑体"/>
          <w:sz w:val="21"/>
          <w:szCs w:val="21"/>
        </w:rPr>
        <w:t>总则</w:t>
      </w:r>
      <w:bookmarkEnd w:id="1"/>
    </w:p>
    <w:p>
      <w:pPr>
        <w:spacing w:line="360" w:lineRule="auto"/>
      </w:pPr>
      <w:r>
        <w:rPr>
          <w:rFonts w:ascii="黑体" w:eastAsia="黑体" w:hAnsi="黑体"/>
        </w:rPr>
        <w:t>1.0.1</w:t>
      </w:r>
      <w:r>
        <w:t xml:space="preserve"> 为加强建筑工程质量管理，统一冶金工业工厂搬迁工程施工和质量的验收，保证工程质量，制定本规范。</w:t>
      </w:r>
    </w:p>
    <w:p>
      <w:pPr>
        <w:spacing w:line="360" w:lineRule="auto"/>
      </w:pPr>
      <w:r>
        <w:rPr>
          <w:rFonts w:ascii="黑体" w:eastAsia="黑体" w:hAnsi="黑体"/>
        </w:rPr>
        <w:t>1.0.2</w:t>
      </w:r>
      <w:r>
        <w:rPr>
          <w:rFonts w:ascii="黑体" w:eastAsia="黑体" w:hAnsi="黑体" w:hint="eastAsia"/>
        </w:rPr>
        <w:t xml:space="preserve"> </w:t>
      </w:r>
      <w:r>
        <w:t>本规范适用于冶金工业工厂搬迁工程的施工和质量验收。其他类似工程可参照本规范执行。</w:t>
      </w:r>
    </w:p>
    <w:p>
      <w:pPr>
        <w:spacing w:line="360" w:lineRule="auto"/>
      </w:pPr>
      <w:r>
        <w:rPr>
          <w:rFonts w:ascii="黑体" w:eastAsia="黑体" w:hAnsi="黑体"/>
        </w:rPr>
        <w:t xml:space="preserve">1.0.3 </w:t>
      </w:r>
      <w:r>
        <w:t>冶金工业工厂的搬迁工程施工质量的验收除应执行本规范外，尚应符合国家现行有关标准的规定。</w:t>
      </w:r>
    </w:p>
    <w:p>
      <w:pPr>
        <w:spacing w:after="160"/>
        <w:jc w:val="left"/>
        <w:rPr>
          <w:rFonts w:ascii="宋体" w:hAnsi="宋体"/>
          <w:b/>
          <w:sz w:val="28"/>
          <w:szCs w:val="28"/>
        </w:rPr>
      </w:pPr>
    </w:p>
    <w:p>
      <w:pPr>
        <w:spacing w:after="160"/>
        <w:jc w:val="left"/>
        <w:rPr>
          <w:rFonts w:ascii="宋体" w:hAnsi="宋体"/>
          <w:b/>
          <w:sz w:val="28"/>
          <w:szCs w:val="28"/>
        </w:rPr>
      </w:pPr>
    </w:p>
    <w:p>
      <w:pPr>
        <w:spacing w:after="160"/>
        <w:jc w:val="left"/>
        <w:rPr>
          <w:rFonts w:ascii="宋体" w:hAnsi="宋体"/>
          <w:b/>
          <w:sz w:val="28"/>
          <w:szCs w:val="28"/>
        </w:rPr>
        <w:sectPr>
          <w:footerReference w:type="default" r:id="rId7"/>
          <w:type w:val="nextPage"/>
          <w:pgSz w:w="11906" w:h="16838"/>
          <w:pgMar w:top="1440" w:right="1800" w:bottom="1440" w:left="1800" w:header="851" w:footer="992" w:gutter="0"/>
          <w:pgNumType w:start="2"/>
          <w:cols w:num="1" w:space="720"/>
          <w:titlePg w:val="0"/>
          <w:docGrid w:type="lines" w:linePitch="312" w:charSpace="0"/>
        </w:sectPr>
      </w:pPr>
    </w:p>
    <w:p>
      <w:pPr>
        <w:pStyle w:val="Heading1"/>
        <w:spacing w:before="340" w:after="330" w:line="578" w:lineRule="auto"/>
        <w:jc w:val="center"/>
        <w:rPr>
          <w:rFonts w:ascii="黑体" w:eastAsia="黑体" w:hAnsi="黑体"/>
          <w:sz w:val="21"/>
          <w:szCs w:val="21"/>
        </w:rPr>
      </w:pPr>
      <w:bookmarkStart w:id="2" w:name="_Toc527229345"/>
      <w:r>
        <w:rPr>
          <w:rFonts w:ascii="黑体" w:eastAsia="黑体" w:hAnsi="黑体"/>
          <w:sz w:val="21"/>
          <w:szCs w:val="21"/>
        </w:rPr>
        <w:t xml:space="preserve">2 </w:t>
      </w:r>
      <w:r>
        <w:rPr>
          <w:rFonts w:ascii="黑体" w:eastAsia="黑体" w:hAnsi="黑体" w:hint="eastAsia"/>
          <w:sz w:val="21"/>
          <w:szCs w:val="21"/>
        </w:rPr>
        <w:t xml:space="preserve"> </w:t>
      </w:r>
      <w:r>
        <w:rPr>
          <w:rFonts w:ascii="黑体" w:eastAsia="黑体" w:hAnsi="黑体"/>
          <w:sz w:val="21"/>
          <w:szCs w:val="21"/>
        </w:rPr>
        <w:t xml:space="preserve"> 术语</w:t>
      </w:r>
      <w:bookmarkEnd w:id="2"/>
    </w:p>
    <w:p>
      <w:pPr>
        <w:autoSpaceDE w:val="0"/>
        <w:autoSpaceDN w:val="0"/>
        <w:spacing w:after="160" w:line="440" w:lineRule="exact"/>
        <w:jc w:val="left"/>
        <w:rPr>
          <w:rFonts w:ascii="宋体" w:hAnsi="宋体"/>
        </w:rPr>
      </w:pPr>
      <w:r>
        <w:rPr>
          <w:rFonts w:ascii="黑体" w:eastAsia="黑体" w:hAnsi="黑体"/>
        </w:rPr>
        <w:t>2.0.1</w:t>
      </w:r>
      <w:r>
        <w:rPr>
          <w:rFonts w:ascii="黑体" w:eastAsia="黑体" w:hAnsi="黑体"/>
          <w:sz w:val="28"/>
          <w:szCs w:val="28"/>
        </w:rPr>
        <w:t xml:space="preserve"> </w:t>
      </w:r>
      <w:r>
        <w:rPr>
          <w:rFonts w:ascii="宋体" w:hAnsi="宋体"/>
          <w:sz w:val="28"/>
          <w:szCs w:val="28"/>
        </w:rPr>
        <w:t xml:space="preserve"> </w:t>
      </w:r>
      <w:r>
        <w:rPr>
          <w:rFonts w:ascii="宋体" w:hAnsi="宋体"/>
        </w:rPr>
        <w:t>冶金搬迁工程</w:t>
      </w:r>
      <w:r>
        <w:rPr>
          <w:rFonts w:ascii="宋体" w:hAnsi="宋体" w:hint="eastAsia"/>
        </w:rPr>
        <w:t xml:space="preserve"> Metallurgy Relocation Project</w:t>
      </w:r>
    </w:p>
    <w:p>
      <w:pPr>
        <w:ind w:firstLine="424" w:firstLineChars="202"/>
        <w:rPr>
          <w:rFonts w:ascii="宋体" w:hAnsi="宋体" w:cs="宋体"/>
          <w:sz w:val="24"/>
          <w:szCs w:val="24"/>
        </w:rPr>
      </w:pPr>
      <w:r>
        <w:t>冶金工业工厂因需要从原生产地部分或全部拆除，搬迁至另一地点重新建厂恢复生产，原工厂的厂房、设备和材料部分或全部利用的工程。</w:t>
      </w:r>
    </w:p>
    <w:p>
      <w:pPr>
        <w:spacing w:line="360" w:lineRule="auto"/>
      </w:pPr>
      <w:r>
        <w:rPr>
          <w:rFonts w:ascii="黑体" w:eastAsia="黑体" w:hAnsi="黑体"/>
        </w:rPr>
        <w:t xml:space="preserve">2.0.2 </w:t>
      </w:r>
      <w:r>
        <w:rPr>
          <w:rFonts w:ascii="宋体" w:hAnsi="宋体"/>
          <w:sz w:val="28"/>
          <w:szCs w:val="28"/>
        </w:rPr>
        <w:t xml:space="preserve"> </w:t>
      </w:r>
      <w:r>
        <w:t>利旧设备</w:t>
      </w:r>
      <w:r>
        <w:rPr>
          <w:rFonts w:hint="eastAsia"/>
        </w:rPr>
        <w:t xml:space="preserve">  Reclaimed Equipment</w:t>
      </w:r>
    </w:p>
    <w:p>
      <w:pPr>
        <w:spacing w:line="360" w:lineRule="auto"/>
        <w:ind w:firstLine="424" w:firstLineChars="202"/>
      </w:pPr>
      <w:r>
        <w:t>从原厂拆除直接利用或经整修后在新建厂中继续使用的机械、流体、电气和仪表设备。</w:t>
      </w:r>
    </w:p>
    <w:p>
      <w:pPr>
        <w:autoSpaceDE w:val="0"/>
        <w:autoSpaceDN w:val="0"/>
        <w:spacing w:after="160" w:line="440" w:lineRule="exact"/>
        <w:jc w:val="left"/>
        <w:rPr>
          <w:rFonts w:ascii="宋体" w:hAnsi="宋体"/>
        </w:rPr>
      </w:pPr>
      <w:r>
        <w:rPr>
          <w:rFonts w:ascii="黑体" w:eastAsia="黑体" w:hAnsi="黑体"/>
        </w:rPr>
        <w:t>2.0.3</w:t>
      </w:r>
      <w:r>
        <w:rPr>
          <w:rFonts w:ascii="宋体" w:hAnsi="宋体"/>
          <w:sz w:val="28"/>
          <w:szCs w:val="28"/>
        </w:rPr>
        <w:t xml:space="preserve">  </w:t>
      </w:r>
      <w:r>
        <w:rPr>
          <w:rFonts w:ascii="宋体" w:hAnsi="宋体"/>
        </w:rPr>
        <w:t>利旧构件</w:t>
      </w:r>
      <w:r>
        <w:rPr>
          <w:rFonts w:ascii="宋体" w:hAnsi="宋体" w:hint="eastAsia"/>
        </w:rPr>
        <w:t xml:space="preserve"> </w:t>
      </w:r>
      <w:r>
        <w:rPr>
          <w:rFonts w:hint="eastAsia"/>
        </w:rPr>
        <w:t>Reclaimed Components</w:t>
      </w:r>
    </w:p>
    <w:p>
      <w:pPr>
        <w:spacing w:line="360" w:lineRule="auto"/>
        <w:ind w:firstLine="424" w:firstLineChars="202"/>
      </w:pPr>
      <w:r>
        <w:t>从原厂拆除经整修后在新建厂房中继续使用的主厂房构件和工艺钢结构构件。</w:t>
      </w:r>
    </w:p>
    <w:p>
      <w:pPr>
        <w:tabs>
          <w:tab w:val="left" w:pos="2108"/>
        </w:tabs>
        <w:autoSpaceDE w:val="0"/>
        <w:autoSpaceDN w:val="0"/>
        <w:spacing w:after="160" w:line="440" w:lineRule="exact"/>
        <w:jc w:val="left"/>
        <w:rPr>
          <w:rFonts w:ascii="宋体" w:hAnsi="宋体"/>
          <w:sz w:val="28"/>
          <w:szCs w:val="28"/>
        </w:rPr>
      </w:pPr>
      <w:r>
        <w:rPr>
          <w:rFonts w:ascii="黑体" w:eastAsia="黑体" w:hAnsi="黑体"/>
        </w:rPr>
        <w:t>2.0.4</w:t>
      </w:r>
      <w:r>
        <w:rPr>
          <w:rFonts w:ascii="宋体" w:hAnsi="宋体"/>
          <w:sz w:val="28"/>
          <w:szCs w:val="28"/>
        </w:rPr>
        <w:t xml:space="preserve">  </w:t>
      </w:r>
      <w:r>
        <w:rPr>
          <w:rFonts w:ascii="宋体" w:hAnsi="宋体"/>
        </w:rPr>
        <w:t>利旧材料</w:t>
      </w:r>
      <w:r>
        <w:rPr>
          <w:rFonts w:ascii="宋体" w:hAnsi="宋体"/>
        </w:rPr>
        <w:tab/>
      </w:r>
      <w:r>
        <w:rPr>
          <w:rFonts w:hint="eastAsia"/>
        </w:rPr>
        <w:t>Reclaimed Materials</w:t>
      </w:r>
    </w:p>
    <w:p>
      <w:pPr>
        <w:spacing w:line="360" w:lineRule="auto"/>
        <w:ind w:firstLine="319" w:firstLineChars="152"/>
      </w:pPr>
      <w:r>
        <w:t>从原厂拆除经整修后在新建厂房中继续使用的电缆、电缆桥架、管道等材料。</w:t>
      </w:r>
    </w:p>
    <w:p>
      <w:pPr>
        <w:spacing w:line="360" w:lineRule="auto"/>
      </w:pPr>
      <w:r>
        <w:rPr>
          <w:rFonts w:ascii="黑体" w:eastAsia="黑体" w:hAnsi="黑体"/>
        </w:rPr>
        <w:t>2.0.5</w:t>
      </w:r>
      <w:r>
        <w:rPr>
          <w:rFonts w:ascii="宋体" w:hAnsi="宋体"/>
          <w:sz w:val="28"/>
          <w:szCs w:val="28"/>
        </w:rPr>
        <w:t xml:space="preserve">  </w:t>
      </w:r>
      <w:r>
        <w:t xml:space="preserve">整修 </w:t>
      </w:r>
      <w:r>
        <w:rPr>
          <w:rFonts w:hint="eastAsia"/>
        </w:rPr>
        <w:t>Renovation</w:t>
      </w:r>
    </w:p>
    <w:p>
      <w:pPr>
        <w:spacing w:line="360" w:lineRule="auto"/>
        <w:ind w:firstLine="424" w:firstLineChars="202"/>
      </w:pPr>
      <w:r>
        <w:t>从原厂拆除的设备、构件和材料为保证质量或满足使用功能而进行的返厂维修或现场维修。</w:t>
      </w:r>
    </w:p>
    <w:p>
      <w:pPr>
        <w:autoSpaceDE w:val="0"/>
        <w:autoSpaceDN w:val="0"/>
        <w:spacing w:after="160" w:line="440" w:lineRule="exact"/>
        <w:ind w:left="2" w:firstLine="378"/>
        <w:jc w:val="left"/>
        <w:rPr>
          <w:rFonts w:ascii="宋体" w:hAnsi="宋体"/>
          <w:sz w:val="28"/>
          <w:szCs w:val="28"/>
        </w:rPr>
        <w:sectPr>
          <w:footerReference w:type="default" r:id="rId8"/>
          <w:type w:val="nextPage"/>
          <w:pgSz w:w="11906" w:h="16838"/>
          <w:pgMar w:top="1440" w:right="1800" w:bottom="1440" w:left="1800" w:header="851" w:footer="992" w:gutter="0"/>
          <w:pgNumType w:start="3"/>
          <w:cols w:num="1" w:space="720"/>
          <w:titlePg w:val="0"/>
          <w:docGrid w:type="lines" w:linePitch="312" w:charSpace="0"/>
        </w:sectPr>
      </w:pPr>
    </w:p>
    <w:p>
      <w:pPr>
        <w:pStyle w:val="Heading1"/>
        <w:spacing w:before="340" w:after="330" w:line="578" w:lineRule="auto"/>
        <w:jc w:val="center"/>
        <w:rPr>
          <w:rFonts w:ascii="黑体" w:eastAsia="黑体" w:hAnsi="黑体"/>
          <w:b w:val="0"/>
          <w:sz w:val="21"/>
          <w:szCs w:val="21"/>
        </w:rPr>
      </w:pPr>
      <w:bookmarkStart w:id="3" w:name="_Toc527229346"/>
      <w:r>
        <w:rPr>
          <w:rFonts w:ascii="黑体" w:eastAsia="黑体" w:hAnsi="黑体"/>
          <w:b w:val="0"/>
          <w:sz w:val="21"/>
          <w:szCs w:val="21"/>
        </w:rPr>
        <w:t>3  基本规定</w:t>
      </w:r>
      <w:bookmarkEnd w:id="3"/>
    </w:p>
    <w:p>
      <w:pPr>
        <w:spacing w:line="360" w:lineRule="auto"/>
        <w:rPr>
          <w:sz w:val="28"/>
          <w:szCs w:val="28"/>
        </w:rPr>
      </w:pPr>
      <w:r>
        <w:rPr>
          <w:rFonts w:ascii="黑体" w:eastAsia="黑体" w:hAnsi="黑体"/>
        </w:rPr>
        <w:t>3.0.1</w:t>
      </w:r>
      <w:r>
        <w:rPr>
          <w:b/>
          <w:sz w:val="28"/>
          <w:szCs w:val="28"/>
        </w:rPr>
        <w:t xml:space="preserve"> </w:t>
      </w:r>
      <w:r>
        <w:t>承担冶金搬迁工程的施工单位应具备相应的资质、并应建立相应的质量管理体系、施工质量控制和检验制度。</w:t>
      </w:r>
    </w:p>
    <w:p>
      <w:pPr>
        <w:spacing w:line="360" w:lineRule="auto"/>
        <w:rPr>
          <w:sz w:val="28"/>
          <w:szCs w:val="28"/>
        </w:rPr>
      </w:pPr>
      <w:r>
        <w:rPr>
          <w:rFonts w:ascii="黑体" w:eastAsia="黑体" w:hAnsi="黑体"/>
        </w:rPr>
        <w:t xml:space="preserve">3.0.2  </w:t>
      </w:r>
      <w:r>
        <w:t>施工项目部宜按拆除和新建地点分别设置，统筹管理。</w:t>
      </w:r>
    </w:p>
    <w:p>
      <w:pPr>
        <w:spacing w:line="360" w:lineRule="auto"/>
      </w:pPr>
      <w:r>
        <w:rPr>
          <w:rFonts w:ascii="黑体" w:eastAsia="黑体" w:hAnsi="黑体"/>
        </w:rPr>
        <w:t xml:space="preserve">3.0.3  </w:t>
      </w:r>
      <w:r>
        <w:t>施工前，应由建设单位组织设计、施工、监理等单位对设计文件进行交底和会审。条文说明对拆迁的鉴定评估</w:t>
      </w:r>
    </w:p>
    <w:p>
      <w:pPr>
        <w:spacing w:line="360" w:lineRule="auto"/>
        <w:rPr>
          <w:sz w:val="28"/>
          <w:szCs w:val="28"/>
        </w:rPr>
      </w:pPr>
      <w:r>
        <w:rPr>
          <w:rFonts w:ascii="黑体" w:eastAsia="黑体" w:hAnsi="黑体"/>
        </w:rPr>
        <w:t xml:space="preserve">3.0.4  </w:t>
      </w:r>
      <w:r>
        <w:t>冶金工厂的搬迁工程单位工程、分部工程和分项工程划分可参照相关规范按拆除和新建分别划分。</w:t>
      </w:r>
      <w:r>
        <w:rPr>
          <w:sz w:val="28"/>
          <w:szCs w:val="28"/>
        </w:rPr>
        <w:t xml:space="preserve">                                                                                                                                                                                                                                                                                                                                                                                                                                                                                                                                                                                                                                                                                                                                                                                                                                                                                                                                                                                                                                                                                                                                                                                                                                                                                                                                                                                                                                                                                                                                                                                                                                                                                                                                                                                                                                                                                                                                                                                                                                                                                                                                                                                                                                                                                                                                                                                                                                                                                                                                                                                                                                                                                                                                                                                                                                                                                                                              </w:t>
      </w:r>
    </w:p>
    <w:p>
      <w:pPr>
        <w:spacing w:line="360" w:lineRule="auto"/>
        <w:rPr>
          <w:sz w:val="28"/>
          <w:szCs w:val="28"/>
        </w:rPr>
      </w:pPr>
      <w:r>
        <w:rPr>
          <w:rFonts w:ascii="黑体" w:eastAsia="黑体" w:hAnsi="黑体"/>
        </w:rPr>
        <w:t xml:space="preserve">3.0.5  </w:t>
      </w:r>
      <w:r>
        <w:t xml:space="preserve">冶金工厂搬迁工程的验收应符合GB50300《建筑工程施工质量验收统一标准》的规定。 </w:t>
      </w:r>
      <w:r>
        <w:rPr>
          <w:sz w:val="28"/>
          <w:szCs w:val="28"/>
        </w:rPr>
        <w:t xml:space="preserve">                                                                                                                                                                                                                                                                                                                                                                                                                                                                                                                                                                                                                                  </w:t>
      </w:r>
    </w:p>
    <w:p>
      <w:pPr>
        <w:spacing w:line="360" w:lineRule="auto"/>
        <w:rPr>
          <w:sz w:val="28"/>
          <w:szCs w:val="28"/>
        </w:rPr>
      </w:pPr>
      <w:r>
        <w:rPr>
          <w:rFonts w:ascii="黑体" w:eastAsia="黑体" w:hAnsi="黑体"/>
        </w:rPr>
        <w:t xml:space="preserve">3.0.6  </w:t>
      </w:r>
      <w:r>
        <w:t>冶金工厂的拆除必须编制安全专项方案，并应符合国家建设行政主管部门</w:t>
      </w:r>
      <w:r>
        <w:rPr>
          <w:sz w:val="28"/>
          <w:szCs w:val="28"/>
        </w:rPr>
        <w:t>相关规</w:t>
      </w:r>
      <w:r>
        <w:t>定的要求。</w:t>
      </w:r>
    </w:p>
    <w:p>
      <w:pPr>
        <w:spacing w:line="360" w:lineRule="auto"/>
      </w:pPr>
      <w:r>
        <w:rPr>
          <w:rFonts w:ascii="黑体" w:eastAsia="黑体" w:hAnsi="黑体"/>
        </w:rPr>
        <w:t xml:space="preserve">3.0.7 </w:t>
      </w:r>
      <w:r>
        <w:t xml:space="preserve"> 冶金搬迁工程施工中的安全措施、劳动保护、防火等要求应符合国家现行有关标准的规定。</w:t>
      </w:r>
    </w:p>
    <w:p>
      <w:pPr>
        <w:spacing w:line="360" w:lineRule="auto"/>
        <w:rPr>
          <w:sz w:val="28"/>
          <w:szCs w:val="28"/>
        </w:rPr>
      </w:pPr>
      <w:r>
        <w:rPr>
          <w:rFonts w:ascii="黑体" w:eastAsia="黑体" w:hAnsi="黑体"/>
        </w:rPr>
        <w:t>3.0.8</w:t>
      </w:r>
      <w:r>
        <w:rPr>
          <w:b/>
          <w:sz w:val="28"/>
          <w:szCs w:val="28"/>
        </w:rPr>
        <w:t xml:space="preserve"> </w:t>
      </w:r>
      <w:r>
        <w:t>利旧设备、利旧构件和利旧材料在整修、仓储、运输和安装过程中应采用妥善的保护措施。</w:t>
      </w:r>
    </w:p>
    <w:p>
      <w:pPr>
        <w:spacing w:line="360" w:lineRule="auto"/>
      </w:pPr>
      <w:r>
        <w:rPr>
          <w:rFonts w:ascii="黑体" w:eastAsia="黑体" w:hAnsi="黑体"/>
        </w:rPr>
        <w:t xml:space="preserve">3.0.9 </w:t>
      </w:r>
      <w:r>
        <w:t>拆除前对利旧的构件、设备和材料进行标记、标识。</w:t>
      </w:r>
    </w:p>
    <w:p>
      <w:pPr>
        <w:autoSpaceDE w:val="0"/>
        <w:autoSpaceDN w:val="0"/>
        <w:spacing w:after="160" w:line="440" w:lineRule="exact"/>
        <w:jc w:val="left"/>
        <w:rPr>
          <w:rFonts w:ascii="宋体" w:hAnsi="宋体"/>
          <w:sz w:val="28"/>
          <w:szCs w:val="28"/>
        </w:rPr>
      </w:pPr>
    </w:p>
    <w:p>
      <w:pPr>
        <w:autoSpaceDE w:val="0"/>
        <w:autoSpaceDN w:val="0"/>
        <w:spacing w:after="160" w:line="440" w:lineRule="exact"/>
        <w:jc w:val="left"/>
        <w:rPr>
          <w:rFonts w:ascii="宋体" w:hAnsi="宋体"/>
          <w:sz w:val="28"/>
          <w:szCs w:val="28"/>
        </w:rPr>
        <w:sectPr>
          <w:footerReference w:type="default" r:id="rId9"/>
          <w:type w:val="nextPage"/>
          <w:pgSz w:w="11906" w:h="16838"/>
          <w:pgMar w:top="1440" w:right="1800" w:bottom="1440" w:left="1800" w:header="851" w:footer="992" w:gutter="0"/>
          <w:pgNumType w:start="4"/>
          <w:cols w:num="1" w:space="720"/>
          <w:titlePg w:val="0"/>
          <w:docGrid w:type="lines" w:linePitch="312" w:charSpace="0"/>
        </w:sectPr>
      </w:pPr>
    </w:p>
    <w:p>
      <w:pPr>
        <w:pStyle w:val="Heading1"/>
        <w:spacing w:line="360" w:lineRule="auto"/>
        <w:jc w:val="center"/>
        <w:rPr>
          <w:rFonts w:ascii="黑体" w:eastAsia="黑体" w:hAnsi="黑体"/>
          <w:b w:val="0"/>
          <w:sz w:val="21"/>
          <w:szCs w:val="21"/>
        </w:rPr>
      </w:pPr>
      <w:bookmarkStart w:id="4" w:name="_Toc527229347"/>
      <w:r>
        <w:rPr>
          <w:rFonts w:ascii="黑体" w:eastAsia="黑体" w:hAnsi="黑体"/>
          <w:b w:val="0"/>
          <w:sz w:val="21"/>
          <w:szCs w:val="21"/>
        </w:rPr>
        <w:t xml:space="preserve">4  </w:t>
      </w:r>
      <w:r>
        <w:rPr>
          <w:rFonts w:ascii="黑体" w:eastAsia="黑体" w:hAnsi="黑体" w:hint="eastAsia"/>
          <w:b w:val="0"/>
          <w:sz w:val="21"/>
          <w:szCs w:val="21"/>
        </w:rPr>
        <w:t>钢结构工程</w:t>
      </w:r>
      <w:bookmarkEnd w:id="4"/>
    </w:p>
    <w:p>
      <w:pPr>
        <w:pStyle w:val="Heading2"/>
        <w:spacing w:line="360" w:lineRule="auto"/>
        <w:jc w:val="center"/>
        <w:rPr>
          <w:rFonts w:ascii="黑体" w:eastAsia="黑体" w:hAnsi="黑体"/>
          <w:b w:val="0"/>
          <w:sz w:val="21"/>
          <w:szCs w:val="21"/>
        </w:rPr>
      </w:pPr>
      <w:bookmarkStart w:id="5" w:name="_Toc527229348"/>
      <w:r>
        <w:rPr>
          <w:rFonts w:ascii="黑体" w:eastAsia="黑体" w:hAnsi="黑体"/>
          <w:b w:val="0"/>
          <w:sz w:val="21"/>
          <w:szCs w:val="21"/>
        </w:rPr>
        <w:t xml:space="preserve">4.1  </w:t>
      </w:r>
      <w:r>
        <w:rPr>
          <w:rFonts w:ascii="黑体" w:eastAsia="黑体" w:hAnsi="黑体" w:hint="eastAsia"/>
          <w:b w:val="0"/>
          <w:sz w:val="21"/>
          <w:szCs w:val="21"/>
        </w:rPr>
        <w:t>一般规定</w:t>
      </w:r>
      <w:bookmarkEnd w:id="5"/>
    </w:p>
    <w:p>
      <w:pPr>
        <w:spacing w:line="360" w:lineRule="auto"/>
      </w:pPr>
      <w:r>
        <w:rPr>
          <w:rFonts w:ascii="黑体" w:eastAsia="黑体" w:hAnsi="黑体"/>
        </w:rPr>
        <w:t>4.1.1</w:t>
      </w:r>
      <w:r>
        <w:rPr>
          <w:sz w:val="28"/>
          <w:szCs w:val="28"/>
        </w:rPr>
        <w:t xml:space="preserve"> </w:t>
      </w:r>
      <w:r>
        <w:t>利旧钢结构构件应具有相应的设计文件，其使用年限应符合设计文件要求。</w:t>
      </w:r>
      <w:r>
        <w:rPr>
          <w:rFonts w:ascii="黑体" w:eastAsia="黑体" w:hAnsi="黑体"/>
        </w:rPr>
        <w:t xml:space="preserve">4.1.2 </w:t>
      </w:r>
      <w:r>
        <w:t>安装和拆除现场应有相应的技术标准、质量管理体系和审批手续完备的施工组织设计、施工方案等文件。</w:t>
      </w:r>
    </w:p>
    <w:p>
      <w:pPr>
        <w:spacing w:line="360" w:lineRule="auto"/>
        <w:rPr>
          <w:sz w:val="28"/>
          <w:szCs w:val="28"/>
        </w:rPr>
      </w:pPr>
      <w:r>
        <w:rPr>
          <w:rFonts w:ascii="黑体" w:eastAsia="黑体" w:hAnsi="黑体"/>
        </w:rPr>
        <w:t xml:space="preserve">4.1.3 </w:t>
      </w:r>
      <w:r>
        <w:t>钢结构的拆除应编制安全专项方案，必要时需经专家论证后方可实施。</w:t>
      </w:r>
    </w:p>
    <w:p>
      <w:pPr>
        <w:spacing w:line="360" w:lineRule="auto"/>
      </w:pPr>
      <w:r>
        <w:rPr>
          <w:rFonts w:ascii="黑体" w:eastAsia="黑体" w:hAnsi="黑体"/>
        </w:rPr>
        <w:t xml:space="preserve">4.1.4 </w:t>
      </w:r>
      <w:r>
        <w:t>利旧构件的整修应编制整修方案，经批准后实施。</w:t>
      </w:r>
    </w:p>
    <w:p>
      <w:pPr>
        <w:spacing w:line="360" w:lineRule="auto"/>
      </w:pPr>
      <w:r>
        <w:rPr>
          <w:rFonts w:ascii="黑体" w:eastAsia="黑体" w:hAnsi="黑体"/>
        </w:rPr>
        <w:t xml:space="preserve">4.1.5 </w:t>
      </w:r>
      <w:r>
        <w:t>钢结构工程的施工质量验收必须采用经计量检定、校准合格的计量器具。</w:t>
      </w:r>
    </w:p>
    <w:p>
      <w:pPr>
        <w:spacing w:line="360" w:lineRule="auto"/>
        <w:rPr>
          <w:sz w:val="28"/>
          <w:szCs w:val="28"/>
        </w:rPr>
      </w:pPr>
      <w:r>
        <w:rPr>
          <w:rFonts w:ascii="黑体" w:eastAsia="黑体" w:hAnsi="黑体"/>
        </w:rPr>
        <w:t xml:space="preserve">4.1.6 </w:t>
      </w:r>
      <w:r>
        <w:t>利旧钢结构构件的施工质量验收按本规范执行，验收程序符合GB50300《建筑工程施工质量验收统一标准》和GB50205《钢结构工程施工质量验收规范》的要求。</w:t>
      </w:r>
    </w:p>
    <w:p>
      <w:pPr>
        <w:spacing w:line="360" w:lineRule="auto"/>
      </w:pPr>
      <w:r>
        <w:rPr>
          <w:rFonts w:ascii="黑体" w:eastAsia="黑体" w:hAnsi="黑体"/>
        </w:rPr>
        <w:t xml:space="preserve">4.1.7 </w:t>
      </w:r>
      <w:r>
        <w:t>新制作和安装的钢结构施工质量验收按GB50205《钢结构工程施工质量验收规范》的要求执行。</w:t>
      </w:r>
    </w:p>
    <w:p>
      <w:pPr>
        <w:pStyle w:val="Heading2"/>
        <w:spacing w:before="260" w:after="260" w:line="360" w:lineRule="auto"/>
        <w:jc w:val="center"/>
        <w:rPr>
          <w:rFonts w:ascii="黑体" w:eastAsia="黑体" w:hAnsi="黑体"/>
          <w:b w:val="0"/>
          <w:sz w:val="21"/>
          <w:szCs w:val="21"/>
        </w:rPr>
      </w:pPr>
      <w:bookmarkStart w:id="6" w:name="_Toc527229349"/>
      <w:r>
        <w:rPr>
          <w:rFonts w:ascii="黑体" w:eastAsia="黑体" w:hAnsi="黑体"/>
          <w:b w:val="0"/>
          <w:sz w:val="21"/>
          <w:szCs w:val="21"/>
        </w:rPr>
        <w:t>4.2  钢结构工程的拆除</w:t>
      </w:r>
      <w:bookmarkEnd w:id="6"/>
    </w:p>
    <w:p>
      <w:pPr>
        <w:spacing w:line="360" w:lineRule="auto"/>
        <w:rPr>
          <w:sz w:val="28"/>
          <w:szCs w:val="28"/>
        </w:rPr>
      </w:pPr>
      <w:r>
        <w:rPr>
          <w:rFonts w:ascii="黑体" w:eastAsia="黑体" w:hAnsi="黑体"/>
        </w:rPr>
        <w:t>4.2.1</w:t>
      </w:r>
      <w:r>
        <w:rPr>
          <w:sz w:val="28"/>
          <w:szCs w:val="28"/>
        </w:rPr>
        <w:t xml:space="preserve"> </w:t>
      </w:r>
      <w:r>
        <w:t>建设单位应向拆除施工单位提供以下资料：</w:t>
      </w:r>
    </w:p>
    <w:p>
      <w:pPr>
        <w:spacing w:line="360" w:lineRule="auto"/>
      </w:pPr>
      <w:r>
        <w:t>（1）钢结构拆除的有关图纸和资料；</w:t>
      </w:r>
    </w:p>
    <w:p>
      <w:pPr>
        <w:spacing w:line="360" w:lineRule="auto"/>
      </w:pPr>
      <w:r>
        <w:t>（2）拆除构件周边区域的地上、地下建筑及设施分布情况资料。</w:t>
      </w:r>
    </w:p>
    <w:p>
      <w:pPr>
        <w:spacing w:line="360" w:lineRule="auto"/>
        <w:rPr>
          <w:sz w:val="28"/>
          <w:szCs w:val="28"/>
        </w:rPr>
      </w:pPr>
      <w:r>
        <w:rPr>
          <w:rFonts w:ascii="黑体" w:eastAsia="黑体" w:hAnsi="黑体"/>
        </w:rPr>
        <w:t>4.2.2</w:t>
      </w:r>
      <w:r>
        <w:rPr>
          <w:sz w:val="28"/>
          <w:szCs w:val="28"/>
        </w:rPr>
        <w:t xml:space="preserve"> </w:t>
      </w:r>
      <w:r>
        <w:t>施工单位应全面了解拆除工程的图纸和资料，并应进行现场勘察、编制施工组织设计或安全专项施工方案。</w:t>
      </w:r>
    </w:p>
    <w:p>
      <w:pPr>
        <w:spacing w:line="360" w:lineRule="auto"/>
        <w:rPr>
          <w:b/>
        </w:rPr>
      </w:pPr>
      <w:r>
        <w:rPr>
          <w:rFonts w:ascii="黑体" w:eastAsia="黑体" w:hAnsi="黑体"/>
        </w:rPr>
        <w:t>4.2.3</w:t>
      </w:r>
      <w:r>
        <w:rPr>
          <w:sz w:val="28"/>
          <w:szCs w:val="28"/>
        </w:rPr>
        <w:t xml:space="preserve"> </w:t>
      </w:r>
      <w:r>
        <w:t>拆除工程施工区域应设置硬质封闭围挡及醒目警示标志，围挡高度不应低于1．8m，非施工人员不得进入施工区。当被拆除厂房与交通道路或其他在用设施的安全距离不能满足要求时，必须采取相应的安全隔离措施。</w:t>
      </w:r>
    </w:p>
    <w:p>
      <w:pPr>
        <w:spacing w:line="360" w:lineRule="auto"/>
        <w:rPr>
          <w:sz w:val="28"/>
          <w:szCs w:val="28"/>
        </w:rPr>
      </w:pPr>
      <w:r>
        <w:rPr>
          <w:rFonts w:ascii="黑体" w:eastAsia="黑体" w:hAnsi="黑体"/>
        </w:rPr>
        <w:t>4.2.4</w:t>
      </w:r>
      <w:r>
        <w:rPr>
          <w:sz w:val="28"/>
          <w:szCs w:val="28"/>
        </w:rPr>
        <w:t xml:space="preserve"> </w:t>
      </w:r>
      <w:r>
        <w:t>钢结构工程的拆除顺序应与安装顺序相反，即先安装的构件后拆除、后安装的构件先拆除。</w:t>
      </w:r>
    </w:p>
    <w:p>
      <w:pPr>
        <w:spacing w:line="360" w:lineRule="auto"/>
      </w:pPr>
      <w:r>
        <w:rPr>
          <w:rFonts w:ascii="黑体" w:eastAsia="黑体" w:hAnsi="黑体"/>
        </w:rPr>
        <w:t>4.2.5</w:t>
      </w:r>
      <w:r>
        <w:rPr>
          <w:sz w:val="28"/>
          <w:szCs w:val="28"/>
        </w:rPr>
        <w:t xml:space="preserve"> </w:t>
      </w:r>
      <w:r>
        <w:t>钢结构的拆除工程除满足本规范要求外，还应符合JGJl47《建筑拆除工程安全技术规范》的要求。</w:t>
      </w:r>
    </w:p>
    <w:p>
      <w:pPr>
        <w:spacing w:line="360" w:lineRule="auto"/>
      </w:pPr>
      <w:r>
        <w:rPr>
          <w:rFonts w:ascii="黑体" w:eastAsia="黑体" w:hAnsi="黑体"/>
        </w:rPr>
        <w:t xml:space="preserve">4.2.6 </w:t>
      </w:r>
      <w:r>
        <w:t>钢结构部分利旧时，应根据情况在相应构件拆除前或拆除后对原结构进行加固，确保安全。</w:t>
      </w:r>
    </w:p>
    <w:p>
      <w:pPr>
        <w:autoSpaceDE w:val="0"/>
        <w:autoSpaceDN w:val="0"/>
        <w:spacing w:after="160" w:line="440" w:lineRule="exact"/>
        <w:jc w:val="left"/>
        <w:rPr>
          <w:rFonts w:ascii="宋体" w:hAnsi="宋体"/>
        </w:rPr>
        <w:sectPr>
          <w:footerReference w:type="default" r:id="rId10"/>
          <w:type w:val="nextPage"/>
          <w:pgSz w:w="11906" w:h="16838"/>
          <w:pgMar w:top="1440" w:right="1800" w:bottom="1440" w:left="1800" w:header="851" w:footer="992" w:gutter="0"/>
          <w:pgNumType w:start="5"/>
          <w:cols w:num="1" w:space="720"/>
          <w:titlePg w:val="0"/>
          <w:docGrid w:type="lines" w:linePitch="312" w:charSpace="0"/>
        </w:sectPr>
      </w:pPr>
    </w:p>
    <w:p>
      <w:pPr>
        <w:pStyle w:val="Heading2"/>
        <w:spacing w:before="260" w:after="260" w:line="415" w:lineRule="auto"/>
        <w:jc w:val="center"/>
        <w:rPr>
          <w:rFonts w:ascii="黑体" w:eastAsia="黑体" w:hAnsi="黑体"/>
          <w:b w:val="0"/>
          <w:sz w:val="21"/>
          <w:szCs w:val="21"/>
        </w:rPr>
      </w:pPr>
      <w:bookmarkStart w:id="7" w:name="_Toc527229350"/>
      <w:r>
        <w:rPr>
          <w:rFonts w:ascii="黑体" w:eastAsia="黑体" w:hAnsi="黑体"/>
          <w:b w:val="0"/>
          <w:sz w:val="21"/>
          <w:szCs w:val="21"/>
        </w:rPr>
        <w:t>4.3  利旧构件的整修与安装</w:t>
      </w:r>
      <w:bookmarkEnd w:id="7"/>
    </w:p>
    <w:p>
      <w:pPr>
        <w:spacing w:line="360" w:lineRule="auto"/>
        <w:rPr>
          <w:sz w:val="28"/>
          <w:szCs w:val="28"/>
        </w:rPr>
      </w:pPr>
      <w:r>
        <w:rPr>
          <w:rFonts w:ascii="黑体" w:eastAsia="黑体" w:hAnsi="黑体"/>
        </w:rPr>
        <w:t xml:space="preserve">4.3.1 </w:t>
      </w:r>
      <w:r>
        <w:t>利旧构件拆除后应返厂</w:t>
      </w:r>
      <w:r>
        <w:rPr>
          <w:rFonts w:hint="eastAsia"/>
        </w:rPr>
        <w:t>按设计要求</w:t>
      </w:r>
      <w:r>
        <w:t>进行整修，整修完成后经检验合格方可出厂。</w:t>
      </w:r>
    </w:p>
    <w:p>
      <w:pPr>
        <w:autoSpaceDE w:val="0"/>
        <w:autoSpaceDN w:val="0"/>
        <w:spacing w:after="160" w:line="440" w:lineRule="exact"/>
        <w:jc w:val="center"/>
        <w:rPr>
          <w:rFonts w:ascii="黑体" w:eastAsia="黑体" w:hAnsi="黑体"/>
        </w:rPr>
      </w:pPr>
      <w:r>
        <w:rPr>
          <w:rFonts w:ascii="黑体" w:eastAsia="黑体" w:hAnsi="黑体"/>
        </w:rPr>
        <w:t>Ⅰ  主控项目</w:t>
      </w:r>
    </w:p>
    <w:p>
      <w:pPr>
        <w:spacing w:line="360" w:lineRule="auto"/>
      </w:pPr>
      <w:r>
        <w:rPr>
          <w:rFonts w:ascii="黑体" w:eastAsia="黑体" w:hAnsi="黑体"/>
        </w:rPr>
        <w:t xml:space="preserve">4.3.2 </w:t>
      </w:r>
      <w:r>
        <w:t>利旧构件返厂整修前应进行外观检查，不得有不可恢复的塑性变形，焊缝不得有明显裂纹等缺陷，零件损伤的深度符合相应的规范要求。</w:t>
      </w:r>
    </w:p>
    <w:p>
      <w:pPr>
        <w:spacing w:line="360" w:lineRule="auto"/>
      </w:pPr>
      <w:r>
        <w:t>检查数量：全数检查。</w:t>
      </w:r>
    </w:p>
    <w:p>
      <w:pPr>
        <w:spacing w:line="360" w:lineRule="auto"/>
      </w:pPr>
      <w:r>
        <w:t>检验方法：观察检查，用游标卡尺量。</w:t>
      </w:r>
    </w:p>
    <w:p>
      <w:pPr>
        <w:spacing w:line="360" w:lineRule="auto"/>
      </w:pPr>
      <w:r>
        <w:rPr>
          <w:rFonts w:ascii="黑体" w:eastAsia="黑体" w:hAnsi="黑体"/>
        </w:rPr>
        <w:t>4.3.3</w:t>
      </w:r>
      <w:r>
        <w:rPr>
          <w:rFonts w:ascii="宋体" w:hAnsi="宋体"/>
        </w:rPr>
        <w:t>利旧构件中原设计要求全焊透的一、二级级焊缝整修期间应采用超声波或射线探伤进行内部缺陷抽检，抽检比例不少于原检测比例的10%。</w:t>
      </w:r>
      <w:r>
        <w:rPr>
          <w:rFonts w:ascii="宋体" w:hAnsi="宋体" w:hint="eastAsia"/>
        </w:rPr>
        <w:t>超声波探伤不能对缺陷作出判断时，应采用射线探伤，其内部缺陷分级及探伤方法应符合现行国家标准《钢焊缝手工超声波探伤方法和探伤结果分级法》GB11345或《钢融化焊对接接头射线照相和质量分级》GB3323的规定</w:t>
      </w:r>
      <w:r>
        <w:rPr>
          <w:rFonts w:ascii="宋体" w:hAnsi="宋体"/>
        </w:rPr>
        <w:t>。当有一条焊缝不符合原设计要求时，抽检比例加倍，当仍有焊缝质量不符合原设计要求时，则对该构件所有焊缝按原设计要求的抽检比例进行检查确认。</w:t>
      </w:r>
      <w:r>
        <w:t>一级、二级焊缝的质量等级及缺陷分级应符合表4.3.3的规定.</w:t>
      </w:r>
    </w:p>
    <w:p>
      <w:pPr>
        <w:spacing w:line="360" w:lineRule="auto"/>
      </w:pPr>
      <w:r>
        <w:t>检查数量：原设计要求的10%。</w:t>
      </w:r>
    </w:p>
    <w:p>
      <w:pPr>
        <w:spacing w:line="360" w:lineRule="auto"/>
      </w:pPr>
      <w:r>
        <w:t>检查方法：检查超声波或射线探伤记录。</w:t>
      </w:r>
    </w:p>
    <w:p>
      <w:pPr>
        <w:autoSpaceDE w:val="0"/>
        <w:autoSpaceDN w:val="0"/>
        <w:spacing w:after="160" w:line="440" w:lineRule="exact"/>
        <w:ind w:firstLine="560"/>
        <w:jc w:val="center"/>
        <w:rPr>
          <w:rFonts w:ascii="黑体" w:eastAsia="黑体" w:hAnsi="黑体"/>
        </w:rPr>
      </w:pPr>
      <w:r>
        <w:rPr>
          <w:rFonts w:ascii="黑体" w:eastAsia="黑体" w:hAnsi="黑体"/>
        </w:rPr>
        <w:t>表4.3.3 利旧构件原设计一级、二级焊缝的质量等级及缺陷分级</w:t>
      </w:r>
    </w:p>
    <w:tbl>
      <w:tblPr>
        <w:tblStyle w:val="TableGrid0"/>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2130"/>
        <w:gridCol w:w="2130"/>
        <w:gridCol w:w="2131"/>
        <w:gridCol w:w="2131"/>
      </w:tblGrid>
      <w:tr>
        <w:tblPrEx>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382"/>
        </w:trPr>
        <w:tc>
          <w:tcPr>
            <w:tcW w:w="4260" w:type="dxa"/>
            <w:gridSpan w:val="2"/>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焊缝质量等级</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一级</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二级</w:t>
            </w:r>
          </w:p>
        </w:tc>
      </w:tr>
      <w:tr>
        <w:tblPrEx>
          <w:tblW w:w="8522" w:type="dxa"/>
          <w:tblInd w:w="0" w:type="dxa"/>
          <w:tblLayout w:type="fixed"/>
          <w:tblCellMar>
            <w:top w:w="0" w:type="dxa"/>
            <w:left w:w="108" w:type="dxa"/>
            <w:bottom w:w="0" w:type="dxa"/>
            <w:right w:w="108" w:type="dxa"/>
          </w:tblCellMar>
        </w:tblPrEx>
        <w:tc>
          <w:tcPr>
            <w:tcW w:w="2130" w:type="dxa"/>
            <w:vMerge w:val="restart"/>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内部缺陷超声波探伤</w:t>
            </w:r>
          </w:p>
        </w:tc>
        <w:tc>
          <w:tcPr>
            <w:tcW w:w="2130"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评定等级</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Ⅱ</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Ⅲ</w:t>
            </w:r>
          </w:p>
        </w:tc>
      </w:tr>
      <w:tr>
        <w:tblPrEx>
          <w:tblW w:w="8522" w:type="dxa"/>
          <w:tblInd w:w="0" w:type="dxa"/>
          <w:tblLayout w:type="fixed"/>
          <w:tblCellMar>
            <w:top w:w="0" w:type="dxa"/>
            <w:left w:w="108" w:type="dxa"/>
            <w:bottom w:w="0" w:type="dxa"/>
            <w:right w:w="108" w:type="dxa"/>
          </w:tblCellMar>
        </w:tblPrEx>
        <w:tc>
          <w:tcPr>
            <w:tcW w:w="2130" w:type="dxa"/>
            <w:vMerge/>
            <w:shd w:val="clear" w:color="auto" w:fill="auto"/>
            <w:vAlign w:val="center"/>
          </w:tcPr>
          <w:p>
            <w:pPr>
              <w:rPr>
                <w:sz w:val="18"/>
                <w:szCs w:val="18"/>
              </w:rPr>
            </w:pPr>
          </w:p>
        </w:tc>
        <w:tc>
          <w:tcPr>
            <w:tcW w:w="2130"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检验等级</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B级</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B级</w:t>
            </w:r>
          </w:p>
        </w:tc>
      </w:tr>
      <w:tr>
        <w:tblPrEx>
          <w:tblW w:w="8522" w:type="dxa"/>
          <w:tblInd w:w="0" w:type="dxa"/>
          <w:tblLayout w:type="fixed"/>
          <w:tblCellMar>
            <w:top w:w="0" w:type="dxa"/>
            <w:left w:w="108" w:type="dxa"/>
            <w:bottom w:w="0" w:type="dxa"/>
            <w:right w:w="108" w:type="dxa"/>
          </w:tblCellMar>
        </w:tblPrEx>
        <w:trPr>
          <w:trHeight w:val="251"/>
        </w:trPr>
        <w:tc>
          <w:tcPr>
            <w:tcW w:w="2130" w:type="dxa"/>
            <w:vMerge/>
            <w:shd w:val="clear" w:color="auto" w:fill="auto"/>
            <w:vAlign w:val="center"/>
          </w:tcPr>
          <w:p>
            <w:pPr>
              <w:rPr>
                <w:sz w:val="18"/>
                <w:szCs w:val="18"/>
              </w:rPr>
            </w:pPr>
          </w:p>
        </w:tc>
        <w:tc>
          <w:tcPr>
            <w:tcW w:w="2130"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探伤比例</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10%</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2%</w:t>
            </w:r>
          </w:p>
        </w:tc>
      </w:tr>
      <w:tr>
        <w:tblPrEx>
          <w:tblW w:w="8522" w:type="dxa"/>
          <w:tblInd w:w="0" w:type="dxa"/>
          <w:tblLayout w:type="fixed"/>
          <w:tblCellMar>
            <w:top w:w="0" w:type="dxa"/>
            <w:left w:w="108" w:type="dxa"/>
            <w:bottom w:w="0" w:type="dxa"/>
            <w:right w:w="108" w:type="dxa"/>
          </w:tblCellMar>
        </w:tblPrEx>
        <w:tc>
          <w:tcPr>
            <w:tcW w:w="2130" w:type="dxa"/>
            <w:vMerge w:val="restart"/>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内部缺陷射线探伤</w:t>
            </w:r>
          </w:p>
        </w:tc>
        <w:tc>
          <w:tcPr>
            <w:tcW w:w="2130"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评定等级</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Ⅱ</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Ⅲ</w:t>
            </w:r>
          </w:p>
        </w:tc>
      </w:tr>
      <w:tr>
        <w:tblPrEx>
          <w:tblW w:w="8522" w:type="dxa"/>
          <w:tblInd w:w="0" w:type="dxa"/>
          <w:tblLayout w:type="fixed"/>
          <w:tblCellMar>
            <w:top w:w="0" w:type="dxa"/>
            <w:left w:w="108" w:type="dxa"/>
            <w:bottom w:w="0" w:type="dxa"/>
            <w:right w:w="108" w:type="dxa"/>
          </w:tblCellMar>
        </w:tblPrEx>
        <w:tc>
          <w:tcPr>
            <w:tcW w:w="2130" w:type="dxa"/>
            <w:vMerge/>
            <w:shd w:val="clear" w:color="auto" w:fill="auto"/>
            <w:vAlign w:val="center"/>
          </w:tcPr>
          <w:p>
            <w:pPr>
              <w:rPr>
                <w:sz w:val="18"/>
                <w:szCs w:val="18"/>
              </w:rPr>
            </w:pPr>
          </w:p>
        </w:tc>
        <w:tc>
          <w:tcPr>
            <w:tcW w:w="2130"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检验等级</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AB级</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AB级</w:t>
            </w:r>
          </w:p>
        </w:tc>
      </w:tr>
      <w:tr>
        <w:tblPrEx>
          <w:tblW w:w="8522" w:type="dxa"/>
          <w:tblInd w:w="0" w:type="dxa"/>
          <w:tblLayout w:type="fixed"/>
          <w:tblCellMar>
            <w:top w:w="0" w:type="dxa"/>
            <w:left w:w="108" w:type="dxa"/>
            <w:bottom w:w="0" w:type="dxa"/>
            <w:right w:w="108" w:type="dxa"/>
          </w:tblCellMar>
        </w:tblPrEx>
        <w:trPr>
          <w:trHeight w:val="70"/>
        </w:trPr>
        <w:tc>
          <w:tcPr>
            <w:tcW w:w="2130" w:type="dxa"/>
            <w:vMerge/>
            <w:shd w:val="clear" w:color="auto" w:fill="auto"/>
            <w:vAlign w:val="center"/>
          </w:tcPr>
          <w:p>
            <w:pPr>
              <w:rPr>
                <w:sz w:val="18"/>
                <w:szCs w:val="18"/>
              </w:rPr>
            </w:pPr>
          </w:p>
        </w:tc>
        <w:tc>
          <w:tcPr>
            <w:tcW w:w="2130"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探伤比例</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10%</w:t>
            </w:r>
          </w:p>
        </w:tc>
        <w:tc>
          <w:tcPr>
            <w:tcW w:w="2131" w:type="dxa"/>
            <w:shd w:val="clear" w:color="auto" w:fill="auto"/>
            <w:vAlign w:val="center"/>
          </w:tcPr>
          <w:p>
            <w:pPr>
              <w:autoSpaceDE w:val="0"/>
              <w:autoSpaceDN w:val="0"/>
              <w:spacing w:after="160" w:line="440" w:lineRule="exact"/>
              <w:jc w:val="center"/>
              <w:rPr>
                <w:rFonts w:ascii="宋体" w:hAnsi="宋体"/>
                <w:sz w:val="18"/>
                <w:szCs w:val="18"/>
              </w:rPr>
            </w:pPr>
            <w:r>
              <w:rPr>
                <w:rFonts w:ascii="宋体" w:hAnsi="宋体"/>
                <w:sz w:val="18"/>
                <w:szCs w:val="18"/>
              </w:rPr>
              <w:t>2%</w:t>
            </w:r>
          </w:p>
        </w:tc>
      </w:tr>
    </w:tbl>
    <w:p>
      <w:pPr>
        <w:sectPr>
          <w:footerReference w:type="default" r:id="rId11"/>
          <w:type w:val="nextPage"/>
          <w:pgSz w:w="11906" w:h="16838"/>
          <w:pgMar w:top="1440" w:right="1800" w:bottom="1440" w:left="1800" w:header="851" w:footer="992" w:gutter="0"/>
          <w:pgNumType w:start="6"/>
          <w:cols w:num="1" w:space="720"/>
          <w:titlePg w:val="0"/>
          <w:docGrid w:type="lines" w:linePitch="312" w:charSpace="0"/>
        </w:sectPr>
      </w:pPr>
    </w:p>
    <w:p>
      <w:pPr>
        <w:autoSpaceDE w:val="0"/>
        <w:autoSpaceDN w:val="0"/>
        <w:spacing w:after="160" w:line="440" w:lineRule="exact"/>
        <w:jc w:val="left"/>
        <w:rPr>
          <w:rFonts w:ascii="宋体" w:hAnsi="宋体"/>
        </w:rPr>
      </w:pPr>
      <w:r>
        <w:rPr>
          <w:rFonts w:ascii="黑体" w:eastAsia="黑体" w:hAnsi="黑体"/>
        </w:rPr>
        <w:t xml:space="preserve">4.3.4 </w:t>
      </w:r>
      <w:r>
        <w:rPr>
          <w:rFonts w:ascii="宋体" w:hAnsi="宋体"/>
        </w:rPr>
        <w:t>经整修后的钢屋（托）架、桁架、梁及受压杆件垂直度和侧向弯曲矢高允许偏差符合表4.3.4的要求。</w:t>
      </w:r>
    </w:p>
    <w:p>
      <w:pPr>
        <w:autoSpaceDE w:val="0"/>
        <w:autoSpaceDN w:val="0"/>
        <w:spacing w:after="160" w:line="440" w:lineRule="exact"/>
        <w:ind w:firstLine="420"/>
        <w:jc w:val="left"/>
        <w:rPr>
          <w:rFonts w:ascii="宋体" w:hAnsi="宋体"/>
        </w:rPr>
      </w:pPr>
      <w:r>
        <w:rPr>
          <w:rFonts w:ascii="宋体" w:hAnsi="宋体"/>
        </w:rPr>
        <w:t>检查数量：按同类构件数抽查10%，且不少于3件。</w:t>
      </w:r>
    </w:p>
    <w:p>
      <w:pPr>
        <w:autoSpaceDE w:val="0"/>
        <w:autoSpaceDN w:val="0"/>
        <w:spacing w:after="160" w:line="440" w:lineRule="exact"/>
        <w:ind w:firstLine="420"/>
        <w:jc w:val="left"/>
        <w:rPr>
          <w:rFonts w:ascii="宋体" w:hAnsi="宋体"/>
        </w:rPr>
      </w:pPr>
      <w:r>
        <w:rPr>
          <w:rFonts w:ascii="宋体" w:hAnsi="宋体"/>
        </w:rPr>
        <w:t>检验方法：用吊线、拉线、经纬仪和钢尺现场实测。</w:t>
      </w:r>
    </w:p>
    <w:p>
      <w:pPr>
        <w:autoSpaceDE w:val="0"/>
        <w:autoSpaceDN w:val="0"/>
        <w:spacing w:after="160" w:line="440" w:lineRule="exact"/>
        <w:jc w:val="center"/>
        <w:rPr>
          <w:rFonts w:ascii="黑体" w:eastAsia="黑体" w:hAnsi="黑体"/>
        </w:rPr>
      </w:pPr>
      <w:r>
        <w:rPr>
          <w:rFonts w:ascii="黑体" w:eastAsia="黑体" w:hAnsi="黑体"/>
        </w:rPr>
        <w:t>表4.3.4   钢屋（托）架、桁架、梁及受压杆件垂直度和</w:t>
      </w:r>
    </w:p>
    <w:p>
      <w:pPr>
        <w:autoSpaceDE w:val="0"/>
        <w:autoSpaceDN w:val="0"/>
        <w:spacing w:after="160" w:line="440" w:lineRule="exact"/>
        <w:jc w:val="center"/>
        <w:rPr>
          <w:rFonts w:ascii="黑体" w:eastAsia="黑体" w:hAnsi="黑体"/>
        </w:rPr>
      </w:pPr>
      <w:r>
        <w:rPr>
          <w:rFonts w:ascii="黑体" w:eastAsia="黑体" w:hAnsi="黑体"/>
        </w:rPr>
        <w:t>侧向弯曲矢高的允许偏差（mm）</w:t>
      </w:r>
    </w:p>
    <w:tbl>
      <w:tblPr>
        <w:tblStyle w:val="TableGrid1"/>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668"/>
        <w:gridCol w:w="1346"/>
        <w:gridCol w:w="1630"/>
        <w:gridCol w:w="3878"/>
      </w:tblGrid>
      <w:tr>
        <w:tblPrEx>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1668"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项目</w:t>
            </w:r>
          </w:p>
        </w:tc>
        <w:tc>
          <w:tcPr>
            <w:tcW w:w="2976"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允许偏差</w:t>
            </w:r>
          </w:p>
        </w:tc>
        <w:tc>
          <w:tcPr>
            <w:tcW w:w="3878"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图例</w:t>
            </w:r>
          </w:p>
        </w:tc>
      </w:tr>
      <w:tr>
        <w:tblPrEx>
          <w:tblW w:w="8522" w:type="dxa"/>
          <w:tblInd w:w="0" w:type="dxa"/>
          <w:tblLayout w:type="fixed"/>
          <w:tblCellMar>
            <w:top w:w="0" w:type="dxa"/>
            <w:left w:w="108" w:type="dxa"/>
            <w:bottom w:w="0" w:type="dxa"/>
            <w:right w:w="108" w:type="dxa"/>
          </w:tblCellMar>
        </w:tblPrEx>
        <w:trPr>
          <w:trHeight w:val="1145"/>
        </w:trPr>
        <w:tc>
          <w:tcPr>
            <w:tcW w:w="1668"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跨中的垂直度</w:t>
            </w:r>
          </w:p>
        </w:tc>
        <w:tc>
          <w:tcPr>
            <w:tcW w:w="2976"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h/250，且不大于18</w:t>
            </w:r>
          </w:p>
        </w:tc>
        <w:tc>
          <w:tcPr>
            <w:tcW w:w="3878" w:type="dxa"/>
          </w:tcPr>
          <w:p>
            <w:pPr>
              <w:autoSpaceDE w:val="0"/>
              <w:autoSpaceDN w:val="0"/>
              <w:spacing w:after="160" w:line="440" w:lineRule="exact"/>
              <w:jc w:val="left"/>
              <w:rPr>
                <w:rFonts w:ascii="宋体" w:hAnsi="宋体"/>
                <w:sz w:val="18"/>
                <w:szCs w:val="18"/>
              </w:rPr>
            </w:pPr>
            <w:r>
              <w:rPr>
                <w:sz w:val="18"/>
                <w:szCs w:val="18"/>
              </w:rPr>
              <w:drawing>
                <wp:anchor distT="0" distB="0" distL="114300" distR="114300" simplePos="0" relativeHeight="251660288" behindDoc="0" locked="0" layoutInCell="1" allowOverlap="1">
                  <wp:simplePos x="0" y="0"/>
                  <wp:positionH relativeFrom="column">
                    <wp:posOffset>80010</wp:posOffset>
                  </wp:positionH>
                  <wp:positionV relativeFrom="paragraph">
                    <wp:posOffset>19050</wp:posOffset>
                  </wp:positionV>
                  <wp:extent cx="2143760" cy="747395"/>
                  <wp:effectExtent l="0" t="0" r="0" b="0"/>
                  <wp:wrapNone/>
                  <wp:docPr id="2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8"/>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44395" cy="748030"/>
                          </a:xfrm>
                          <a:prstGeom prst="rect">
                            <a:avLst/>
                          </a:prstGeom>
                          <a:ln/>
                        </pic:spPr>
                      </pic:pic>
                    </a:graphicData>
                  </a:graphic>
                </wp:anchor>
              </w:drawing>
            </w:r>
          </w:p>
          <w:p>
            <w:pPr>
              <w:autoSpaceDE w:val="0"/>
              <w:autoSpaceDN w:val="0"/>
              <w:spacing w:after="160" w:line="440" w:lineRule="exact"/>
              <w:jc w:val="left"/>
              <w:rPr>
                <w:rFonts w:ascii="宋体" w:hAnsi="宋体"/>
                <w:sz w:val="18"/>
                <w:szCs w:val="18"/>
              </w:rPr>
            </w:pPr>
          </w:p>
          <w:p>
            <w:pPr>
              <w:autoSpaceDE w:val="0"/>
              <w:autoSpaceDN w:val="0"/>
              <w:spacing w:after="160" w:line="440" w:lineRule="exact"/>
              <w:jc w:val="left"/>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rPr>
          <w:trHeight w:val="1443"/>
        </w:trPr>
        <w:tc>
          <w:tcPr>
            <w:tcW w:w="1668"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t>侧向弯曲矢高f</w:t>
            </w:r>
          </w:p>
        </w:tc>
        <w:tc>
          <w:tcPr>
            <w:tcW w:w="1346" w:type="dxa"/>
            <w:vAlign w:val="center"/>
          </w:tcPr>
          <w:p>
            <w:pPr>
              <w:tabs>
                <w:tab w:val="left" w:pos="1275"/>
              </w:tabs>
              <w:autoSpaceDE w:val="0"/>
              <w:autoSpaceDN w:val="0"/>
              <w:spacing w:after="160" w:line="440" w:lineRule="exact"/>
              <w:jc w:val="center"/>
              <w:rPr>
                <w:rFonts w:ascii="宋体" w:hAnsi="宋体"/>
                <w:sz w:val="18"/>
                <w:szCs w:val="18"/>
              </w:rPr>
            </w:pPr>
            <w:r>
              <w:rPr>
                <w:rFonts w:ascii="宋体" w:hAnsi="宋体"/>
                <w:sz w:val="18"/>
                <w:szCs w:val="18"/>
              </w:rPr>
              <w:t>l≤30m</w:t>
            </w:r>
          </w:p>
        </w:tc>
        <w:tc>
          <w:tcPr>
            <w:tcW w:w="1630" w:type="dxa"/>
            <w:vAlign w:val="center"/>
          </w:tcPr>
          <w:p>
            <w:pPr>
              <w:tabs>
                <w:tab w:val="left" w:pos="1275"/>
              </w:tabs>
              <w:autoSpaceDE w:val="0"/>
              <w:autoSpaceDN w:val="0"/>
              <w:spacing w:after="160" w:line="440" w:lineRule="exact"/>
              <w:jc w:val="center"/>
              <w:rPr>
                <w:rFonts w:ascii="宋体" w:hAnsi="宋体"/>
                <w:sz w:val="18"/>
                <w:szCs w:val="18"/>
              </w:rPr>
            </w:pPr>
            <w:r>
              <w:rPr>
                <w:rFonts w:ascii="宋体" w:hAnsi="宋体"/>
                <w:sz w:val="18"/>
                <w:szCs w:val="18"/>
              </w:rPr>
              <w:t>l/1000，且不大于12</w:t>
            </w:r>
          </w:p>
        </w:tc>
        <w:tc>
          <w:tcPr>
            <w:tcW w:w="3878" w:type="dxa"/>
            <w:vMerge w:val="restart"/>
          </w:tcPr>
          <w:p>
            <w:pPr>
              <w:autoSpaceDE w:val="0"/>
              <w:autoSpaceDN w:val="0"/>
              <w:spacing w:after="160" w:line="440" w:lineRule="exact"/>
              <w:jc w:val="left"/>
              <w:rPr>
                <w:rFonts w:ascii="宋体" w:hAnsi="宋体"/>
                <w:sz w:val="18"/>
                <w:szCs w:val="18"/>
              </w:rPr>
            </w:pPr>
            <w:r>
              <w:rPr>
                <w:sz w:val="18"/>
                <w:szCs w:val="18"/>
              </w:rPr>
              <w:drawing>
                <wp:anchor distT="0" distB="0" distL="114300" distR="114300" simplePos="0" relativeHeight="251661312" behindDoc="0" locked="0" layoutInCell="1" allowOverlap="1">
                  <wp:simplePos x="0" y="0"/>
                  <wp:positionH relativeFrom="column">
                    <wp:posOffset>280035</wp:posOffset>
                  </wp:positionH>
                  <wp:positionV relativeFrom="paragraph">
                    <wp:posOffset>8890</wp:posOffset>
                  </wp:positionV>
                  <wp:extent cx="1914525" cy="885825"/>
                  <wp:effectExtent l="0" t="0" r="9525" b="9525"/>
                  <wp:wrapNone/>
                  <wp:docPr id="2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9"/>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18103" cy="887480"/>
                          </a:xfrm>
                          <a:prstGeom prst="rect">
                            <a:avLst/>
                          </a:prstGeom>
                          <a:ln/>
                        </pic:spPr>
                      </pic:pic>
                    </a:graphicData>
                  </a:graphic>
                </wp:anchor>
              </w:drawing>
            </w:r>
          </w:p>
          <w:p>
            <w:pPr>
              <w:autoSpaceDE w:val="0"/>
              <w:autoSpaceDN w:val="0"/>
              <w:spacing w:after="160" w:line="440" w:lineRule="exact"/>
              <w:jc w:val="left"/>
              <w:rPr>
                <w:rFonts w:ascii="宋体" w:hAnsi="宋体"/>
                <w:sz w:val="18"/>
                <w:szCs w:val="18"/>
              </w:rPr>
            </w:pPr>
          </w:p>
          <w:p>
            <w:pPr>
              <w:autoSpaceDE w:val="0"/>
              <w:autoSpaceDN w:val="0"/>
              <w:spacing w:after="160" w:line="440" w:lineRule="exact"/>
              <w:jc w:val="left"/>
              <w:rPr>
                <w:rFonts w:ascii="宋体" w:hAnsi="宋体"/>
                <w:sz w:val="18"/>
                <w:szCs w:val="18"/>
              </w:rPr>
            </w:pPr>
            <w:r>
              <w:rPr>
                <w:sz w:val="18"/>
                <w:szCs w:val="18"/>
              </w:rPr>
              <w:drawing>
                <wp:anchor distT="0" distB="0" distL="114300" distR="114300" simplePos="0" relativeHeight="251662336" behindDoc="0" locked="0" layoutInCell="1" allowOverlap="1">
                  <wp:simplePos x="0" y="0"/>
                  <wp:positionH relativeFrom="column">
                    <wp:posOffset>4445</wp:posOffset>
                  </wp:positionH>
                  <wp:positionV relativeFrom="paragraph">
                    <wp:posOffset>323850</wp:posOffset>
                  </wp:positionV>
                  <wp:extent cx="2200275" cy="688975"/>
                  <wp:effectExtent l="0" t="0" r="0" b="0"/>
                  <wp:wrapNone/>
                  <wp:docPr id="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0"/>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00275" cy="689021"/>
                          </a:xfrm>
                          <a:prstGeom prst="rect">
                            <a:avLst/>
                          </a:prstGeom>
                          <a:ln/>
                        </pic:spPr>
                      </pic:pic>
                    </a:graphicData>
                  </a:graphic>
                </wp:anchor>
              </w:drawing>
            </w:r>
            <w:r>
              <w:rPr>
                <w:sz w:val="18"/>
                <w:szCs w:val="18"/>
              </w:rPr>
              <w:drawing>
                <wp:anchor distT="0" distB="0" distL="114300" distR="114300" simplePos="0" relativeHeight="251663360" behindDoc="0" locked="0" layoutInCell="1" allowOverlap="1">
                  <wp:simplePos x="0" y="0"/>
                  <wp:positionH relativeFrom="column">
                    <wp:posOffset>146685</wp:posOffset>
                  </wp:positionH>
                  <wp:positionV relativeFrom="paragraph">
                    <wp:posOffset>1253490</wp:posOffset>
                  </wp:positionV>
                  <wp:extent cx="2044065" cy="746125"/>
                  <wp:effectExtent l="0" t="0" r="0" b="0"/>
                  <wp:wrapNone/>
                  <wp:docPr id="2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1"/>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044065" cy="746125"/>
                          </a:xfrm>
                          <a:prstGeom prst="rect">
                            <a:avLst/>
                          </a:prstGeom>
                          <a:ln/>
                        </pic:spPr>
                      </pic:pic>
                    </a:graphicData>
                  </a:graphic>
                </wp:anchor>
              </w:drawing>
            </w:r>
          </w:p>
        </w:tc>
      </w:tr>
      <w:tr>
        <w:tblPrEx>
          <w:tblW w:w="8522" w:type="dxa"/>
          <w:tblInd w:w="0" w:type="dxa"/>
          <w:tblLayout w:type="fixed"/>
          <w:tblCellMar>
            <w:top w:w="0" w:type="dxa"/>
            <w:left w:w="108" w:type="dxa"/>
            <w:bottom w:w="0" w:type="dxa"/>
            <w:right w:w="108" w:type="dxa"/>
          </w:tblCellMar>
        </w:tblPrEx>
        <w:trPr>
          <w:trHeight w:val="1548"/>
        </w:trPr>
        <w:tc>
          <w:tcPr>
            <w:tcW w:w="1668" w:type="dxa"/>
            <w:vMerge/>
            <w:vAlign w:val="center"/>
          </w:tcPr>
          <w:p>
            <w:pPr>
              <w:rPr>
                <w:sz w:val="18"/>
                <w:szCs w:val="18"/>
              </w:rPr>
            </w:pPr>
          </w:p>
        </w:tc>
        <w:tc>
          <w:tcPr>
            <w:tcW w:w="1346"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30m&lt;l≤60m</w:t>
            </w:r>
          </w:p>
        </w:tc>
        <w:tc>
          <w:tcPr>
            <w:tcW w:w="163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l/1000，且不大于36</w:t>
            </w:r>
          </w:p>
        </w:tc>
        <w:tc>
          <w:tcPr>
            <w:tcW w:w="3878" w:type="dxa"/>
            <w:vMerge/>
          </w:tcPr>
          <w:p>
            <w:pPr>
              <w:rPr>
                <w:sz w:val="18"/>
                <w:szCs w:val="18"/>
              </w:rPr>
            </w:pPr>
          </w:p>
        </w:tc>
      </w:tr>
      <w:tr>
        <w:tblPrEx>
          <w:tblW w:w="8522" w:type="dxa"/>
          <w:tblInd w:w="0" w:type="dxa"/>
          <w:tblLayout w:type="fixed"/>
          <w:tblCellMar>
            <w:top w:w="0" w:type="dxa"/>
            <w:left w:w="108" w:type="dxa"/>
            <w:bottom w:w="0" w:type="dxa"/>
            <w:right w:w="108" w:type="dxa"/>
          </w:tblCellMar>
        </w:tblPrEx>
        <w:trPr>
          <w:trHeight w:val="1408"/>
        </w:trPr>
        <w:tc>
          <w:tcPr>
            <w:tcW w:w="1668" w:type="dxa"/>
            <w:vMerge/>
            <w:vAlign w:val="center"/>
          </w:tcPr>
          <w:p>
            <w:pPr>
              <w:rPr>
                <w:sz w:val="18"/>
                <w:szCs w:val="18"/>
              </w:rPr>
            </w:pPr>
          </w:p>
        </w:tc>
        <w:tc>
          <w:tcPr>
            <w:tcW w:w="1346"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l&gt;60m</w:t>
            </w:r>
          </w:p>
        </w:tc>
        <w:tc>
          <w:tcPr>
            <w:tcW w:w="163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l/1000，且不大于60</w:t>
            </w:r>
          </w:p>
        </w:tc>
        <w:tc>
          <w:tcPr>
            <w:tcW w:w="3878" w:type="dxa"/>
            <w:vMerge/>
          </w:tcPr>
          <w:p>
            <w:pPr>
              <w:rPr>
                <w:sz w:val="18"/>
                <w:szCs w:val="18"/>
              </w:rPr>
            </w:pPr>
          </w:p>
        </w:tc>
      </w:tr>
    </w:tbl>
    <w:p>
      <w:pPr>
        <w:autoSpaceDE w:val="0"/>
        <w:autoSpaceDN w:val="0"/>
        <w:spacing w:after="160" w:line="440" w:lineRule="exact"/>
        <w:jc w:val="left"/>
        <w:rPr>
          <w:rFonts w:ascii="宋体" w:hAnsi="宋体"/>
          <w:b/>
        </w:rPr>
      </w:pPr>
      <w:r>
        <w:rPr>
          <w:rFonts w:ascii="黑体" w:eastAsia="黑体" w:hAnsi="黑体"/>
        </w:rPr>
        <w:t>4.3.5</w:t>
      </w:r>
      <w:r>
        <w:rPr>
          <w:rFonts w:ascii="黑体" w:eastAsia="黑体" w:hAnsi="黑体" w:hint="eastAsia"/>
        </w:rPr>
        <w:t xml:space="preserve"> </w:t>
      </w:r>
      <w:r>
        <w:rPr>
          <w:rFonts w:ascii="宋体" w:hAnsi="宋体"/>
          <w:b/>
        </w:rPr>
        <w:t>单层钢结构主体结构的整体垂直度和整体平面弯曲的允许偏差符合表4.3.5的规定。</w:t>
      </w:r>
    </w:p>
    <w:p>
      <w:pPr>
        <w:autoSpaceDE w:val="0"/>
        <w:autoSpaceDN w:val="0"/>
        <w:spacing w:after="160" w:line="440" w:lineRule="exact"/>
        <w:ind w:firstLine="420"/>
        <w:jc w:val="left"/>
        <w:rPr>
          <w:rFonts w:ascii="宋体" w:hAnsi="宋体"/>
          <w:b/>
        </w:rPr>
      </w:pPr>
      <w:r>
        <w:rPr>
          <w:rFonts w:ascii="宋体" w:hAnsi="宋体"/>
          <w:b/>
        </w:rPr>
        <w:t>检查数量：对主要立面全部检查。对每个所检查的立面，除两列角柱外，尚应至少选取一列中间柱。</w:t>
      </w:r>
    </w:p>
    <w:p>
      <w:pPr>
        <w:autoSpaceDE w:val="0"/>
        <w:autoSpaceDN w:val="0"/>
        <w:spacing w:after="160" w:line="440" w:lineRule="exact"/>
        <w:ind w:firstLine="420"/>
        <w:jc w:val="left"/>
        <w:rPr>
          <w:rFonts w:ascii="宋体" w:hAnsi="宋体"/>
          <w:b/>
        </w:rPr>
      </w:pPr>
      <w:r>
        <w:rPr>
          <w:rFonts w:ascii="宋体" w:hAnsi="宋体"/>
          <w:b/>
        </w:rPr>
        <w:t>检查方法：采用经纬仪、全站仪等测量。</w:t>
      </w:r>
    </w:p>
    <w:p>
      <w:pPr>
        <w:autoSpaceDE w:val="0"/>
        <w:autoSpaceDN w:val="0"/>
        <w:spacing w:after="160" w:line="440" w:lineRule="exact"/>
        <w:ind w:firstLine="420"/>
        <w:jc w:val="left"/>
        <w:rPr>
          <w:rFonts w:ascii="宋体" w:hAnsi="宋体"/>
          <w:b/>
        </w:rPr>
      </w:pPr>
    </w:p>
    <w:p>
      <w:pPr>
        <w:autoSpaceDE w:val="0"/>
        <w:autoSpaceDN w:val="0"/>
        <w:spacing w:after="160" w:line="440" w:lineRule="exact"/>
        <w:ind w:firstLine="420"/>
        <w:jc w:val="left"/>
        <w:rPr>
          <w:rFonts w:ascii="宋体" w:hAnsi="宋体"/>
          <w:b/>
        </w:rPr>
        <w:sectPr>
          <w:footerReference w:type="default" r:id="rId16"/>
          <w:type w:val="nextPage"/>
          <w:pgSz w:w="11906" w:h="16838"/>
          <w:pgMar w:top="1440" w:right="1800" w:bottom="1440" w:left="1800" w:header="851" w:footer="992" w:gutter="0"/>
          <w:pgNumType w:start="7"/>
          <w:cols w:num="1" w:space="720"/>
          <w:titlePg w:val="0"/>
          <w:docGrid w:type="lines" w:linePitch="312" w:charSpace="0"/>
        </w:sectPr>
      </w:pPr>
    </w:p>
    <w:p>
      <w:pPr>
        <w:autoSpaceDE w:val="0"/>
        <w:autoSpaceDN w:val="0"/>
        <w:spacing w:after="160" w:line="440" w:lineRule="exact"/>
        <w:ind w:firstLine="420"/>
        <w:jc w:val="center"/>
        <w:rPr>
          <w:rFonts w:ascii="黑体" w:eastAsia="黑体" w:hAnsi="黑体"/>
        </w:rPr>
      </w:pPr>
      <w:r>
        <w:rPr>
          <w:rFonts w:ascii="黑体" w:eastAsia="黑体" w:hAnsi="黑体"/>
        </w:rPr>
        <w:t>表4.3.5   整体垂直度和整体平面弯曲的允许偏差</w:t>
      </w:r>
    </w:p>
    <w:tbl>
      <w:tblPr>
        <w:tblStyle w:val="TableGrid2"/>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2840"/>
        <w:gridCol w:w="2841"/>
        <w:gridCol w:w="2841"/>
      </w:tblGrid>
      <w:tr>
        <w:tblPrEx>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项目</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允许偏差</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图例</w:t>
            </w:r>
          </w:p>
        </w:tc>
      </w:tr>
      <w:tr>
        <w:tblPrEx>
          <w:tblW w:w="8522" w:type="dxa"/>
          <w:tblInd w:w="0" w:type="dxa"/>
          <w:tblLayout w:type="fixed"/>
          <w:tblCellMar>
            <w:top w:w="0" w:type="dxa"/>
            <w:left w:w="108" w:type="dxa"/>
            <w:bottom w:w="0" w:type="dxa"/>
            <w:right w:w="108" w:type="dxa"/>
          </w:tblCellMar>
        </w:tblPrEx>
        <w:trPr>
          <w:trHeight w:val="2177"/>
        </w:trPr>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主体结构的整体垂直度</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H/1000,且不应大于25</w:t>
            </w:r>
          </w:p>
        </w:tc>
        <w:tc>
          <w:tcPr>
            <w:tcW w:w="2841" w:type="dxa"/>
            <w:vAlign w:val="center"/>
          </w:tcPr>
          <w:p>
            <w:pPr>
              <w:autoSpaceDE w:val="0"/>
              <w:autoSpaceDN w:val="0"/>
              <w:spacing w:after="160" w:line="440" w:lineRule="exact"/>
              <w:jc w:val="center"/>
              <w:rPr>
                <w:rFonts w:ascii="宋体" w:hAnsi="宋体"/>
                <w:sz w:val="18"/>
                <w:szCs w:val="18"/>
              </w:rPr>
            </w:pPr>
            <w:r>
              <w:rPr>
                <w:sz w:val="18"/>
                <w:szCs w:val="18"/>
              </w:rPr>
              <w:drawing>
                <wp:anchor distT="0" distB="0" distL="114300" distR="114300" simplePos="0" relativeHeight="251664384" behindDoc="0" locked="0" layoutInCell="1" allowOverlap="1">
                  <wp:simplePos x="0" y="0"/>
                  <wp:positionH relativeFrom="column">
                    <wp:posOffset>163195</wp:posOffset>
                  </wp:positionH>
                  <wp:positionV relativeFrom="paragraph">
                    <wp:posOffset>13335</wp:posOffset>
                  </wp:positionV>
                  <wp:extent cx="1347470" cy="1420495"/>
                  <wp:effectExtent l="0" t="0" r="0" b="0"/>
                  <wp:wrapNone/>
                  <wp:docPr id="3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2"/>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48105" cy="1421130"/>
                          </a:xfrm>
                          <a:prstGeom prst="rect">
                            <a:avLst/>
                          </a:prstGeom>
                          <a:ln/>
                        </pic:spPr>
                      </pic:pic>
                    </a:graphicData>
                  </a:graphic>
                </wp:anchor>
              </w:drawing>
            </w:r>
          </w:p>
          <w:p>
            <w:pPr>
              <w:autoSpaceDE w:val="0"/>
              <w:autoSpaceDN w:val="0"/>
              <w:spacing w:after="160" w:line="440" w:lineRule="exact"/>
              <w:jc w:val="center"/>
              <w:rPr>
                <w:rFonts w:ascii="宋体" w:hAnsi="宋体"/>
                <w:sz w:val="18"/>
                <w:szCs w:val="18"/>
              </w:rPr>
            </w:pPr>
          </w:p>
          <w:p>
            <w:pPr>
              <w:autoSpaceDE w:val="0"/>
              <w:autoSpaceDN w:val="0"/>
              <w:spacing w:after="160" w:line="440" w:lineRule="exact"/>
              <w:jc w:val="center"/>
              <w:rPr>
                <w:rFonts w:ascii="宋体" w:hAnsi="宋体"/>
                <w:sz w:val="18"/>
                <w:szCs w:val="18"/>
              </w:rPr>
            </w:pPr>
          </w:p>
          <w:p>
            <w:pPr>
              <w:autoSpaceDE w:val="0"/>
              <w:autoSpaceDN w:val="0"/>
              <w:spacing w:after="160" w:line="440" w:lineRule="exact"/>
              <w:jc w:val="cente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rPr>
          <w:trHeight w:val="1551"/>
        </w:trPr>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主体结构的整体平面弯曲</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H/1500，且不应大于25</w:t>
            </w:r>
          </w:p>
        </w:tc>
        <w:tc>
          <w:tcPr>
            <w:tcW w:w="2841" w:type="dxa"/>
            <w:vAlign w:val="center"/>
          </w:tcPr>
          <w:p>
            <w:pPr>
              <w:autoSpaceDE w:val="0"/>
              <w:autoSpaceDN w:val="0"/>
              <w:spacing w:after="160" w:line="440" w:lineRule="exact"/>
              <w:jc w:val="center"/>
              <w:rPr>
                <w:rFonts w:ascii="宋体" w:hAnsi="宋体"/>
                <w:sz w:val="18"/>
                <w:szCs w:val="18"/>
              </w:rPr>
            </w:pPr>
            <w:r>
              <w:rPr>
                <w:sz w:val="18"/>
                <w:szCs w:val="18"/>
              </w:rPr>
              <w:drawing>
                <wp:anchor distT="0" distB="0" distL="114300" distR="114300" simplePos="0" relativeHeight="251665408" behindDoc="0" locked="0" layoutInCell="1" allowOverlap="1">
                  <wp:simplePos x="0" y="0"/>
                  <wp:positionH relativeFrom="column">
                    <wp:posOffset>67310</wp:posOffset>
                  </wp:positionH>
                  <wp:positionV relativeFrom="paragraph">
                    <wp:posOffset>46355</wp:posOffset>
                  </wp:positionV>
                  <wp:extent cx="1572895" cy="782320"/>
                  <wp:effectExtent l="0" t="0" r="0" b="0"/>
                  <wp:wrapNone/>
                  <wp:docPr id="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4"/>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73530" cy="782955"/>
                          </a:xfrm>
                          <a:prstGeom prst="rect">
                            <a:avLst/>
                          </a:prstGeom>
                          <a:ln/>
                        </pic:spPr>
                      </pic:pic>
                    </a:graphicData>
                  </a:graphic>
                </wp:anchor>
              </w:drawing>
            </w:r>
          </w:p>
          <w:p>
            <w:pPr>
              <w:autoSpaceDE w:val="0"/>
              <w:autoSpaceDN w:val="0"/>
              <w:spacing w:after="160" w:line="440" w:lineRule="exact"/>
              <w:jc w:val="center"/>
              <w:rPr>
                <w:rFonts w:ascii="宋体" w:hAnsi="宋体"/>
                <w:sz w:val="18"/>
                <w:szCs w:val="18"/>
              </w:rPr>
            </w:pPr>
          </w:p>
          <w:p>
            <w:pPr>
              <w:autoSpaceDE w:val="0"/>
              <w:autoSpaceDN w:val="0"/>
              <w:spacing w:after="160" w:line="440" w:lineRule="exact"/>
              <w:rPr>
                <w:rFonts w:ascii="宋体" w:hAnsi="宋体"/>
                <w:sz w:val="18"/>
                <w:szCs w:val="18"/>
              </w:rPr>
            </w:pPr>
          </w:p>
        </w:tc>
      </w:tr>
    </w:tbl>
    <w:p>
      <w:pPr>
        <w:autoSpaceDE w:val="0"/>
        <w:autoSpaceDN w:val="0"/>
        <w:spacing w:after="160" w:line="440" w:lineRule="exact"/>
        <w:jc w:val="left"/>
        <w:rPr>
          <w:rFonts w:ascii="宋体" w:hAnsi="宋体"/>
          <w:sz w:val="18"/>
          <w:szCs w:val="18"/>
        </w:rPr>
      </w:pPr>
      <w:r>
        <w:rPr>
          <w:rFonts w:ascii="宋体" w:hAnsi="宋体"/>
          <w:sz w:val="18"/>
          <w:szCs w:val="18"/>
        </w:rPr>
        <w:t>注：当柱或吊车梁等主要构件为利旧时，允许偏差可比表中限值增大5mm。</w:t>
      </w:r>
    </w:p>
    <w:p>
      <w:pPr>
        <w:autoSpaceDE w:val="0"/>
        <w:autoSpaceDN w:val="0"/>
        <w:spacing w:after="160" w:line="440" w:lineRule="exact"/>
        <w:jc w:val="left"/>
        <w:rPr>
          <w:rFonts w:ascii="宋体" w:hAnsi="宋体"/>
          <w:sz w:val="28"/>
          <w:szCs w:val="28"/>
        </w:rPr>
      </w:pPr>
    </w:p>
    <w:p>
      <w:pPr>
        <w:autoSpaceDE w:val="0"/>
        <w:autoSpaceDN w:val="0"/>
        <w:spacing w:after="160" w:line="440" w:lineRule="exact"/>
        <w:jc w:val="center"/>
        <w:rPr>
          <w:rFonts w:ascii="黑体" w:eastAsia="黑体" w:hAnsi="黑体"/>
        </w:rPr>
      </w:pPr>
      <w:r>
        <w:rPr>
          <w:rFonts w:ascii="黑体" w:eastAsia="黑体" w:hAnsi="黑体"/>
        </w:rPr>
        <w:t>Ⅱ  一般项目</w:t>
      </w:r>
    </w:p>
    <w:p>
      <w:pPr>
        <w:autoSpaceDE w:val="0"/>
        <w:autoSpaceDN w:val="0"/>
        <w:spacing w:after="160" w:line="440" w:lineRule="exact"/>
        <w:jc w:val="left"/>
        <w:rPr>
          <w:rFonts w:ascii="宋体" w:hAnsi="宋体"/>
        </w:rPr>
      </w:pPr>
      <w:r>
        <w:rPr>
          <w:rFonts w:ascii="黑体" w:eastAsia="黑体" w:hAnsi="黑体"/>
        </w:rPr>
        <w:t xml:space="preserve">4.3.6 </w:t>
      </w:r>
      <w:r>
        <w:rPr>
          <w:rFonts w:ascii="宋体" w:hAnsi="宋体"/>
        </w:rPr>
        <w:t>利旧钢柱等主要构件的中心线及标高基准点等标记应齐全。</w:t>
      </w:r>
    </w:p>
    <w:p>
      <w:pPr>
        <w:autoSpaceDE w:val="0"/>
        <w:autoSpaceDN w:val="0"/>
        <w:spacing w:after="160" w:line="440" w:lineRule="exact"/>
        <w:ind w:firstLine="560"/>
        <w:jc w:val="left"/>
        <w:rPr>
          <w:rFonts w:ascii="宋体" w:hAnsi="宋体"/>
        </w:rPr>
      </w:pPr>
      <w:r>
        <w:rPr>
          <w:rFonts w:ascii="宋体" w:hAnsi="宋体"/>
        </w:rPr>
        <w:t>检查数量：按同类构件数量抽查10%，且不少于3件。</w:t>
      </w:r>
    </w:p>
    <w:p>
      <w:pPr>
        <w:autoSpaceDE w:val="0"/>
        <w:autoSpaceDN w:val="0"/>
        <w:spacing w:after="160" w:line="440" w:lineRule="exact"/>
        <w:ind w:firstLine="560"/>
        <w:jc w:val="left"/>
        <w:rPr>
          <w:rFonts w:ascii="宋体" w:hAnsi="宋体"/>
        </w:rPr>
      </w:pPr>
      <w:r>
        <w:rPr>
          <w:rFonts w:ascii="宋体" w:hAnsi="宋体"/>
        </w:rPr>
        <w:t>检验方法：观察检查。</w:t>
      </w:r>
    </w:p>
    <w:p>
      <w:pPr>
        <w:autoSpaceDE w:val="0"/>
        <w:autoSpaceDN w:val="0"/>
        <w:spacing w:after="160" w:line="440" w:lineRule="exact"/>
        <w:jc w:val="left"/>
        <w:rPr>
          <w:rFonts w:ascii="宋体" w:hAnsi="宋体"/>
        </w:rPr>
      </w:pPr>
      <w:r>
        <w:rPr>
          <w:rFonts w:ascii="黑体" w:eastAsia="黑体" w:hAnsi="黑体"/>
        </w:rPr>
        <w:t>4.3.7</w:t>
      </w:r>
      <w:r>
        <w:rPr>
          <w:rFonts w:ascii="黑体" w:eastAsia="黑体" w:hAnsi="黑体" w:hint="eastAsia"/>
        </w:rPr>
        <w:t xml:space="preserve"> </w:t>
      </w:r>
      <w:r>
        <w:rPr>
          <w:rFonts w:ascii="宋体" w:hAnsi="宋体"/>
        </w:rPr>
        <w:t>利旧钢柱安装的允许偏差应符合表4.3.7的规定</w:t>
      </w:r>
    </w:p>
    <w:p>
      <w:pPr>
        <w:autoSpaceDE w:val="0"/>
        <w:autoSpaceDN w:val="0"/>
        <w:spacing w:after="160" w:line="440" w:lineRule="exact"/>
        <w:ind w:firstLine="420"/>
        <w:jc w:val="left"/>
        <w:rPr>
          <w:rFonts w:ascii="宋体" w:hAnsi="宋体"/>
        </w:rPr>
      </w:pPr>
      <w:r>
        <w:rPr>
          <w:rFonts w:ascii="宋体" w:hAnsi="宋体"/>
        </w:rPr>
        <w:t>检查数量：按钢柱数抽查10%，且不小于3件。</w:t>
      </w:r>
    </w:p>
    <w:p>
      <w:pPr>
        <w:autoSpaceDE w:val="0"/>
        <w:autoSpaceDN w:val="0"/>
        <w:spacing w:after="160" w:line="440" w:lineRule="exact"/>
        <w:ind w:firstLine="420"/>
        <w:jc w:val="left"/>
        <w:rPr>
          <w:rFonts w:ascii="宋体" w:hAnsi="宋体"/>
        </w:rPr>
      </w:pPr>
      <w:r>
        <w:rPr>
          <w:rFonts w:ascii="宋体" w:hAnsi="宋体"/>
        </w:rPr>
        <w:t>检验方法：见表4.3.7。</w:t>
      </w:r>
    </w:p>
    <w:p>
      <w:pPr>
        <w:autoSpaceDE w:val="0"/>
        <w:autoSpaceDN w:val="0"/>
        <w:spacing w:after="160" w:line="440" w:lineRule="exact"/>
        <w:ind w:firstLine="420"/>
        <w:jc w:val="left"/>
        <w:rPr>
          <w:rFonts w:ascii="宋体" w:hAnsi="宋体"/>
        </w:rPr>
      </w:pPr>
    </w:p>
    <w:p>
      <w:pPr>
        <w:autoSpaceDE w:val="0"/>
        <w:autoSpaceDN w:val="0"/>
        <w:spacing w:after="160" w:line="440" w:lineRule="exact"/>
        <w:ind w:firstLine="420"/>
        <w:jc w:val="left"/>
        <w:rPr>
          <w:rFonts w:ascii="宋体" w:hAnsi="宋体"/>
        </w:rPr>
      </w:pPr>
    </w:p>
    <w:p>
      <w:pPr>
        <w:autoSpaceDE w:val="0"/>
        <w:autoSpaceDN w:val="0"/>
        <w:spacing w:after="160" w:line="440" w:lineRule="exact"/>
        <w:ind w:firstLine="420"/>
        <w:jc w:val="left"/>
        <w:rPr>
          <w:rFonts w:ascii="宋体" w:hAnsi="宋体"/>
        </w:rPr>
      </w:pPr>
    </w:p>
    <w:p>
      <w:pPr>
        <w:autoSpaceDE w:val="0"/>
        <w:autoSpaceDN w:val="0"/>
        <w:spacing w:after="160" w:line="440" w:lineRule="exact"/>
        <w:ind w:firstLine="420"/>
        <w:jc w:val="left"/>
        <w:rPr>
          <w:rFonts w:ascii="宋体" w:hAnsi="宋体"/>
        </w:rPr>
        <w:sectPr>
          <w:footerReference w:type="default" r:id="rId19"/>
          <w:type w:val="nextPage"/>
          <w:pgSz w:w="11906" w:h="16838"/>
          <w:pgMar w:top="1440" w:right="1800" w:bottom="1440" w:left="1800" w:header="851" w:footer="992" w:gutter="0"/>
          <w:pgNumType w:start="8"/>
          <w:cols w:num="1" w:space="720"/>
          <w:titlePg w:val="0"/>
          <w:docGrid w:type="lines" w:linePitch="312" w:charSpace="0"/>
        </w:sectPr>
      </w:pPr>
    </w:p>
    <w:p>
      <w:pPr>
        <w:autoSpaceDE w:val="0"/>
        <w:autoSpaceDN w:val="0"/>
        <w:spacing w:after="160" w:line="440" w:lineRule="exact"/>
        <w:jc w:val="center"/>
        <w:rPr>
          <w:rFonts w:ascii="黑体" w:eastAsia="黑体" w:hAnsi="黑体"/>
        </w:rPr>
      </w:pPr>
      <w:r>
        <w:rPr>
          <w:rFonts w:ascii="黑体" w:eastAsia="黑体" w:hAnsi="黑体"/>
        </w:rPr>
        <w:t>表4.3.7  利旧钢柱安装的允许偏差（mm）</w:t>
      </w:r>
    </w:p>
    <w:tbl>
      <w:tblPr>
        <w:tblStyle w:val="TableGrid3"/>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33"/>
        <w:gridCol w:w="829"/>
        <w:gridCol w:w="998"/>
        <w:gridCol w:w="1559"/>
        <w:gridCol w:w="2693"/>
        <w:gridCol w:w="1610"/>
      </w:tblGrid>
      <w:tr>
        <w:tblPrEx>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2660" w:type="dxa"/>
            <w:gridSpan w:val="3"/>
            <w:vAlign w:val="center"/>
          </w:tcPr>
          <w:p>
            <w:pPr>
              <w:autoSpaceDE w:val="0"/>
              <w:autoSpaceDN w:val="0"/>
              <w:spacing w:after="160" w:line="440" w:lineRule="exact"/>
              <w:jc w:val="center"/>
              <w:rPr>
                <w:rFonts w:ascii="宋体" w:hAnsi="宋体"/>
                <w:sz w:val="18"/>
                <w:szCs w:val="18"/>
              </w:rPr>
            </w:pPr>
            <w:r>
              <w:rPr>
                <w:rFonts w:ascii="宋体" w:hAnsi="宋体"/>
                <w:sz w:val="18"/>
                <w:szCs w:val="18"/>
              </w:rPr>
              <w:t>项目</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允许偏差</w:t>
            </w:r>
          </w:p>
        </w:tc>
        <w:tc>
          <w:tcPr>
            <w:tcW w:w="2693"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图例</w:t>
            </w:r>
          </w:p>
        </w:tc>
        <w:tc>
          <w:tcPr>
            <w:tcW w:w="16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检验方法</w:t>
            </w:r>
          </w:p>
        </w:tc>
      </w:tr>
      <w:tr>
        <w:tblPrEx>
          <w:tblW w:w="8522" w:type="dxa"/>
          <w:tblInd w:w="0" w:type="dxa"/>
          <w:tblLayout w:type="fixed"/>
          <w:tblCellMar>
            <w:top w:w="0" w:type="dxa"/>
            <w:left w:w="108" w:type="dxa"/>
            <w:bottom w:w="0" w:type="dxa"/>
            <w:right w:w="108" w:type="dxa"/>
          </w:tblCellMar>
        </w:tblPrEx>
        <w:trPr>
          <w:trHeight w:val="1229"/>
        </w:trPr>
        <w:tc>
          <w:tcPr>
            <w:tcW w:w="2660" w:type="dxa"/>
            <w:gridSpan w:val="3"/>
            <w:vAlign w:val="center"/>
          </w:tcPr>
          <w:p>
            <w:pPr>
              <w:autoSpaceDE w:val="0"/>
              <w:autoSpaceDN w:val="0"/>
              <w:spacing w:after="160" w:line="440" w:lineRule="exact"/>
              <w:jc w:val="center"/>
              <w:rPr>
                <w:rFonts w:ascii="宋体" w:hAnsi="宋体"/>
                <w:sz w:val="18"/>
                <w:szCs w:val="18"/>
              </w:rPr>
            </w:pPr>
            <w:r>
              <w:rPr>
                <w:rFonts w:ascii="宋体" w:hAnsi="宋体"/>
                <w:sz w:val="18"/>
                <w:szCs w:val="18"/>
              </w:rPr>
              <w:t>柱脚底座中心线对定位轴线的偏移</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6</w:t>
            </w:r>
          </w:p>
        </w:tc>
        <w:tc>
          <w:tcPr>
            <w:tcW w:w="2693"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66432" behindDoc="0" locked="0" layoutInCell="1" allowOverlap="1">
                  <wp:simplePos x="0" y="0"/>
                  <wp:positionH relativeFrom="column">
                    <wp:posOffset>-19685</wp:posOffset>
                  </wp:positionH>
                  <wp:positionV relativeFrom="paragraph">
                    <wp:posOffset>-47625</wp:posOffset>
                  </wp:positionV>
                  <wp:extent cx="1617345" cy="725170"/>
                  <wp:effectExtent l="0" t="0" r="0" b="0"/>
                  <wp:wrapNone/>
                  <wp:docPr id="3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17980" cy="725805"/>
                          </a:xfrm>
                          <a:prstGeom prst="rect">
                            <a:avLst/>
                          </a:prstGeom>
                          <a:ln/>
                        </pic:spPr>
                      </pic:pic>
                    </a:graphicData>
                  </a:graphic>
                </wp:anchor>
              </w:drawing>
            </w:r>
          </w:p>
        </w:tc>
        <w:tc>
          <w:tcPr>
            <w:tcW w:w="16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用吊线和钢尺检查</w:t>
            </w:r>
          </w:p>
        </w:tc>
      </w:tr>
      <w:tr>
        <w:tblPrEx>
          <w:tblW w:w="8522" w:type="dxa"/>
          <w:tblInd w:w="0" w:type="dxa"/>
          <w:tblLayout w:type="fixed"/>
          <w:tblCellMar>
            <w:top w:w="0" w:type="dxa"/>
            <w:left w:w="108" w:type="dxa"/>
            <w:bottom w:w="0" w:type="dxa"/>
            <w:right w:w="108" w:type="dxa"/>
          </w:tblCellMar>
        </w:tblPrEx>
        <w:tc>
          <w:tcPr>
            <w:tcW w:w="833"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t>柱基准点标高</w:t>
            </w:r>
          </w:p>
        </w:tc>
        <w:tc>
          <w:tcPr>
            <w:tcW w:w="1827"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有吊车梁的柱</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+3</w:t>
            </w:r>
          </w:p>
          <w:p>
            <w:pPr>
              <w:autoSpaceDE w:val="0"/>
              <w:autoSpaceDN w:val="0"/>
              <w:spacing w:after="160" w:line="440" w:lineRule="exact"/>
              <w:jc w:val="center"/>
              <w:rPr>
                <w:rFonts w:ascii="宋体" w:hAnsi="宋体"/>
                <w:sz w:val="18"/>
                <w:szCs w:val="18"/>
              </w:rPr>
            </w:pPr>
            <w:r>
              <w:rPr>
                <w:rFonts w:ascii="宋体" w:hAnsi="宋体"/>
                <w:sz w:val="18"/>
                <w:szCs w:val="18"/>
              </w:rPr>
              <w:t>-5</w:t>
            </w:r>
          </w:p>
        </w:tc>
        <w:tc>
          <w:tcPr>
            <w:tcW w:w="2693"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67456" behindDoc="0" locked="0" layoutInCell="1" allowOverlap="1">
                  <wp:simplePos x="0" y="0"/>
                  <wp:positionH relativeFrom="column">
                    <wp:posOffset>94615</wp:posOffset>
                  </wp:positionH>
                  <wp:positionV relativeFrom="paragraph">
                    <wp:posOffset>-57150</wp:posOffset>
                  </wp:positionV>
                  <wp:extent cx="1420495" cy="972820"/>
                  <wp:effectExtent l="0" t="0" r="0" b="0"/>
                  <wp:wrapNone/>
                  <wp:docPr id="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21130" cy="973455"/>
                          </a:xfrm>
                          <a:prstGeom prst="rect">
                            <a:avLst/>
                          </a:prstGeom>
                          <a:ln/>
                        </pic:spPr>
                      </pic:pic>
                    </a:graphicData>
                  </a:graphic>
                </wp:anchor>
              </w:drawing>
            </w:r>
          </w:p>
        </w:tc>
        <w:tc>
          <w:tcPr>
            <w:tcW w:w="1610"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t>用水准仪检查</w:t>
            </w:r>
          </w:p>
        </w:tc>
      </w:tr>
      <w:tr>
        <w:tblPrEx>
          <w:tblW w:w="8522" w:type="dxa"/>
          <w:tblInd w:w="0" w:type="dxa"/>
          <w:tblLayout w:type="fixed"/>
          <w:tblCellMar>
            <w:top w:w="0" w:type="dxa"/>
            <w:left w:w="108" w:type="dxa"/>
            <w:bottom w:w="0" w:type="dxa"/>
            <w:right w:w="108" w:type="dxa"/>
          </w:tblCellMar>
        </w:tblPrEx>
        <w:tc>
          <w:tcPr>
            <w:tcW w:w="833" w:type="dxa"/>
            <w:vMerge/>
            <w:vAlign w:val="center"/>
          </w:tcPr>
          <w:p>
            <w:pPr>
              <w:rPr>
                <w:rFonts w:ascii="宋体" w:hAnsi="宋体"/>
                <w:sz w:val="18"/>
                <w:szCs w:val="18"/>
              </w:rPr>
            </w:pPr>
          </w:p>
        </w:tc>
        <w:tc>
          <w:tcPr>
            <w:tcW w:w="1827"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无吊车梁的柱</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+5</w:t>
            </w:r>
          </w:p>
          <w:p>
            <w:pPr>
              <w:autoSpaceDE w:val="0"/>
              <w:autoSpaceDN w:val="0"/>
              <w:spacing w:after="160" w:line="440" w:lineRule="exact"/>
              <w:jc w:val="center"/>
              <w:rPr>
                <w:rFonts w:ascii="宋体" w:hAnsi="宋体"/>
                <w:sz w:val="18"/>
                <w:szCs w:val="18"/>
              </w:rPr>
            </w:pPr>
            <w:r>
              <w:rPr>
                <w:rFonts w:ascii="宋体" w:hAnsi="宋体"/>
                <w:sz w:val="18"/>
                <w:szCs w:val="18"/>
              </w:rPr>
              <w:t>-8</w:t>
            </w:r>
          </w:p>
        </w:tc>
        <w:tc>
          <w:tcPr>
            <w:tcW w:w="2693" w:type="dxa"/>
            <w:vMerge/>
            <w:vAlign w:val="center"/>
          </w:tcPr>
          <w:p>
            <w:pPr>
              <w:rPr>
                <w:rFonts w:ascii="宋体" w:hAnsi="宋体"/>
                <w:sz w:val="18"/>
                <w:szCs w:val="18"/>
              </w:rPr>
            </w:pPr>
          </w:p>
        </w:tc>
        <w:tc>
          <w:tcPr>
            <w:tcW w:w="1610"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rPr>
          <w:trHeight w:val="904"/>
        </w:trPr>
        <w:tc>
          <w:tcPr>
            <w:tcW w:w="2660" w:type="dxa"/>
            <w:gridSpan w:val="3"/>
            <w:vAlign w:val="center"/>
          </w:tcPr>
          <w:p>
            <w:pPr>
              <w:autoSpaceDE w:val="0"/>
              <w:autoSpaceDN w:val="0"/>
              <w:spacing w:after="160" w:line="440" w:lineRule="exact"/>
              <w:jc w:val="center"/>
              <w:rPr>
                <w:rFonts w:ascii="宋体" w:hAnsi="宋体"/>
                <w:sz w:val="18"/>
                <w:szCs w:val="18"/>
              </w:rPr>
            </w:pPr>
            <w:r>
              <w:rPr>
                <w:rFonts w:ascii="宋体" w:hAnsi="宋体"/>
                <w:sz w:val="18"/>
                <w:szCs w:val="18"/>
              </w:rPr>
              <w:t>弯曲矢高</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H/1200，且不大于18</w:t>
            </w:r>
          </w:p>
        </w:tc>
        <w:tc>
          <w:tcPr>
            <w:tcW w:w="2693" w:type="dxa"/>
            <w:vAlign w:val="center"/>
          </w:tcPr>
          <w:p>
            <w:pPr>
              <w:autoSpaceDE w:val="0"/>
              <w:autoSpaceDN w:val="0"/>
              <w:spacing w:after="160" w:line="440" w:lineRule="exact"/>
              <w:jc w:val="center"/>
              <w:rPr>
                <w:rFonts w:ascii="宋体" w:hAnsi="宋体"/>
                <w:sz w:val="18"/>
                <w:szCs w:val="18"/>
              </w:rPr>
            </w:pPr>
          </w:p>
        </w:tc>
        <w:tc>
          <w:tcPr>
            <w:tcW w:w="16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用经纬仪或拉线和钢尺检查</w:t>
            </w:r>
          </w:p>
        </w:tc>
      </w:tr>
      <w:tr>
        <w:tblPrEx>
          <w:tblW w:w="8522" w:type="dxa"/>
          <w:tblInd w:w="0" w:type="dxa"/>
          <w:tblLayout w:type="fixed"/>
          <w:tblCellMar>
            <w:top w:w="0" w:type="dxa"/>
            <w:left w:w="108" w:type="dxa"/>
            <w:bottom w:w="0" w:type="dxa"/>
            <w:right w:w="108" w:type="dxa"/>
          </w:tblCellMar>
        </w:tblPrEx>
        <w:tc>
          <w:tcPr>
            <w:tcW w:w="833"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t>柱轴线垂直度</w:t>
            </w:r>
          </w:p>
        </w:tc>
        <w:tc>
          <w:tcPr>
            <w:tcW w:w="829"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t>单层柱</w:t>
            </w:r>
          </w:p>
        </w:tc>
        <w:tc>
          <w:tcPr>
            <w:tcW w:w="998"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H≤10m</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H/1000</w:t>
            </w:r>
          </w:p>
        </w:tc>
        <w:tc>
          <w:tcPr>
            <w:tcW w:w="2693"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68480" behindDoc="0" locked="0" layoutInCell="1" allowOverlap="1">
                  <wp:simplePos x="0" y="0"/>
                  <wp:positionH relativeFrom="column">
                    <wp:posOffset>267970</wp:posOffset>
                  </wp:positionH>
                  <wp:positionV relativeFrom="paragraph">
                    <wp:posOffset>5715</wp:posOffset>
                  </wp:positionV>
                  <wp:extent cx="1115695" cy="1529715"/>
                  <wp:effectExtent l="0" t="0" r="0" b="0"/>
                  <wp:wrapNone/>
                  <wp:docPr id="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7"/>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16330" cy="1530350"/>
                          </a:xfrm>
                          <a:prstGeom prst="rect">
                            <a:avLst/>
                          </a:prstGeom>
                          <a:ln/>
                        </pic:spPr>
                      </pic:pic>
                    </a:graphicData>
                  </a:graphic>
                </wp:anchor>
              </w:drawing>
            </w:r>
          </w:p>
        </w:tc>
        <w:tc>
          <w:tcPr>
            <w:tcW w:w="1610"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t>用经纬仪或吊线和钢尺检查</w:t>
            </w:r>
          </w:p>
        </w:tc>
      </w:tr>
      <w:tr>
        <w:tblPrEx>
          <w:tblW w:w="8522" w:type="dxa"/>
          <w:tblInd w:w="0" w:type="dxa"/>
          <w:tblLayout w:type="fixed"/>
          <w:tblCellMar>
            <w:top w:w="0" w:type="dxa"/>
            <w:left w:w="108" w:type="dxa"/>
            <w:bottom w:w="0" w:type="dxa"/>
            <w:right w:w="108" w:type="dxa"/>
          </w:tblCellMar>
        </w:tblPrEx>
        <w:tc>
          <w:tcPr>
            <w:tcW w:w="833" w:type="dxa"/>
            <w:vMerge/>
            <w:vAlign w:val="center"/>
          </w:tcPr>
          <w:p>
            <w:pPr>
              <w:rPr>
                <w:rFonts w:ascii="宋体" w:hAnsi="宋体"/>
                <w:sz w:val="18"/>
                <w:szCs w:val="18"/>
              </w:rPr>
            </w:pPr>
          </w:p>
        </w:tc>
        <w:tc>
          <w:tcPr>
            <w:tcW w:w="829" w:type="dxa"/>
            <w:vMerge/>
            <w:vAlign w:val="center"/>
          </w:tcPr>
          <w:p>
            <w:pPr>
              <w:rPr>
                <w:rFonts w:ascii="宋体" w:hAnsi="宋体"/>
                <w:sz w:val="18"/>
                <w:szCs w:val="18"/>
              </w:rPr>
            </w:pPr>
          </w:p>
        </w:tc>
        <w:tc>
          <w:tcPr>
            <w:tcW w:w="998"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H&gt;10m</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H/1000，且不大于25</w:t>
            </w:r>
          </w:p>
        </w:tc>
        <w:tc>
          <w:tcPr>
            <w:tcW w:w="2693" w:type="dxa"/>
            <w:vMerge/>
            <w:vAlign w:val="center"/>
          </w:tcPr>
          <w:p>
            <w:pPr>
              <w:rPr>
                <w:rFonts w:ascii="宋体" w:hAnsi="宋体"/>
                <w:sz w:val="18"/>
                <w:szCs w:val="18"/>
              </w:rPr>
            </w:pPr>
          </w:p>
        </w:tc>
        <w:tc>
          <w:tcPr>
            <w:tcW w:w="1610"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c>
          <w:tcPr>
            <w:tcW w:w="833" w:type="dxa"/>
            <w:vMerge/>
            <w:vAlign w:val="center"/>
          </w:tcPr>
          <w:p>
            <w:pPr>
              <w:rPr>
                <w:rFonts w:ascii="宋体" w:hAnsi="宋体"/>
                <w:sz w:val="18"/>
                <w:szCs w:val="18"/>
              </w:rPr>
            </w:pPr>
          </w:p>
        </w:tc>
        <w:tc>
          <w:tcPr>
            <w:tcW w:w="829"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t>多节柱</w:t>
            </w:r>
          </w:p>
        </w:tc>
        <w:tc>
          <w:tcPr>
            <w:tcW w:w="998"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单节柱</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H/1000，且不大于10</w:t>
            </w:r>
          </w:p>
        </w:tc>
        <w:tc>
          <w:tcPr>
            <w:tcW w:w="2693" w:type="dxa"/>
            <w:vMerge/>
            <w:vAlign w:val="center"/>
          </w:tcPr>
          <w:p>
            <w:pPr>
              <w:rPr>
                <w:rFonts w:ascii="宋体" w:hAnsi="宋体"/>
                <w:sz w:val="18"/>
                <w:szCs w:val="18"/>
              </w:rPr>
            </w:pPr>
          </w:p>
        </w:tc>
        <w:tc>
          <w:tcPr>
            <w:tcW w:w="1610"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c>
          <w:tcPr>
            <w:tcW w:w="833" w:type="dxa"/>
            <w:vMerge/>
            <w:vAlign w:val="center"/>
          </w:tcPr>
          <w:p>
            <w:pPr>
              <w:rPr>
                <w:rFonts w:ascii="宋体" w:hAnsi="宋体"/>
                <w:sz w:val="18"/>
                <w:szCs w:val="18"/>
              </w:rPr>
            </w:pPr>
          </w:p>
        </w:tc>
        <w:tc>
          <w:tcPr>
            <w:tcW w:w="829" w:type="dxa"/>
            <w:vMerge/>
            <w:vAlign w:val="center"/>
          </w:tcPr>
          <w:p>
            <w:pPr>
              <w:rPr>
                <w:rFonts w:ascii="宋体" w:hAnsi="宋体"/>
                <w:sz w:val="18"/>
                <w:szCs w:val="18"/>
              </w:rPr>
            </w:pPr>
          </w:p>
        </w:tc>
        <w:tc>
          <w:tcPr>
            <w:tcW w:w="998"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柱全高</w:t>
            </w:r>
          </w:p>
        </w:tc>
        <w:tc>
          <w:tcPr>
            <w:tcW w:w="1559"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42</w:t>
            </w:r>
          </w:p>
        </w:tc>
        <w:tc>
          <w:tcPr>
            <w:tcW w:w="2693" w:type="dxa"/>
            <w:vMerge/>
            <w:vAlign w:val="center"/>
          </w:tcPr>
          <w:p>
            <w:pPr>
              <w:rPr>
                <w:rFonts w:ascii="宋体" w:hAnsi="宋体"/>
                <w:sz w:val="18"/>
                <w:szCs w:val="18"/>
              </w:rPr>
            </w:pPr>
          </w:p>
        </w:tc>
        <w:tc>
          <w:tcPr>
            <w:tcW w:w="1610" w:type="dxa"/>
            <w:vMerge/>
            <w:vAlign w:val="center"/>
          </w:tcPr>
          <w:p>
            <w:pPr>
              <w:rPr>
                <w:rFonts w:ascii="宋体" w:hAnsi="宋体"/>
                <w:sz w:val="18"/>
                <w:szCs w:val="18"/>
              </w:rPr>
            </w:pPr>
          </w:p>
        </w:tc>
      </w:tr>
    </w:tbl>
    <w:p>
      <w:pPr>
        <w:autoSpaceDE w:val="0"/>
        <w:autoSpaceDN w:val="0"/>
        <w:spacing w:after="160" w:line="440" w:lineRule="exact"/>
        <w:jc w:val="left"/>
        <w:rPr>
          <w:rFonts w:ascii="宋体" w:hAnsi="宋体"/>
          <w:sz w:val="18"/>
          <w:szCs w:val="18"/>
        </w:rPr>
      </w:pPr>
    </w:p>
    <w:p>
      <w:pPr>
        <w:autoSpaceDE w:val="0"/>
        <w:autoSpaceDN w:val="0"/>
        <w:spacing w:after="160" w:line="440" w:lineRule="exact"/>
        <w:jc w:val="left"/>
        <w:rPr>
          <w:rFonts w:ascii="宋体" w:hAnsi="宋体"/>
        </w:rPr>
      </w:pPr>
      <w:r>
        <w:rPr>
          <w:rFonts w:ascii="黑体" w:eastAsia="黑体" w:hAnsi="黑体"/>
        </w:rPr>
        <w:t xml:space="preserve">4.3.8 </w:t>
      </w:r>
      <w:r>
        <w:rPr>
          <w:rFonts w:ascii="宋体" w:hAnsi="宋体"/>
        </w:rPr>
        <w:t>利旧钢吊车梁或直接承受动力荷载的利旧类似构件，其安装允许偏差应符合表4.3.8的规定。</w:t>
      </w:r>
    </w:p>
    <w:p>
      <w:pPr>
        <w:autoSpaceDE w:val="0"/>
        <w:autoSpaceDN w:val="0"/>
        <w:spacing w:after="160" w:line="440" w:lineRule="exact"/>
        <w:ind w:firstLine="420"/>
        <w:jc w:val="left"/>
        <w:rPr>
          <w:rFonts w:ascii="宋体" w:hAnsi="宋体"/>
        </w:rPr>
      </w:pPr>
      <w:r>
        <w:rPr>
          <w:rFonts w:ascii="宋体" w:hAnsi="宋体"/>
        </w:rPr>
        <w:t>检查数量：按吊车梁数量抽查10%，且不少于3榀。</w:t>
      </w:r>
    </w:p>
    <w:p>
      <w:pPr>
        <w:autoSpaceDE w:val="0"/>
        <w:autoSpaceDN w:val="0"/>
        <w:spacing w:after="160" w:line="440" w:lineRule="exact"/>
        <w:ind w:firstLine="420"/>
        <w:jc w:val="left"/>
        <w:rPr>
          <w:rFonts w:ascii="宋体" w:hAnsi="宋体"/>
        </w:rPr>
      </w:pPr>
      <w:r>
        <w:rPr>
          <w:rFonts w:ascii="宋体" w:hAnsi="宋体"/>
        </w:rPr>
        <w:t>检验方法：见表4.3.8。</w:t>
      </w:r>
    </w:p>
    <w:p>
      <w:pPr>
        <w:autoSpaceDE w:val="0"/>
        <w:autoSpaceDN w:val="0"/>
        <w:spacing w:after="160" w:line="440" w:lineRule="exact"/>
        <w:ind w:firstLine="420"/>
        <w:jc w:val="left"/>
        <w:rPr>
          <w:rFonts w:ascii="宋体" w:hAnsi="宋体"/>
        </w:rPr>
      </w:pPr>
    </w:p>
    <w:p>
      <w:pPr>
        <w:autoSpaceDE w:val="0"/>
        <w:autoSpaceDN w:val="0"/>
        <w:spacing w:after="160" w:line="440" w:lineRule="exact"/>
        <w:ind w:firstLine="420"/>
        <w:jc w:val="left"/>
        <w:rPr>
          <w:rFonts w:ascii="宋体" w:hAnsi="宋体"/>
        </w:rPr>
        <w:sectPr>
          <w:footerReference w:type="default" r:id="rId23"/>
          <w:type w:val="nextPage"/>
          <w:pgSz w:w="11906" w:h="16838"/>
          <w:pgMar w:top="1440" w:right="1800" w:bottom="1440" w:left="1800" w:header="851" w:footer="992" w:gutter="0"/>
          <w:pgNumType w:start="9"/>
          <w:cols w:num="1" w:space="720"/>
          <w:titlePg w:val="0"/>
          <w:docGrid w:type="lines" w:linePitch="312" w:charSpace="0"/>
        </w:sectPr>
      </w:pPr>
    </w:p>
    <w:p>
      <w:pPr>
        <w:autoSpaceDE w:val="0"/>
        <w:autoSpaceDN w:val="0"/>
        <w:spacing w:after="160" w:line="440" w:lineRule="exact"/>
        <w:jc w:val="center"/>
        <w:rPr>
          <w:rFonts w:ascii="黑体" w:eastAsia="黑体" w:hAnsi="黑体"/>
        </w:rPr>
      </w:pPr>
      <w:r>
        <w:rPr>
          <w:rFonts w:ascii="黑体" w:eastAsia="黑体" w:hAnsi="黑体"/>
        </w:rPr>
        <w:t>表4.3.8  利旧钢吊车梁安装的允许偏差（mm）</w:t>
      </w:r>
    </w:p>
    <w:tbl>
      <w:tblPr>
        <w:tblStyle w:val="TableGrid4"/>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59"/>
        <w:gridCol w:w="567"/>
        <w:gridCol w:w="1559"/>
        <w:gridCol w:w="1276"/>
        <w:gridCol w:w="2410"/>
        <w:gridCol w:w="1751"/>
      </w:tblGrid>
      <w:tr>
        <w:tblPrEx>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项目</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允许偏差</w:t>
            </w:r>
          </w:p>
        </w:tc>
        <w:tc>
          <w:tcPr>
            <w:tcW w:w="24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图例</w:t>
            </w:r>
          </w:p>
        </w:tc>
        <w:tc>
          <w:tcPr>
            <w:tcW w:w="1751" w:type="dxa"/>
            <w:vAlign w:val="center"/>
          </w:tcPr>
          <w:p>
            <w:pPr>
              <w:autoSpaceDE w:val="0"/>
              <w:autoSpaceDN w:val="0"/>
              <w:spacing w:after="160"/>
              <w:jc w:val="center"/>
              <w:rPr>
                <w:rFonts w:ascii="宋体" w:hAnsi="宋体"/>
                <w:sz w:val="18"/>
                <w:szCs w:val="18"/>
              </w:rPr>
            </w:pPr>
            <w:r>
              <w:rPr>
                <w:rFonts w:ascii="宋体" w:hAnsi="宋体"/>
                <w:sz w:val="18"/>
                <w:szCs w:val="18"/>
              </w:rPr>
              <w:t>检验方法</w:t>
            </w:r>
          </w:p>
        </w:tc>
      </w:tr>
      <w:tr>
        <w:tblPrEx>
          <w:tblW w:w="8522" w:type="dxa"/>
          <w:tblInd w:w="0" w:type="dxa"/>
          <w:tblLayout w:type="fixed"/>
          <w:tblCellMar>
            <w:top w:w="0" w:type="dxa"/>
            <w:left w:w="108" w:type="dxa"/>
            <w:bottom w:w="0" w:type="dxa"/>
            <w:right w:w="108" w:type="dxa"/>
          </w:tblCellMar>
        </w:tblPrEx>
        <w:trPr>
          <w:trHeight w:val="901"/>
        </w:trPr>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梁的跨中垂直度Δ</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h/500</w:t>
            </w:r>
          </w:p>
        </w:tc>
        <w:tc>
          <w:tcPr>
            <w:tcW w:w="24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69504" behindDoc="0" locked="0" layoutInCell="1" allowOverlap="1">
                  <wp:simplePos x="0" y="0"/>
                  <wp:positionH relativeFrom="column">
                    <wp:posOffset>412750</wp:posOffset>
                  </wp:positionH>
                  <wp:positionV relativeFrom="paragraph">
                    <wp:posOffset>-70485</wp:posOffset>
                  </wp:positionV>
                  <wp:extent cx="467995" cy="601980"/>
                  <wp:effectExtent l="0" t="0" r="0" b="0"/>
                  <wp:wrapNone/>
                  <wp:docPr id="3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3"/>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a:xfrm>
                            <a:off x="0" y="0"/>
                            <a:ext cx="468630" cy="602615"/>
                          </a:xfrm>
                          <a:prstGeom prst="rect">
                            <a:avLst/>
                          </a:prstGeom>
                          <a:ln/>
                        </pic:spPr>
                      </pic:pic>
                    </a:graphicData>
                  </a:graphic>
                </wp:anchor>
              </w:drawing>
            </w:r>
          </w:p>
        </w:tc>
        <w:tc>
          <w:tcPr>
            <w:tcW w:w="1751" w:type="dxa"/>
            <w:vAlign w:val="center"/>
          </w:tcPr>
          <w:p>
            <w:pPr>
              <w:autoSpaceDE w:val="0"/>
              <w:autoSpaceDN w:val="0"/>
              <w:spacing w:after="160"/>
              <w:jc w:val="center"/>
              <w:rPr>
                <w:rFonts w:ascii="宋体" w:hAnsi="宋体"/>
                <w:sz w:val="18"/>
                <w:szCs w:val="18"/>
              </w:rPr>
            </w:pPr>
            <w:r>
              <w:rPr>
                <w:rFonts w:ascii="宋体" w:hAnsi="宋体"/>
                <w:sz w:val="18"/>
                <w:szCs w:val="18"/>
              </w:rPr>
              <w:t>用吊线和钢尺检查</w:t>
            </w:r>
          </w:p>
        </w:tc>
      </w:tr>
      <w:tr>
        <w:tblPrEx>
          <w:tblW w:w="8522" w:type="dxa"/>
          <w:tblInd w:w="0" w:type="dxa"/>
          <w:tblLayout w:type="fixed"/>
          <w:tblCellMar>
            <w:top w:w="0" w:type="dxa"/>
            <w:left w:w="108" w:type="dxa"/>
            <w:bottom w:w="0" w:type="dxa"/>
            <w:right w:w="108" w:type="dxa"/>
          </w:tblCellMar>
        </w:tblPrEx>
        <w:trPr>
          <w:trHeight w:val="559"/>
        </w:trPr>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侧向弯曲矢高</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l/1500，且不大于12</w:t>
            </w:r>
          </w:p>
        </w:tc>
        <w:tc>
          <w:tcPr>
            <w:tcW w:w="2410" w:type="dxa"/>
            <w:vMerge w:val="restart"/>
            <w:vAlign w:val="center"/>
          </w:tcPr>
          <w:p>
            <w:pPr>
              <w:autoSpaceDE w:val="0"/>
              <w:autoSpaceDN w:val="0"/>
              <w:spacing w:after="160" w:line="440" w:lineRule="exact"/>
              <w:jc w:val="center"/>
              <w:rPr>
                <w:rFonts w:ascii="宋体" w:hAnsi="宋体"/>
                <w:sz w:val="18"/>
                <w:szCs w:val="18"/>
              </w:rPr>
            </w:pPr>
          </w:p>
        </w:tc>
        <w:tc>
          <w:tcPr>
            <w:tcW w:w="1751" w:type="dxa"/>
            <w:vMerge w:val="restart"/>
            <w:vAlign w:val="center"/>
          </w:tcPr>
          <w:p>
            <w:pPr>
              <w:autoSpaceDE w:val="0"/>
              <w:autoSpaceDN w:val="0"/>
              <w:spacing w:after="160"/>
              <w:jc w:val="center"/>
              <w:rPr>
                <w:rFonts w:ascii="宋体" w:hAnsi="宋体"/>
                <w:sz w:val="18"/>
                <w:szCs w:val="18"/>
              </w:rPr>
            </w:pPr>
            <w:r>
              <w:rPr>
                <w:rFonts w:ascii="宋体" w:hAnsi="宋体"/>
                <w:sz w:val="18"/>
                <w:szCs w:val="18"/>
              </w:rPr>
              <w:t>用拉线和钢尺检查</w:t>
            </w:r>
          </w:p>
        </w:tc>
      </w:tr>
      <w:tr>
        <w:tblPrEx>
          <w:tblW w:w="8522" w:type="dxa"/>
          <w:tblInd w:w="0" w:type="dxa"/>
          <w:tblLayout w:type="fixed"/>
          <w:tblCellMar>
            <w:top w:w="0" w:type="dxa"/>
            <w:left w:w="108" w:type="dxa"/>
            <w:bottom w:w="0" w:type="dxa"/>
            <w:right w:w="108" w:type="dxa"/>
          </w:tblCellMar>
        </w:tblPrEx>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垂直上拱矢高</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10</w:t>
            </w:r>
          </w:p>
        </w:tc>
        <w:tc>
          <w:tcPr>
            <w:tcW w:w="2410" w:type="dxa"/>
            <w:vMerge/>
            <w:vAlign w:val="center"/>
          </w:tcPr>
          <w:p>
            <w:pPr>
              <w:rPr>
                <w:rFonts w:ascii="宋体" w:hAnsi="宋体"/>
                <w:sz w:val="18"/>
                <w:szCs w:val="18"/>
              </w:rPr>
            </w:pPr>
          </w:p>
        </w:tc>
        <w:tc>
          <w:tcPr>
            <w:tcW w:w="1751"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rPr>
          <w:trHeight w:val="562"/>
        </w:trPr>
        <w:tc>
          <w:tcPr>
            <w:tcW w:w="959" w:type="dxa"/>
            <w:vMerge w:val="restart"/>
            <w:vAlign w:val="center"/>
          </w:tcPr>
          <w:p>
            <w:pPr>
              <w:autoSpaceDE w:val="0"/>
              <w:autoSpaceDN w:val="0"/>
              <w:spacing w:after="160"/>
              <w:jc w:val="center"/>
              <w:rPr>
                <w:rFonts w:ascii="宋体" w:hAnsi="宋体"/>
                <w:sz w:val="18"/>
                <w:szCs w:val="18"/>
              </w:rPr>
            </w:pPr>
            <w:r>
              <w:rPr>
                <w:rFonts w:ascii="宋体" w:hAnsi="宋体"/>
                <w:sz w:val="18"/>
                <w:szCs w:val="18"/>
              </w:rPr>
              <w:t>两端支座中心位移Δ</w:t>
            </w:r>
          </w:p>
        </w:tc>
        <w:tc>
          <w:tcPr>
            <w:tcW w:w="2126" w:type="dxa"/>
            <w:gridSpan w:val="2"/>
            <w:vAlign w:val="center"/>
          </w:tcPr>
          <w:p>
            <w:pPr>
              <w:autoSpaceDE w:val="0"/>
              <w:autoSpaceDN w:val="0"/>
              <w:spacing w:after="160"/>
              <w:jc w:val="center"/>
              <w:rPr>
                <w:rFonts w:ascii="宋体" w:hAnsi="宋体"/>
                <w:sz w:val="18"/>
                <w:szCs w:val="18"/>
              </w:rPr>
            </w:pPr>
            <w:r>
              <w:rPr>
                <w:rFonts w:ascii="宋体" w:hAnsi="宋体"/>
                <w:sz w:val="18"/>
                <w:szCs w:val="18"/>
              </w:rPr>
              <w:t>安装在钢柱上时，对牛腿中心线的偏移</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5</w:t>
            </w:r>
          </w:p>
        </w:tc>
        <w:tc>
          <w:tcPr>
            <w:tcW w:w="2410"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70528" behindDoc="0" locked="0" layoutInCell="1" allowOverlap="1">
                  <wp:simplePos x="0" y="0"/>
                  <wp:positionH relativeFrom="column">
                    <wp:posOffset>50800</wp:posOffset>
                  </wp:positionH>
                  <wp:positionV relativeFrom="paragraph">
                    <wp:posOffset>-20955</wp:posOffset>
                  </wp:positionV>
                  <wp:extent cx="1291590" cy="1290320"/>
                  <wp:effectExtent l="0" t="0" r="3810" b="5080"/>
                  <wp:wrapNone/>
                  <wp:docPr id="3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5"/>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91590" cy="1290320"/>
                          </a:xfrm>
                          <a:prstGeom prst="rect">
                            <a:avLst/>
                          </a:prstGeom>
                          <a:ln/>
                        </pic:spPr>
                      </pic:pic>
                    </a:graphicData>
                  </a:graphic>
                </wp:anchor>
              </w:drawing>
            </w:r>
          </w:p>
        </w:tc>
        <w:tc>
          <w:tcPr>
            <w:tcW w:w="1751"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c>
          <w:tcPr>
            <w:tcW w:w="959" w:type="dxa"/>
            <w:vMerge/>
            <w:vAlign w:val="center"/>
          </w:tcPr>
          <w:p>
            <w:pPr>
              <w:rPr>
                <w:rFonts w:ascii="宋体" w:hAnsi="宋体"/>
                <w:sz w:val="18"/>
                <w:szCs w:val="18"/>
              </w:rPr>
            </w:pPr>
          </w:p>
        </w:tc>
        <w:tc>
          <w:tcPr>
            <w:tcW w:w="2126" w:type="dxa"/>
            <w:gridSpan w:val="2"/>
            <w:vAlign w:val="center"/>
          </w:tcPr>
          <w:p>
            <w:pPr>
              <w:autoSpaceDE w:val="0"/>
              <w:autoSpaceDN w:val="0"/>
              <w:spacing w:after="160"/>
              <w:jc w:val="center"/>
              <w:rPr>
                <w:rFonts w:ascii="宋体" w:hAnsi="宋体"/>
                <w:sz w:val="18"/>
                <w:szCs w:val="18"/>
              </w:rPr>
            </w:pPr>
            <w:r>
              <w:rPr>
                <w:rFonts w:ascii="宋体" w:hAnsi="宋体"/>
                <w:sz w:val="18"/>
                <w:szCs w:val="18"/>
              </w:rPr>
              <w:t>安装在混凝土柱上时，对定位轴线的偏移</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5</w:t>
            </w:r>
          </w:p>
        </w:tc>
        <w:tc>
          <w:tcPr>
            <w:tcW w:w="2410" w:type="dxa"/>
            <w:vMerge/>
            <w:vAlign w:val="center"/>
          </w:tcPr>
          <w:p>
            <w:pPr>
              <w:rPr>
                <w:rFonts w:ascii="宋体" w:hAnsi="宋体"/>
                <w:sz w:val="18"/>
                <w:szCs w:val="18"/>
              </w:rPr>
            </w:pPr>
          </w:p>
        </w:tc>
        <w:tc>
          <w:tcPr>
            <w:tcW w:w="1751"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rPr>
          <w:trHeight w:val="529"/>
        </w:trPr>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吊车梁支座加劲板中心与柱子承压加劲板中心的偏移</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t/2</w:t>
            </w:r>
          </w:p>
        </w:tc>
        <w:tc>
          <w:tcPr>
            <w:tcW w:w="2410" w:type="dxa"/>
            <w:vMerge/>
            <w:vAlign w:val="center"/>
          </w:tcPr>
          <w:p>
            <w:pPr>
              <w:rPr>
                <w:rFonts w:ascii="宋体" w:hAnsi="宋体"/>
                <w:sz w:val="18"/>
                <w:szCs w:val="18"/>
              </w:rPr>
            </w:pPr>
          </w:p>
        </w:tc>
        <w:tc>
          <w:tcPr>
            <w:tcW w:w="1751" w:type="dxa"/>
            <w:vAlign w:val="center"/>
          </w:tcPr>
          <w:p>
            <w:pPr>
              <w:autoSpaceDE w:val="0"/>
              <w:autoSpaceDN w:val="0"/>
              <w:spacing w:after="160"/>
              <w:jc w:val="center"/>
              <w:rPr>
                <w:rFonts w:ascii="宋体" w:hAnsi="宋体"/>
                <w:sz w:val="18"/>
                <w:szCs w:val="18"/>
              </w:rPr>
            </w:pPr>
            <w:r>
              <w:rPr>
                <w:rFonts w:ascii="宋体" w:hAnsi="宋体"/>
                <w:sz w:val="18"/>
                <w:szCs w:val="18"/>
              </w:rPr>
              <w:t>用吊线和钢尺检查</w:t>
            </w:r>
          </w:p>
        </w:tc>
      </w:tr>
      <w:tr>
        <w:tblPrEx>
          <w:tblW w:w="8522" w:type="dxa"/>
          <w:tblInd w:w="0" w:type="dxa"/>
          <w:tblLayout w:type="fixed"/>
          <w:tblCellMar>
            <w:top w:w="0" w:type="dxa"/>
            <w:left w:w="108" w:type="dxa"/>
            <w:bottom w:w="0" w:type="dxa"/>
            <w:right w:w="108" w:type="dxa"/>
          </w:tblCellMar>
        </w:tblPrEx>
        <w:trPr>
          <w:trHeight w:val="724"/>
        </w:trPr>
        <w:tc>
          <w:tcPr>
            <w:tcW w:w="1526" w:type="dxa"/>
            <w:gridSpan w:val="2"/>
            <w:vMerge w:val="restart"/>
            <w:vAlign w:val="center"/>
          </w:tcPr>
          <w:p>
            <w:pPr>
              <w:autoSpaceDE w:val="0"/>
              <w:autoSpaceDN w:val="0"/>
              <w:spacing w:after="160"/>
              <w:jc w:val="center"/>
              <w:rPr>
                <w:rFonts w:ascii="宋体" w:hAnsi="宋体"/>
                <w:sz w:val="18"/>
                <w:szCs w:val="18"/>
              </w:rPr>
            </w:pPr>
            <w:r>
              <w:rPr>
                <w:rFonts w:ascii="宋体" w:hAnsi="宋体"/>
                <w:sz w:val="18"/>
                <w:szCs w:val="18"/>
              </w:rPr>
              <w:t>同跨间内同一横截面吊车梁顶面高差Δ</w:t>
            </w:r>
          </w:p>
        </w:tc>
        <w:tc>
          <w:tcPr>
            <w:tcW w:w="1559" w:type="dxa"/>
            <w:vAlign w:val="center"/>
          </w:tcPr>
          <w:p>
            <w:pPr>
              <w:autoSpaceDE w:val="0"/>
              <w:autoSpaceDN w:val="0"/>
              <w:spacing w:after="160"/>
              <w:jc w:val="center"/>
              <w:rPr>
                <w:rFonts w:ascii="宋体" w:hAnsi="宋体"/>
                <w:sz w:val="18"/>
                <w:szCs w:val="18"/>
              </w:rPr>
            </w:pPr>
            <w:r>
              <w:rPr>
                <w:rFonts w:ascii="宋体" w:hAnsi="宋体"/>
                <w:sz w:val="18"/>
                <w:szCs w:val="18"/>
              </w:rPr>
              <w:t>支座处</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12</w:t>
            </w:r>
          </w:p>
        </w:tc>
        <w:tc>
          <w:tcPr>
            <w:tcW w:w="2410"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71552" behindDoc="0" locked="0" layoutInCell="1" allowOverlap="1">
                  <wp:simplePos x="0" y="0"/>
                  <wp:positionH relativeFrom="column">
                    <wp:posOffset>4445</wp:posOffset>
                  </wp:positionH>
                  <wp:positionV relativeFrom="paragraph">
                    <wp:posOffset>-3810</wp:posOffset>
                  </wp:positionV>
                  <wp:extent cx="1287145" cy="666750"/>
                  <wp:effectExtent l="0" t="0" r="0" b="0"/>
                  <wp:wrapNone/>
                  <wp:docPr id="4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6"/>
                          <pic:cNvPicPr>
                            <a:picLocks noChangeAspect="1" noChangeArrowheads="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87780" cy="667385"/>
                          </a:xfrm>
                          <a:prstGeom prst="rect">
                            <a:avLst/>
                          </a:prstGeom>
                          <a:ln/>
                        </pic:spPr>
                      </pic:pic>
                    </a:graphicData>
                  </a:graphic>
                </wp:anchor>
              </w:drawing>
            </w:r>
          </w:p>
        </w:tc>
        <w:tc>
          <w:tcPr>
            <w:tcW w:w="1751" w:type="dxa"/>
            <w:vMerge w:val="restart"/>
            <w:vAlign w:val="center"/>
          </w:tcPr>
          <w:p>
            <w:pPr>
              <w:autoSpaceDE w:val="0"/>
              <w:autoSpaceDN w:val="0"/>
              <w:spacing w:after="160"/>
              <w:jc w:val="center"/>
              <w:rPr>
                <w:rFonts w:ascii="宋体" w:hAnsi="宋体"/>
                <w:sz w:val="18"/>
                <w:szCs w:val="18"/>
              </w:rPr>
            </w:pPr>
            <w:r>
              <w:rPr>
                <w:rFonts w:ascii="宋体" w:hAnsi="宋体"/>
                <w:sz w:val="18"/>
                <w:szCs w:val="18"/>
              </w:rPr>
              <w:t>用经纬仪、水准仪和钢尺检查</w:t>
            </w:r>
          </w:p>
        </w:tc>
      </w:tr>
      <w:tr>
        <w:tblPrEx>
          <w:tblW w:w="8522" w:type="dxa"/>
          <w:tblInd w:w="0" w:type="dxa"/>
          <w:tblLayout w:type="fixed"/>
          <w:tblCellMar>
            <w:top w:w="0" w:type="dxa"/>
            <w:left w:w="108" w:type="dxa"/>
            <w:bottom w:w="0" w:type="dxa"/>
            <w:right w:w="108" w:type="dxa"/>
          </w:tblCellMar>
        </w:tblPrEx>
        <w:trPr>
          <w:trHeight w:val="422"/>
        </w:trPr>
        <w:tc>
          <w:tcPr>
            <w:tcW w:w="1526" w:type="dxa"/>
            <w:gridSpan w:val="2"/>
            <w:vMerge/>
            <w:vAlign w:val="center"/>
          </w:tcPr>
          <w:p>
            <w:pPr>
              <w:rPr>
                <w:rFonts w:ascii="宋体" w:hAnsi="宋体"/>
                <w:sz w:val="18"/>
                <w:szCs w:val="18"/>
              </w:rPr>
            </w:pPr>
          </w:p>
        </w:tc>
        <w:tc>
          <w:tcPr>
            <w:tcW w:w="1559" w:type="dxa"/>
            <w:vAlign w:val="center"/>
          </w:tcPr>
          <w:p>
            <w:pPr>
              <w:autoSpaceDE w:val="0"/>
              <w:autoSpaceDN w:val="0"/>
              <w:spacing w:after="160"/>
              <w:jc w:val="center"/>
              <w:rPr>
                <w:rFonts w:ascii="宋体" w:hAnsi="宋体"/>
                <w:sz w:val="18"/>
                <w:szCs w:val="18"/>
              </w:rPr>
            </w:pPr>
            <w:r>
              <w:rPr>
                <w:rFonts w:ascii="宋体" w:hAnsi="宋体"/>
                <w:sz w:val="18"/>
                <w:szCs w:val="18"/>
              </w:rPr>
              <w:t>其他处</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18</w:t>
            </w:r>
          </w:p>
        </w:tc>
        <w:tc>
          <w:tcPr>
            <w:tcW w:w="2410" w:type="dxa"/>
            <w:vMerge/>
            <w:vAlign w:val="center"/>
          </w:tcPr>
          <w:p>
            <w:pPr>
              <w:rPr>
                <w:rFonts w:ascii="宋体" w:hAnsi="宋体"/>
                <w:sz w:val="18"/>
                <w:szCs w:val="18"/>
              </w:rPr>
            </w:pPr>
          </w:p>
        </w:tc>
        <w:tc>
          <w:tcPr>
            <w:tcW w:w="1751"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rPr>
          <w:trHeight w:val="656"/>
        </w:trPr>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同跨间内同一横截面下挂式吊车梁底面高差Δ</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12</w:t>
            </w:r>
          </w:p>
        </w:tc>
        <w:tc>
          <w:tcPr>
            <w:tcW w:w="24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72576" behindDoc="0" locked="0" layoutInCell="1" allowOverlap="1">
                  <wp:simplePos x="0" y="0"/>
                  <wp:positionH relativeFrom="column">
                    <wp:posOffset>48895</wp:posOffset>
                  </wp:positionH>
                  <wp:positionV relativeFrom="paragraph">
                    <wp:posOffset>-17145</wp:posOffset>
                  </wp:positionV>
                  <wp:extent cx="1239520" cy="419735"/>
                  <wp:effectExtent l="0" t="0" r="0" b="0"/>
                  <wp:wrapNone/>
                  <wp:docPr id="4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7"/>
                          <pic:cNvPicPr>
                            <a:picLocks noChangeAspect="1" noChangeArrowheads="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40155" cy="420370"/>
                          </a:xfrm>
                          <a:prstGeom prst="rect">
                            <a:avLst/>
                          </a:prstGeom>
                          <a:ln/>
                        </pic:spPr>
                      </pic:pic>
                    </a:graphicData>
                  </a:graphic>
                </wp:anchor>
              </w:drawing>
            </w:r>
          </w:p>
        </w:tc>
        <w:tc>
          <w:tcPr>
            <w:tcW w:w="1751"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同列相邻两柱间吊车梁顶部高差Δ</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l/1500，且不大于15</w:t>
            </w:r>
          </w:p>
        </w:tc>
        <w:tc>
          <w:tcPr>
            <w:tcW w:w="24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73600" behindDoc="0" locked="0" layoutInCell="1" allowOverlap="1">
                  <wp:simplePos x="0" y="0"/>
                  <wp:positionH relativeFrom="column">
                    <wp:posOffset>153670</wp:posOffset>
                  </wp:positionH>
                  <wp:positionV relativeFrom="paragraph">
                    <wp:posOffset>59690</wp:posOffset>
                  </wp:positionV>
                  <wp:extent cx="1134745" cy="458470"/>
                  <wp:effectExtent l="0" t="0" r="0" b="0"/>
                  <wp:wrapNone/>
                  <wp:docPr id="4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9"/>
                          <pic:cNvPicPr>
                            <a:picLocks noChangeAspect="1" noChangeArrowheads="1"/>
                          </pic:cNvPicPr>
                        </pic:nvPicPr>
                        <pic:blipFill>
                          <a:blip xmlns:r="http://schemas.openxmlformats.org/officeDocument/2006/relationships" r:embed="rId2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35380" cy="459105"/>
                          </a:xfrm>
                          <a:prstGeom prst="rect">
                            <a:avLst/>
                          </a:prstGeom>
                          <a:ln/>
                        </pic:spPr>
                      </pic:pic>
                    </a:graphicData>
                  </a:graphic>
                </wp:anchor>
              </w:drawing>
            </w:r>
          </w:p>
        </w:tc>
        <w:tc>
          <w:tcPr>
            <w:tcW w:w="1751" w:type="dxa"/>
            <w:vAlign w:val="center"/>
          </w:tcPr>
          <w:p>
            <w:pPr>
              <w:autoSpaceDE w:val="0"/>
              <w:autoSpaceDN w:val="0"/>
              <w:spacing w:after="160"/>
              <w:jc w:val="center"/>
              <w:rPr>
                <w:rFonts w:ascii="宋体" w:hAnsi="宋体"/>
                <w:sz w:val="18"/>
                <w:szCs w:val="18"/>
              </w:rPr>
            </w:pPr>
            <w:r>
              <w:rPr>
                <w:rFonts w:ascii="宋体" w:hAnsi="宋体"/>
                <w:sz w:val="18"/>
                <w:szCs w:val="18"/>
              </w:rPr>
              <w:t>用水准仪和钢尺检查</w:t>
            </w:r>
          </w:p>
        </w:tc>
      </w:tr>
      <w:tr>
        <w:tblPrEx>
          <w:tblW w:w="8522" w:type="dxa"/>
          <w:tblInd w:w="0" w:type="dxa"/>
          <w:tblLayout w:type="fixed"/>
          <w:tblCellMar>
            <w:top w:w="0" w:type="dxa"/>
            <w:left w:w="108" w:type="dxa"/>
            <w:bottom w:w="0" w:type="dxa"/>
            <w:right w:w="108" w:type="dxa"/>
          </w:tblCellMar>
        </w:tblPrEx>
        <w:tc>
          <w:tcPr>
            <w:tcW w:w="1526" w:type="dxa"/>
            <w:gridSpan w:val="2"/>
            <w:vMerge w:val="restart"/>
            <w:vAlign w:val="center"/>
          </w:tcPr>
          <w:p>
            <w:pPr>
              <w:autoSpaceDE w:val="0"/>
              <w:autoSpaceDN w:val="0"/>
              <w:spacing w:after="160"/>
              <w:jc w:val="center"/>
              <w:rPr>
                <w:rFonts w:ascii="宋体" w:hAnsi="宋体"/>
                <w:sz w:val="18"/>
                <w:szCs w:val="18"/>
              </w:rPr>
            </w:pPr>
            <w:r>
              <w:rPr>
                <w:rFonts w:ascii="宋体" w:hAnsi="宋体"/>
                <w:sz w:val="18"/>
                <w:szCs w:val="18"/>
              </w:rPr>
              <w:t>相邻两吊车梁接头部位Δ</w:t>
            </w:r>
          </w:p>
        </w:tc>
        <w:tc>
          <w:tcPr>
            <w:tcW w:w="1559" w:type="dxa"/>
            <w:vAlign w:val="center"/>
          </w:tcPr>
          <w:p>
            <w:pPr>
              <w:autoSpaceDE w:val="0"/>
              <w:autoSpaceDN w:val="0"/>
              <w:spacing w:after="160"/>
              <w:jc w:val="center"/>
              <w:rPr>
                <w:rFonts w:ascii="宋体" w:hAnsi="宋体"/>
                <w:sz w:val="18"/>
                <w:szCs w:val="18"/>
              </w:rPr>
            </w:pPr>
            <w:r>
              <w:rPr>
                <w:rFonts w:ascii="宋体" w:hAnsi="宋体"/>
                <w:sz w:val="18"/>
                <w:szCs w:val="18"/>
              </w:rPr>
              <w:t>中心错位</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3.5</w:t>
            </w:r>
          </w:p>
        </w:tc>
        <w:tc>
          <w:tcPr>
            <w:tcW w:w="2410"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74624" behindDoc="0" locked="0" layoutInCell="1" allowOverlap="1">
                  <wp:simplePos x="0" y="0"/>
                  <wp:positionH relativeFrom="column">
                    <wp:posOffset>111125</wp:posOffset>
                  </wp:positionH>
                  <wp:positionV relativeFrom="paragraph">
                    <wp:posOffset>60960</wp:posOffset>
                  </wp:positionV>
                  <wp:extent cx="1287145" cy="748030"/>
                  <wp:effectExtent l="0" t="0" r="0" b="0"/>
                  <wp:wrapNone/>
                  <wp:docPr id="4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0"/>
                          <pic:cNvPicPr>
                            <a:picLocks noChangeAspect="1" noChangeArrowheads="1"/>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a:xfrm flipV="1">
                            <a:off x="0" y="0"/>
                            <a:ext cx="1287780" cy="748665"/>
                          </a:xfrm>
                          <a:prstGeom prst="rect">
                            <a:avLst/>
                          </a:prstGeom>
                          <a:ln/>
                        </pic:spPr>
                      </pic:pic>
                    </a:graphicData>
                  </a:graphic>
                </wp:anchor>
              </w:drawing>
            </w:r>
          </w:p>
        </w:tc>
        <w:tc>
          <w:tcPr>
            <w:tcW w:w="1751" w:type="dxa"/>
            <w:vMerge w:val="restart"/>
            <w:vAlign w:val="center"/>
          </w:tcPr>
          <w:p>
            <w:pPr>
              <w:autoSpaceDE w:val="0"/>
              <w:autoSpaceDN w:val="0"/>
              <w:spacing w:after="160"/>
              <w:jc w:val="center"/>
              <w:rPr>
                <w:rFonts w:ascii="宋体" w:hAnsi="宋体"/>
                <w:sz w:val="18"/>
                <w:szCs w:val="18"/>
              </w:rPr>
            </w:pPr>
            <w:r>
              <w:rPr>
                <w:rFonts w:ascii="宋体" w:hAnsi="宋体"/>
                <w:sz w:val="18"/>
                <w:szCs w:val="18"/>
              </w:rPr>
              <w:t>用钢尺检查</w:t>
            </w:r>
          </w:p>
        </w:tc>
      </w:tr>
      <w:tr>
        <w:tblPrEx>
          <w:tblW w:w="8522" w:type="dxa"/>
          <w:tblInd w:w="0" w:type="dxa"/>
          <w:tblLayout w:type="fixed"/>
          <w:tblCellMar>
            <w:top w:w="0" w:type="dxa"/>
            <w:left w:w="108" w:type="dxa"/>
            <w:bottom w:w="0" w:type="dxa"/>
            <w:right w:w="108" w:type="dxa"/>
          </w:tblCellMar>
        </w:tblPrEx>
        <w:tc>
          <w:tcPr>
            <w:tcW w:w="1526" w:type="dxa"/>
            <w:gridSpan w:val="2"/>
            <w:vMerge/>
            <w:vAlign w:val="center"/>
          </w:tcPr>
          <w:p>
            <w:pPr>
              <w:rPr>
                <w:rFonts w:ascii="宋体" w:hAnsi="宋体"/>
                <w:sz w:val="18"/>
                <w:szCs w:val="18"/>
              </w:rPr>
            </w:pPr>
          </w:p>
        </w:tc>
        <w:tc>
          <w:tcPr>
            <w:tcW w:w="1559" w:type="dxa"/>
            <w:vAlign w:val="center"/>
          </w:tcPr>
          <w:p>
            <w:pPr>
              <w:autoSpaceDE w:val="0"/>
              <w:autoSpaceDN w:val="0"/>
              <w:spacing w:after="160"/>
              <w:jc w:val="center"/>
              <w:rPr>
                <w:rFonts w:ascii="宋体" w:hAnsi="宋体"/>
                <w:sz w:val="18"/>
                <w:szCs w:val="18"/>
              </w:rPr>
            </w:pPr>
            <w:r>
              <w:rPr>
                <w:rFonts w:ascii="宋体" w:hAnsi="宋体"/>
                <w:sz w:val="18"/>
                <w:szCs w:val="18"/>
              </w:rPr>
              <w:t>上承式顶面高差</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1.2</w:t>
            </w:r>
          </w:p>
        </w:tc>
        <w:tc>
          <w:tcPr>
            <w:tcW w:w="2410" w:type="dxa"/>
            <w:vMerge/>
            <w:vAlign w:val="center"/>
          </w:tcPr>
          <w:p>
            <w:pPr>
              <w:rPr>
                <w:rFonts w:ascii="宋体" w:hAnsi="宋体"/>
                <w:sz w:val="18"/>
                <w:szCs w:val="18"/>
              </w:rPr>
            </w:pPr>
          </w:p>
        </w:tc>
        <w:tc>
          <w:tcPr>
            <w:tcW w:w="1751"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c>
          <w:tcPr>
            <w:tcW w:w="1526" w:type="dxa"/>
            <w:gridSpan w:val="2"/>
            <w:vMerge/>
            <w:vAlign w:val="center"/>
          </w:tcPr>
          <w:p>
            <w:pPr>
              <w:rPr>
                <w:rFonts w:ascii="宋体" w:hAnsi="宋体"/>
                <w:sz w:val="18"/>
                <w:szCs w:val="18"/>
              </w:rPr>
            </w:pPr>
          </w:p>
        </w:tc>
        <w:tc>
          <w:tcPr>
            <w:tcW w:w="1559" w:type="dxa"/>
            <w:vAlign w:val="center"/>
          </w:tcPr>
          <w:p>
            <w:pPr>
              <w:autoSpaceDE w:val="0"/>
              <w:autoSpaceDN w:val="0"/>
              <w:spacing w:after="160"/>
              <w:jc w:val="center"/>
              <w:rPr>
                <w:rFonts w:ascii="宋体" w:hAnsi="宋体"/>
                <w:sz w:val="18"/>
                <w:szCs w:val="18"/>
              </w:rPr>
            </w:pPr>
            <w:r>
              <w:rPr>
                <w:rFonts w:ascii="宋体" w:hAnsi="宋体"/>
                <w:sz w:val="18"/>
                <w:szCs w:val="18"/>
              </w:rPr>
              <w:t>下承式底面高差</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1.2</w:t>
            </w:r>
          </w:p>
        </w:tc>
        <w:tc>
          <w:tcPr>
            <w:tcW w:w="2410" w:type="dxa"/>
            <w:vMerge/>
            <w:vAlign w:val="center"/>
          </w:tcPr>
          <w:p>
            <w:pPr>
              <w:rPr>
                <w:rFonts w:ascii="宋体" w:hAnsi="宋体"/>
                <w:sz w:val="18"/>
                <w:szCs w:val="18"/>
              </w:rPr>
            </w:pPr>
          </w:p>
        </w:tc>
        <w:tc>
          <w:tcPr>
            <w:tcW w:w="1751" w:type="dxa"/>
            <w:vMerge/>
            <w:vAlign w:val="center"/>
          </w:tcPr>
          <w:p>
            <w:pPr>
              <w:rPr>
                <w:rFonts w:ascii="宋体" w:hAnsi="宋体"/>
                <w:sz w:val="18"/>
                <w:szCs w:val="18"/>
              </w:rPr>
            </w:pPr>
          </w:p>
        </w:tc>
      </w:tr>
      <w:tr>
        <w:tblPrEx>
          <w:tblW w:w="8522" w:type="dxa"/>
          <w:tblInd w:w="0" w:type="dxa"/>
          <w:tblLayout w:type="fixed"/>
          <w:tblCellMar>
            <w:top w:w="0" w:type="dxa"/>
            <w:left w:w="108" w:type="dxa"/>
            <w:bottom w:w="0" w:type="dxa"/>
            <w:right w:w="108" w:type="dxa"/>
          </w:tblCellMar>
        </w:tblPrEx>
        <w:trPr>
          <w:trHeight w:val="870"/>
        </w:trPr>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同跨间任一截面的吊车梁中心跨距Δ</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±12</w:t>
            </w:r>
          </w:p>
        </w:tc>
        <w:tc>
          <w:tcPr>
            <w:tcW w:w="24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75648" behindDoc="0" locked="0" layoutInCell="1" allowOverlap="1">
                  <wp:simplePos x="0" y="0"/>
                  <wp:positionH relativeFrom="column">
                    <wp:posOffset>103505</wp:posOffset>
                  </wp:positionH>
                  <wp:positionV relativeFrom="paragraph">
                    <wp:posOffset>-137795</wp:posOffset>
                  </wp:positionV>
                  <wp:extent cx="1026795" cy="628015"/>
                  <wp:effectExtent l="0" t="0" r="1905" b="635"/>
                  <wp:wrapNone/>
                  <wp:docPr id="4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1"/>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26795" cy="628015"/>
                          </a:xfrm>
                          <a:prstGeom prst="rect">
                            <a:avLst/>
                          </a:prstGeom>
                          <a:ln/>
                        </pic:spPr>
                      </pic:pic>
                    </a:graphicData>
                  </a:graphic>
                </wp:anchor>
              </w:drawing>
            </w:r>
          </w:p>
        </w:tc>
        <w:tc>
          <w:tcPr>
            <w:tcW w:w="1751" w:type="dxa"/>
            <w:vAlign w:val="center"/>
          </w:tcPr>
          <w:p>
            <w:pPr>
              <w:autoSpaceDE w:val="0"/>
              <w:autoSpaceDN w:val="0"/>
              <w:spacing w:after="160"/>
              <w:jc w:val="center"/>
              <w:rPr>
                <w:rFonts w:ascii="宋体" w:hAnsi="宋体"/>
                <w:sz w:val="18"/>
                <w:szCs w:val="18"/>
              </w:rPr>
            </w:pPr>
            <w:r>
              <w:rPr>
                <w:rFonts w:ascii="宋体" w:hAnsi="宋体"/>
                <w:sz w:val="18"/>
                <w:szCs w:val="18"/>
              </w:rPr>
              <w:t>用经纬仪和光电测距仪检查，跨度小时，可用钢尺检查</w:t>
            </w:r>
          </w:p>
        </w:tc>
      </w:tr>
      <w:tr>
        <w:tblPrEx>
          <w:tblW w:w="8522" w:type="dxa"/>
          <w:tblInd w:w="0" w:type="dxa"/>
          <w:tblLayout w:type="fixed"/>
          <w:tblCellMar>
            <w:top w:w="0" w:type="dxa"/>
            <w:left w:w="108" w:type="dxa"/>
            <w:bottom w:w="0" w:type="dxa"/>
            <w:right w:w="108" w:type="dxa"/>
          </w:tblCellMar>
        </w:tblPrEx>
        <w:trPr>
          <w:trHeight w:val="1409"/>
        </w:trPr>
        <w:tc>
          <w:tcPr>
            <w:tcW w:w="3085" w:type="dxa"/>
            <w:gridSpan w:val="3"/>
            <w:vAlign w:val="center"/>
          </w:tcPr>
          <w:p>
            <w:pPr>
              <w:autoSpaceDE w:val="0"/>
              <w:autoSpaceDN w:val="0"/>
              <w:spacing w:after="160"/>
              <w:jc w:val="center"/>
              <w:rPr>
                <w:rFonts w:ascii="宋体" w:hAnsi="宋体"/>
                <w:sz w:val="18"/>
                <w:szCs w:val="18"/>
              </w:rPr>
            </w:pPr>
            <w:r>
              <w:rPr>
                <w:rFonts w:ascii="宋体" w:hAnsi="宋体"/>
                <w:sz w:val="18"/>
                <w:szCs w:val="18"/>
              </w:rPr>
              <w:t>轨道中心对吊车梁腹板轴线的偏移Δ</w:t>
            </w:r>
          </w:p>
        </w:tc>
        <w:tc>
          <w:tcPr>
            <w:tcW w:w="1276" w:type="dxa"/>
            <w:vAlign w:val="center"/>
          </w:tcPr>
          <w:p>
            <w:pPr>
              <w:autoSpaceDE w:val="0"/>
              <w:autoSpaceDN w:val="0"/>
              <w:spacing w:after="160"/>
              <w:jc w:val="center"/>
              <w:rPr>
                <w:rFonts w:ascii="宋体" w:hAnsi="宋体"/>
                <w:sz w:val="18"/>
                <w:szCs w:val="18"/>
              </w:rPr>
            </w:pPr>
            <w:r>
              <w:rPr>
                <w:rFonts w:ascii="宋体" w:hAnsi="宋体"/>
                <w:sz w:val="18"/>
                <w:szCs w:val="18"/>
              </w:rPr>
              <w:t>t/2</w:t>
            </w:r>
          </w:p>
        </w:tc>
        <w:tc>
          <w:tcPr>
            <w:tcW w:w="241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drawing>
                <wp:anchor distT="0" distB="0" distL="114300" distR="114300" simplePos="0" relativeHeight="251676672" behindDoc="0" locked="0" layoutInCell="1" allowOverlap="1">
                  <wp:simplePos x="0" y="0"/>
                  <wp:positionH relativeFrom="column">
                    <wp:posOffset>591820</wp:posOffset>
                  </wp:positionH>
                  <wp:positionV relativeFrom="paragraph">
                    <wp:posOffset>-17780</wp:posOffset>
                  </wp:positionV>
                  <wp:extent cx="286385" cy="791845"/>
                  <wp:effectExtent l="0" t="0" r="0" b="0"/>
                  <wp:wrapNone/>
                  <wp:docPr id="4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2"/>
                          <pic:cNvPicPr>
                            <a:picLocks noChangeAspect="1" noChangeArrowheads="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7020" cy="792480"/>
                          </a:xfrm>
                          <a:prstGeom prst="rect">
                            <a:avLst/>
                          </a:prstGeom>
                          <a:ln/>
                        </pic:spPr>
                      </pic:pic>
                    </a:graphicData>
                  </a:graphic>
                </wp:anchor>
              </w:drawing>
            </w:r>
          </w:p>
        </w:tc>
        <w:tc>
          <w:tcPr>
            <w:tcW w:w="1751" w:type="dxa"/>
            <w:vAlign w:val="center"/>
          </w:tcPr>
          <w:p>
            <w:pPr>
              <w:autoSpaceDE w:val="0"/>
              <w:autoSpaceDN w:val="0"/>
              <w:spacing w:after="160"/>
              <w:jc w:val="center"/>
              <w:rPr>
                <w:rFonts w:ascii="宋体" w:hAnsi="宋体"/>
                <w:sz w:val="18"/>
                <w:szCs w:val="18"/>
              </w:rPr>
            </w:pPr>
            <w:r>
              <w:rPr>
                <w:rFonts w:ascii="宋体" w:hAnsi="宋体"/>
                <w:sz w:val="18"/>
                <w:szCs w:val="18"/>
              </w:rPr>
              <w:t>用吊线和钢尺检查</w:t>
            </w:r>
          </w:p>
        </w:tc>
      </w:tr>
    </w:tbl>
    <w:p>
      <w:pPr>
        <w:autoSpaceDE w:val="0"/>
        <w:autoSpaceDN w:val="0"/>
        <w:spacing w:after="160" w:line="440" w:lineRule="exact"/>
        <w:jc w:val="left"/>
        <w:rPr>
          <w:rFonts w:ascii="宋体" w:hAnsi="宋体"/>
          <w:sz w:val="28"/>
          <w:szCs w:val="28"/>
        </w:rPr>
      </w:pPr>
    </w:p>
    <w:p>
      <w:pPr>
        <w:spacing w:line="360" w:lineRule="auto"/>
        <w:sectPr>
          <w:footerReference w:type="default" r:id="rId32"/>
          <w:type w:val="nextPage"/>
          <w:pgSz w:w="11906" w:h="16838"/>
          <w:pgMar w:top="1440" w:right="1800" w:bottom="1440" w:left="1800" w:header="851" w:footer="992" w:gutter="0"/>
          <w:pgNumType w:start="10"/>
          <w:cols w:num="1" w:space="720"/>
          <w:titlePg w:val="0"/>
          <w:docGrid w:type="lines" w:linePitch="312" w:charSpace="0"/>
        </w:sectPr>
      </w:pPr>
      <w:r>
        <w:rPr>
          <w:rFonts w:ascii="黑体" w:eastAsia="黑体" w:hAnsi="黑体"/>
        </w:rPr>
        <w:t xml:space="preserve">4.3.9 </w:t>
      </w:r>
      <w:r>
        <w:t>利旧等次要构件安装的允许偏差应符合表4.3.9的规定。</w:t>
      </w:r>
    </w:p>
    <w:p>
      <w:pPr>
        <w:spacing w:line="360" w:lineRule="auto"/>
      </w:pPr>
      <w:r>
        <w:t>检查数量：按同类构件数抽查10%，且不应少于3件。</w:t>
      </w:r>
    </w:p>
    <w:p>
      <w:pPr>
        <w:spacing w:line="360" w:lineRule="auto"/>
      </w:pPr>
      <w:r>
        <w:t>检验方法：见表4.3.9。</w:t>
      </w:r>
    </w:p>
    <w:p>
      <w:pPr>
        <w:autoSpaceDE w:val="0"/>
        <w:autoSpaceDN w:val="0"/>
        <w:spacing w:after="160" w:line="440" w:lineRule="exact"/>
        <w:ind w:firstLine="562"/>
        <w:jc w:val="center"/>
        <w:rPr>
          <w:rFonts w:ascii="黑体" w:eastAsia="黑体" w:hAnsi="黑体"/>
        </w:rPr>
      </w:pPr>
      <w:r>
        <w:rPr>
          <w:rFonts w:ascii="黑体" w:eastAsia="黑体" w:hAnsi="黑体"/>
        </w:rPr>
        <w:t>表4.3.9  利旧檩条、墙架等次要构件安装的允许偏差（mm）</w:t>
      </w:r>
    </w:p>
    <w:tbl>
      <w:tblPr>
        <w:tblStyle w:val="TableGrid5"/>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675"/>
        <w:gridCol w:w="2835"/>
        <w:gridCol w:w="2552"/>
        <w:gridCol w:w="2460"/>
      </w:tblGrid>
      <w:tr>
        <w:tblPrEx>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3510"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项目</w:t>
            </w:r>
          </w:p>
        </w:tc>
        <w:tc>
          <w:tcPr>
            <w:tcW w:w="2552"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允许偏差</w:t>
            </w:r>
          </w:p>
        </w:tc>
        <w:tc>
          <w:tcPr>
            <w:tcW w:w="246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检验方法</w:t>
            </w:r>
          </w:p>
        </w:tc>
      </w:tr>
      <w:tr>
        <w:tblPrEx>
          <w:tblW w:w="8522" w:type="dxa"/>
          <w:tblInd w:w="0" w:type="dxa"/>
          <w:tblLayout w:type="fixed"/>
          <w:tblCellMar>
            <w:top w:w="0" w:type="dxa"/>
            <w:left w:w="108" w:type="dxa"/>
            <w:bottom w:w="0" w:type="dxa"/>
            <w:right w:w="108" w:type="dxa"/>
          </w:tblCellMar>
        </w:tblPrEx>
        <w:tc>
          <w:tcPr>
            <w:tcW w:w="675" w:type="dxa"/>
            <w:vMerge w:val="restart"/>
            <w:vAlign w:val="center"/>
          </w:tcPr>
          <w:p>
            <w:pPr>
              <w:autoSpaceDE w:val="0"/>
              <w:autoSpaceDN w:val="0"/>
              <w:spacing w:after="160" w:line="440" w:lineRule="exact"/>
              <w:jc w:val="center"/>
              <w:rPr>
                <w:rFonts w:ascii="宋体" w:hAnsi="宋体"/>
                <w:sz w:val="18"/>
                <w:szCs w:val="18"/>
              </w:rPr>
            </w:pPr>
            <w:r>
              <w:rPr>
                <w:rFonts w:ascii="宋体" w:hAnsi="宋体"/>
                <w:sz w:val="18"/>
                <w:szCs w:val="18"/>
              </w:rPr>
              <w:t>墙架立柱</w:t>
            </w:r>
          </w:p>
        </w:tc>
        <w:tc>
          <w:tcPr>
            <w:tcW w:w="2835"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中心线对定位轴线的偏移</w:t>
            </w:r>
          </w:p>
        </w:tc>
        <w:tc>
          <w:tcPr>
            <w:tcW w:w="2552"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12</w:t>
            </w:r>
          </w:p>
        </w:tc>
        <w:tc>
          <w:tcPr>
            <w:tcW w:w="246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用钢尺检查</w:t>
            </w:r>
          </w:p>
        </w:tc>
      </w:tr>
      <w:tr>
        <w:tblPrEx>
          <w:tblW w:w="8522" w:type="dxa"/>
          <w:tblInd w:w="0" w:type="dxa"/>
          <w:tblLayout w:type="fixed"/>
          <w:tblCellMar>
            <w:top w:w="0" w:type="dxa"/>
            <w:left w:w="108" w:type="dxa"/>
            <w:bottom w:w="0" w:type="dxa"/>
            <w:right w:w="108" w:type="dxa"/>
          </w:tblCellMar>
        </w:tblPrEx>
        <w:tc>
          <w:tcPr>
            <w:tcW w:w="675" w:type="dxa"/>
            <w:vMerge/>
            <w:vAlign w:val="center"/>
          </w:tcPr>
          <w:p>
            <w:pPr>
              <w:rPr>
                <w:sz w:val="18"/>
                <w:szCs w:val="18"/>
              </w:rPr>
            </w:pPr>
          </w:p>
        </w:tc>
        <w:tc>
          <w:tcPr>
            <w:tcW w:w="2835"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垂直度</w:t>
            </w:r>
          </w:p>
        </w:tc>
        <w:tc>
          <w:tcPr>
            <w:tcW w:w="2552"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H/1000，且不大于12</w:t>
            </w:r>
          </w:p>
        </w:tc>
        <w:tc>
          <w:tcPr>
            <w:tcW w:w="246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用经纬仪或吊线和钢尺检查</w:t>
            </w:r>
          </w:p>
        </w:tc>
      </w:tr>
      <w:tr>
        <w:tblPrEx>
          <w:tblW w:w="8522" w:type="dxa"/>
          <w:tblInd w:w="0" w:type="dxa"/>
          <w:tblLayout w:type="fixed"/>
          <w:tblCellMar>
            <w:top w:w="0" w:type="dxa"/>
            <w:left w:w="108" w:type="dxa"/>
            <w:bottom w:w="0" w:type="dxa"/>
            <w:right w:w="108" w:type="dxa"/>
          </w:tblCellMar>
        </w:tblPrEx>
        <w:tc>
          <w:tcPr>
            <w:tcW w:w="675" w:type="dxa"/>
            <w:vMerge/>
            <w:vAlign w:val="center"/>
          </w:tcPr>
          <w:p>
            <w:pPr>
              <w:rPr>
                <w:sz w:val="18"/>
                <w:szCs w:val="18"/>
              </w:rPr>
            </w:pPr>
          </w:p>
        </w:tc>
        <w:tc>
          <w:tcPr>
            <w:tcW w:w="2835"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弯曲矢高</w:t>
            </w:r>
          </w:p>
        </w:tc>
        <w:tc>
          <w:tcPr>
            <w:tcW w:w="2552"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H/1000，且不大于18</w:t>
            </w:r>
          </w:p>
        </w:tc>
        <w:tc>
          <w:tcPr>
            <w:tcW w:w="246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用经纬仪或吊线和钢尺检查</w:t>
            </w:r>
          </w:p>
        </w:tc>
      </w:tr>
      <w:tr>
        <w:tblPrEx>
          <w:tblW w:w="8522" w:type="dxa"/>
          <w:tblInd w:w="0" w:type="dxa"/>
          <w:tblLayout w:type="fixed"/>
          <w:tblCellMar>
            <w:top w:w="0" w:type="dxa"/>
            <w:left w:w="108" w:type="dxa"/>
            <w:bottom w:w="0" w:type="dxa"/>
            <w:right w:w="108" w:type="dxa"/>
          </w:tblCellMar>
        </w:tblPrEx>
        <w:tc>
          <w:tcPr>
            <w:tcW w:w="3510"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抗风桁架的垂直度</w:t>
            </w:r>
          </w:p>
        </w:tc>
        <w:tc>
          <w:tcPr>
            <w:tcW w:w="2552"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h/250，且不大于18</w:t>
            </w:r>
          </w:p>
        </w:tc>
        <w:tc>
          <w:tcPr>
            <w:tcW w:w="246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用吊线和钢尺检查</w:t>
            </w:r>
          </w:p>
        </w:tc>
      </w:tr>
      <w:tr>
        <w:tblPrEx>
          <w:tblW w:w="8522" w:type="dxa"/>
          <w:tblInd w:w="0" w:type="dxa"/>
          <w:tblLayout w:type="fixed"/>
          <w:tblCellMar>
            <w:top w:w="0" w:type="dxa"/>
            <w:left w:w="108" w:type="dxa"/>
            <w:bottom w:w="0" w:type="dxa"/>
            <w:right w:w="108" w:type="dxa"/>
          </w:tblCellMar>
        </w:tblPrEx>
        <w:tc>
          <w:tcPr>
            <w:tcW w:w="3510"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檩条、墙架的间距</w:t>
            </w:r>
          </w:p>
        </w:tc>
        <w:tc>
          <w:tcPr>
            <w:tcW w:w="2552"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±6</w:t>
            </w:r>
          </w:p>
        </w:tc>
        <w:tc>
          <w:tcPr>
            <w:tcW w:w="246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用钢尺检查</w:t>
            </w:r>
          </w:p>
        </w:tc>
      </w:tr>
      <w:tr>
        <w:tblPrEx>
          <w:tblW w:w="8522" w:type="dxa"/>
          <w:tblInd w:w="0" w:type="dxa"/>
          <w:tblLayout w:type="fixed"/>
          <w:tblCellMar>
            <w:top w:w="0" w:type="dxa"/>
            <w:left w:w="108" w:type="dxa"/>
            <w:bottom w:w="0" w:type="dxa"/>
            <w:right w:w="108" w:type="dxa"/>
          </w:tblCellMar>
        </w:tblPrEx>
        <w:tc>
          <w:tcPr>
            <w:tcW w:w="3510"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檩条的弯曲矢高</w:t>
            </w:r>
          </w:p>
        </w:tc>
        <w:tc>
          <w:tcPr>
            <w:tcW w:w="2552"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L/750，且不大于14</w:t>
            </w:r>
          </w:p>
        </w:tc>
        <w:tc>
          <w:tcPr>
            <w:tcW w:w="246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用拉线和钢尺检查</w:t>
            </w:r>
          </w:p>
        </w:tc>
      </w:tr>
      <w:tr>
        <w:tblPrEx>
          <w:tblW w:w="8522" w:type="dxa"/>
          <w:tblInd w:w="0" w:type="dxa"/>
          <w:tblLayout w:type="fixed"/>
          <w:tblCellMar>
            <w:top w:w="0" w:type="dxa"/>
            <w:left w:w="108" w:type="dxa"/>
            <w:bottom w:w="0" w:type="dxa"/>
            <w:right w:w="108" w:type="dxa"/>
          </w:tblCellMar>
        </w:tblPrEx>
        <w:tc>
          <w:tcPr>
            <w:tcW w:w="3510" w:type="dxa"/>
            <w:gridSpan w:val="2"/>
            <w:vAlign w:val="center"/>
          </w:tcPr>
          <w:p>
            <w:pPr>
              <w:autoSpaceDE w:val="0"/>
              <w:autoSpaceDN w:val="0"/>
              <w:spacing w:after="160" w:line="440" w:lineRule="exact"/>
              <w:jc w:val="center"/>
              <w:rPr>
                <w:rFonts w:ascii="宋体" w:hAnsi="宋体"/>
                <w:sz w:val="18"/>
                <w:szCs w:val="18"/>
              </w:rPr>
            </w:pPr>
            <w:r>
              <w:rPr>
                <w:rFonts w:ascii="宋体" w:hAnsi="宋体"/>
                <w:sz w:val="18"/>
                <w:szCs w:val="18"/>
              </w:rPr>
              <w:t>墙梁的弯曲矢高</w:t>
            </w:r>
          </w:p>
        </w:tc>
        <w:tc>
          <w:tcPr>
            <w:tcW w:w="2552"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L/750，且不大于12</w:t>
            </w:r>
          </w:p>
        </w:tc>
        <w:tc>
          <w:tcPr>
            <w:tcW w:w="246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用拉线和钢尺检查</w:t>
            </w:r>
          </w:p>
        </w:tc>
      </w:tr>
      <w:tr>
        <w:tblPrEx>
          <w:tblW w:w="8522" w:type="dxa"/>
          <w:tblInd w:w="0" w:type="dxa"/>
          <w:tblLayout w:type="fixed"/>
          <w:tblCellMar>
            <w:top w:w="0" w:type="dxa"/>
            <w:left w:w="108" w:type="dxa"/>
            <w:bottom w:w="0" w:type="dxa"/>
            <w:right w:w="108" w:type="dxa"/>
          </w:tblCellMar>
        </w:tblPrEx>
        <w:tc>
          <w:tcPr>
            <w:tcW w:w="8522" w:type="dxa"/>
            <w:gridSpan w:val="4"/>
            <w:vAlign w:val="center"/>
          </w:tcPr>
          <w:p>
            <w:pPr>
              <w:autoSpaceDE w:val="0"/>
              <w:autoSpaceDN w:val="0"/>
              <w:spacing w:after="160" w:line="440" w:lineRule="exact"/>
              <w:ind w:firstLine="560"/>
              <w:rPr>
                <w:rFonts w:ascii="宋体" w:hAnsi="宋体"/>
                <w:sz w:val="18"/>
                <w:szCs w:val="18"/>
              </w:rPr>
            </w:pPr>
            <w:r>
              <w:rPr>
                <w:rFonts w:ascii="宋体" w:hAnsi="宋体"/>
                <w:sz w:val="18"/>
                <w:szCs w:val="18"/>
              </w:rPr>
              <w:t>注：1、H为墙架立柱的高度；</w:t>
            </w:r>
          </w:p>
          <w:p>
            <w:pPr>
              <w:autoSpaceDE w:val="0"/>
              <w:autoSpaceDN w:val="0"/>
              <w:spacing w:after="160" w:line="440" w:lineRule="exact"/>
              <w:ind w:firstLine="560"/>
              <w:rPr>
                <w:rFonts w:ascii="宋体" w:hAnsi="宋体"/>
                <w:sz w:val="18"/>
                <w:szCs w:val="18"/>
              </w:rPr>
            </w:pPr>
            <w:r>
              <w:rPr>
                <w:rFonts w:ascii="宋体" w:hAnsi="宋体"/>
                <w:sz w:val="18"/>
                <w:szCs w:val="18"/>
              </w:rPr>
              <w:t xml:space="preserve">    2、h为抗风桁架的高度；</w:t>
            </w:r>
          </w:p>
          <w:p>
            <w:pPr>
              <w:autoSpaceDE w:val="0"/>
              <w:autoSpaceDN w:val="0"/>
              <w:spacing w:after="160" w:line="440" w:lineRule="exact"/>
              <w:ind w:firstLine="560"/>
              <w:rPr>
                <w:rFonts w:ascii="宋体" w:hAnsi="宋体"/>
                <w:sz w:val="18"/>
                <w:szCs w:val="18"/>
              </w:rPr>
            </w:pPr>
            <w:r>
              <w:rPr>
                <w:rFonts w:ascii="宋体" w:hAnsi="宋体"/>
                <w:sz w:val="18"/>
                <w:szCs w:val="18"/>
              </w:rPr>
              <w:t xml:space="preserve">    3、L为檩条或墙梁的长度。</w:t>
            </w:r>
          </w:p>
        </w:tc>
      </w:tr>
    </w:tbl>
    <w:p>
      <w:pPr>
        <w:autoSpaceDE w:val="0"/>
        <w:autoSpaceDN w:val="0"/>
        <w:spacing w:after="160" w:line="440" w:lineRule="exact"/>
        <w:jc w:val="left"/>
        <w:rPr>
          <w:rFonts w:ascii="黑体" w:eastAsia="黑体" w:hAnsi="黑体"/>
        </w:rPr>
      </w:pPr>
    </w:p>
    <w:p>
      <w:pPr>
        <w:autoSpaceDE w:val="0"/>
        <w:autoSpaceDN w:val="0"/>
        <w:spacing w:after="160" w:line="440" w:lineRule="exact"/>
        <w:jc w:val="left"/>
        <w:rPr>
          <w:rFonts w:ascii="黑体" w:eastAsia="黑体" w:hAnsi="黑体"/>
        </w:rPr>
      </w:pPr>
    </w:p>
    <w:p>
      <w:pPr>
        <w:autoSpaceDE w:val="0"/>
        <w:autoSpaceDN w:val="0"/>
        <w:spacing w:after="160" w:line="440" w:lineRule="exact"/>
        <w:jc w:val="left"/>
        <w:rPr>
          <w:rFonts w:ascii="宋体" w:hAnsi="宋体"/>
        </w:rPr>
      </w:pPr>
      <w:r>
        <w:rPr>
          <w:rFonts w:ascii="黑体" w:eastAsia="黑体" w:hAnsi="黑体"/>
        </w:rPr>
        <w:t xml:space="preserve">4.3.10 </w:t>
      </w:r>
      <w:r>
        <w:rPr>
          <w:rFonts w:ascii="宋体" w:hAnsi="宋体"/>
        </w:rPr>
        <w:t>利旧钢平台、钢梯、栏杆安装应符合现行国家标准《固定式钢直梯》GB 4053.1、《固定式钢斜梯》GB 4053.2、《固定式防护栏杆》GB 4053.3和《固定式钢平台》GB 4053.4的规定。利旧钢平台、钢梯和防护栏杆的安装允许偏差应符合表4.3.10的规定。</w:t>
      </w:r>
    </w:p>
    <w:p>
      <w:pPr>
        <w:autoSpaceDE w:val="0"/>
        <w:autoSpaceDN w:val="0"/>
        <w:spacing w:after="160" w:line="440" w:lineRule="exact"/>
        <w:ind w:firstLine="424" w:firstLineChars="202"/>
        <w:jc w:val="left"/>
        <w:rPr>
          <w:rFonts w:ascii="宋体" w:hAnsi="宋体"/>
        </w:rPr>
      </w:pPr>
      <w:r>
        <w:rPr>
          <w:rFonts w:ascii="宋体" w:hAnsi="宋体" w:hint="eastAsia"/>
        </w:rPr>
        <w:t>利旧工艺钢结构的平台、钢梯、栏杆安装允许偏差尚应满足生产工艺的要求。</w:t>
      </w:r>
    </w:p>
    <w:p>
      <w:pPr>
        <w:autoSpaceDE w:val="0"/>
        <w:autoSpaceDN w:val="0"/>
        <w:spacing w:after="160" w:line="440" w:lineRule="exact"/>
        <w:ind w:firstLine="426"/>
        <w:jc w:val="left"/>
        <w:rPr>
          <w:rFonts w:ascii="宋体" w:hAnsi="宋体"/>
        </w:rPr>
      </w:pPr>
      <w:r>
        <w:rPr>
          <w:rFonts w:ascii="宋体" w:hAnsi="宋体"/>
        </w:rPr>
        <w:t>检查数量：按钢平台总数量抽查10%，栏杆、钢梯按总长度各抽查10%，但钢平台不应少于1个，栏杆不应少于5m，钢梯不应少于1跑。</w:t>
      </w:r>
    </w:p>
    <w:p>
      <w:pPr>
        <w:autoSpaceDE w:val="0"/>
        <w:autoSpaceDN w:val="0"/>
        <w:spacing w:after="160" w:line="440" w:lineRule="exact"/>
        <w:ind w:firstLine="565"/>
        <w:jc w:val="left"/>
        <w:rPr>
          <w:rFonts w:ascii="宋体" w:hAnsi="宋体"/>
        </w:rPr>
      </w:pPr>
      <w:r>
        <w:rPr>
          <w:rFonts w:ascii="宋体" w:hAnsi="宋体"/>
        </w:rPr>
        <w:t>检验方法见表4.3.10.</w:t>
      </w:r>
    </w:p>
    <w:p>
      <w:pPr>
        <w:autoSpaceDE w:val="0"/>
        <w:autoSpaceDN w:val="0"/>
        <w:spacing w:after="160" w:line="440" w:lineRule="exact"/>
        <w:ind w:firstLine="565"/>
        <w:jc w:val="left"/>
        <w:rPr>
          <w:rFonts w:ascii="宋体" w:hAnsi="宋体"/>
        </w:rPr>
        <w:sectPr>
          <w:footerReference w:type="default" r:id="rId33"/>
          <w:type w:val="nextPage"/>
          <w:pgSz w:w="11906" w:h="16838"/>
          <w:pgMar w:top="1440" w:right="1800" w:bottom="1440" w:left="1800" w:header="851" w:footer="992" w:gutter="0"/>
          <w:pgNumType w:start="11"/>
          <w:cols w:num="1" w:space="720"/>
          <w:titlePg w:val="0"/>
          <w:docGrid w:type="lines" w:linePitch="312" w:charSpace="0"/>
        </w:sectPr>
      </w:pPr>
    </w:p>
    <w:p>
      <w:pPr>
        <w:autoSpaceDE w:val="0"/>
        <w:autoSpaceDN w:val="0"/>
        <w:spacing w:after="160" w:line="440" w:lineRule="exact"/>
        <w:ind w:firstLine="568"/>
        <w:jc w:val="center"/>
        <w:rPr>
          <w:rFonts w:ascii="黑体" w:eastAsia="黑体" w:hAnsi="黑体"/>
        </w:rPr>
      </w:pPr>
      <w:r>
        <w:rPr>
          <w:rFonts w:ascii="黑体" w:eastAsia="黑体" w:hAnsi="黑体"/>
        </w:rPr>
        <w:t>表4.3.10 利旧钢平台、钢梯和防护栏杆的安装允许偏差（mm）</w:t>
      </w:r>
    </w:p>
    <w:tbl>
      <w:tblPr>
        <w:tblStyle w:val="TableGrid6"/>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2840"/>
        <w:gridCol w:w="2841"/>
        <w:gridCol w:w="2841"/>
      </w:tblGrid>
      <w:tr>
        <w:tblPrEx>
          <w:tblW w:w="85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项目</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允许偏差</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检验方法</w:t>
            </w:r>
          </w:p>
        </w:tc>
      </w:tr>
      <w:tr>
        <w:tblPrEx>
          <w:tblW w:w="8522" w:type="dxa"/>
          <w:tblInd w:w="0" w:type="dxa"/>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平台高度</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±18</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用水准仪检查</w:t>
            </w:r>
          </w:p>
        </w:tc>
      </w:tr>
      <w:tr>
        <w:tblPrEx>
          <w:tblW w:w="8522" w:type="dxa"/>
          <w:tblInd w:w="0" w:type="dxa"/>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平台梁水平度</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l/1000，且不大于24</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用水准仪检查</w:t>
            </w:r>
          </w:p>
        </w:tc>
      </w:tr>
      <w:tr>
        <w:tblPrEx>
          <w:tblW w:w="8522" w:type="dxa"/>
          <w:tblInd w:w="0" w:type="dxa"/>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平台支柱垂直度</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H/1000，且不大于18</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用经纬仪或吊线和钢尺检查</w:t>
            </w:r>
          </w:p>
        </w:tc>
      </w:tr>
      <w:tr>
        <w:tblPrEx>
          <w:tblW w:w="8522" w:type="dxa"/>
          <w:tblInd w:w="0" w:type="dxa"/>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承重平台梁侧向弯曲</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l/1000，且不大于12</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用拉线和钢尺检查</w:t>
            </w:r>
          </w:p>
        </w:tc>
      </w:tr>
      <w:tr>
        <w:tblPrEx>
          <w:tblW w:w="8522" w:type="dxa"/>
          <w:tblInd w:w="0" w:type="dxa"/>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承重平台梁垂直度</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h/250，且不大于18</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用吊线和钢尺检查</w:t>
            </w:r>
          </w:p>
        </w:tc>
      </w:tr>
      <w:tr>
        <w:tblPrEx>
          <w:tblW w:w="8522" w:type="dxa"/>
          <w:tblInd w:w="0" w:type="dxa"/>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直梯垂直度</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l/1000，且不大于18</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用吊线和钢尺检查</w:t>
            </w:r>
          </w:p>
        </w:tc>
      </w:tr>
      <w:tr>
        <w:tblPrEx>
          <w:tblW w:w="8522" w:type="dxa"/>
          <w:tblInd w:w="0" w:type="dxa"/>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栏杆高度</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w:t>
            </w:r>
            <w:r>
              <w:rPr>
                <w:rFonts w:ascii="宋体" w:hAnsi="宋体" w:hint="eastAsia"/>
                <w:sz w:val="18"/>
                <w:szCs w:val="18"/>
              </w:rPr>
              <w:t>18</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用钢尺检查</w:t>
            </w:r>
          </w:p>
        </w:tc>
      </w:tr>
      <w:tr>
        <w:tblPrEx>
          <w:tblW w:w="8522" w:type="dxa"/>
          <w:tblInd w:w="0" w:type="dxa"/>
          <w:tblLayout w:type="fixed"/>
          <w:tblCellMar>
            <w:top w:w="0" w:type="dxa"/>
            <w:left w:w="108" w:type="dxa"/>
            <w:bottom w:w="0" w:type="dxa"/>
            <w:right w:w="108" w:type="dxa"/>
          </w:tblCellMar>
        </w:tblPrEx>
        <w:tc>
          <w:tcPr>
            <w:tcW w:w="2840"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栏杆立柱间距</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w:t>
            </w:r>
            <w:r>
              <w:rPr>
                <w:rFonts w:ascii="宋体" w:hAnsi="宋体" w:hint="eastAsia"/>
                <w:sz w:val="18"/>
                <w:szCs w:val="18"/>
              </w:rPr>
              <w:t>18</w:t>
            </w:r>
          </w:p>
        </w:tc>
        <w:tc>
          <w:tcPr>
            <w:tcW w:w="2841" w:type="dxa"/>
            <w:vAlign w:val="center"/>
          </w:tcPr>
          <w:p>
            <w:pPr>
              <w:autoSpaceDE w:val="0"/>
              <w:autoSpaceDN w:val="0"/>
              <w:spacing w:after="160" w:line="440" w:lineRule="exact"/>
              <w:jc w:val="center"/>
              <w:rPr>
                <w:rFonts w:ascii="宋体" w:hAnsi="宋体"/>
                <w:sz w:val="18"/>
                <w:szCs w:val="18"/>
              </w:rPr>
            </w:pPr>
            <w:r>
              <w:rPr>
                <w:rFonts w:ascii="宋体" w:hAnsi="宋体"/>
                <w:sz w:val="18"/>
                <w:szCs w:val="18"/>
              </w:rPr>
              <w:t>用钢尺检查</w:t>
            </w:r>
          </w:p>
        </w:tc>
      </w:tr>
    </w:tbl>
    <w:p>
      <w:pPr>
        <w:sectPr>
          <w:footerReference w:type="default" r:id="rId34"/>
          <w:type w:val="nextPage"/>
          <w:pgSz w:w="11906" w:h="16838"/>
          <w:pgMar w:top="1440" w:right="1800" w:bottom="1440" w:left="1800" w:header="851" w:footer="992" w:gutter="0"/>
          <w:pgNumType w:start="12"/>
          <w:cols w:num="1" w:space="720"/>
          <w:titlePg w:val="0"/>
          <w:docGrid w:type="lines" w:linePitch="312" w:charSpace="0"/>
        </w:sectPr>
      </w:pPr>
    </w:p>
    <w:p>
      <w:pPr>
        <w:pStyle w:val="Heading1"/>
        <w:spacing w:before="340" w:after="330"/>
        <w:jc w:val="center"/>
        <w:rPr>
          <w:rFonts w:ascii="黑体" w:eastAsia="黑体" w:hAnsi="黑体"/>
          <w:b w:val="0"/>
          <w:sz w:val="21"/>
          <w:szCs w:val="21"/>
        </w:rPr>
      </w:pPr>
      <w:bookmarkStart w:id="8" w:name="_Toc528678488"/>
      <w:bookmarkStart w:id="9" w:name="_Toc518568124"/>
      <w:bookmarkStart w:id="10" w:name="_Toc527229351"/>
      <w:r>
        <w:rPr>
          <w:rFonts w:ascii="黑体" w:eastAsia="黑体" w:hAnsi="黑体"/>
          <w:b w:val="0"/>
          <w:sz w:val="21"/>
          <w:szCs w:val="21"/>
        </w:rPr>
        <w:t>5  管道工程</w:t>
      </w:r>
      <w:bookmarkEnd w:id="8"/>
    </w:p>
    <w:p>
      <w:pPr>
        <w:pStyle w:val="Heading2"/>
        <w:spacing w:before="260" w:after="260"/>
        <w:jc w:val="center"/>
        <w:rPr>
          <w:rFonts w:ascii="黑体" w:eastAsia="黑体" w:hAnsi="黑体"/>
          <w:b w:val="0"/>
          <w:sz w:val="21"/>
          <w:szCs w:val="21"/>
        </w:rPr>
      </w:pPr>
      <w:bookmarkStart w:id="11" w:name="_Toc528678489"/>
      <w:r>
        <w:rPr>
          <w:rFonts w:ascii="黑体" w:eastAsia="黑体" w:hAnsi="黑体"/>
          <w:b w:val="0"/>
          <w:sz w:val="21"/>
          <w:szCs w:val="21"/>
        </w:rPr>
        <w:t>5.1  一般规定</w:t>
      </w:r>
      <w:bookmarkEnd w:id="11"/>
    </w:p>
    <w:p>
      <w:pPr>
        <w:autoSpaceDE w:val="0"/>
        <w:autoSpaceDN w:val="0"/>
        <w:spacing w:after="160" w:line="440" w:lineRule="exact"/>
        <w:jc w:val="left"/>
        <w:rPr>
          <w:rFonts w:ascii="黑体" w:eastAsia="黑体" w:hAnsi="黑体"/>
          <w:sz w:val="28"/>
          <w:szCs w:val="28"/>
        </w:rPr>
      </w:pPr>
      <w:r>
        <w:rPr>
          <w:rFonts w:ascii="黑体" w:eastAsia="黑体" w:hAnsi="黑体"/>
        </w:rPr>
        <w:t xml:space="preserve">5.1.1 </w:t>
      </w:r>
      <w:r>
        <w:rPr>
          <w:rFonts w:ascii="宋体" w:hAnsi="宋体"/>
        </w:rPr>
        <w:t>本章适用于冶金工厂搬迁工程中金属管道的拆除、安装施工及质量验收。</w:t>
      </w:r>
    </w:p>
    <w:p>
      <w:pPr>
        <w:autoSpaceDE w:val="0"/>
        <w:autoSpaceDN w:val="0"/>
        <w:spacing w:after="160" w:line="440" w:lineRule="exact"/>
        <w:jc w:val="left"/>
        <w:rPr>
          <w:rFonts w:ascii="宋体" w:hAnsi="宋体"/>
        </w:rPr>
      </w:pPr>
      <w:r>
        <w:rPr>
          <w:rFonts w:ascii="黑体" w:eastAsia="黑体" w:hAnsi="黑体"/>
        </w:rPr>
        <w:t>5.1.2</w:t>
      </w:r>
      <w:r>
        <w:rPr>
          <w:rFonts w:ascii="宋体" w:hAnsi="宋体"/>
          <w:b/>
          <w:sz w:val="28"/>
          <w:szCs w:val="28"/>
        </w:rPr>
        <w:t xml:space="preserve"> </w:t>
      </w:r>
      <w:r>
        <w:rPr>
          <w:rFonts w:ascii="宋体" w:hAnsi="宋体"/>
        </w:rPr>
        <w:t>异地压力管道利旧移装，原使用单位应向当地技术质量监督管理部门办理使用登记证注销。</w:t>
      </w:r>
    </w:p>
    <w:p>
      <w:pPr>
        <w:autoSpaceDE w:val="0"/>
        <w:autoSpaceDN w:val="0"/>
        <w:spacing w:after="160" w:line="440" w:lineRule="exact"/>
        <w:jc w:val="left"/>
        <w:rPr>
          <w:rFonts w:ascii="宋体" w:hAnsi="宋体"/>
        </w:rPr>
      </w:pPr>
      <w:r>
        <w:rPr>
          <w:rFonts w:ascii="黑体" w:eastAsia="黑体" w:hAnsi="黑体"/>
        </w:rPr>
        <w:t xml:space="preserve">5.1.3 </w:t>
      </w:r>
      <w:r>
        <w:rPr>
          <w:rFonts w:ascii="宋体" w:hAnsi="宋体"/>
        </w:rPr>
        <w:t>利旧压力管道安装前施工单位到安装工程所在地技术质量监督管理部门办理安装告知，技术质量监督管理部门对利旧压力管道经过检查确认后进行安装。</w:t>
      </w:r>
    </w:p>
    <w:p>
      <w:pPr>
        <w:pStyle w:val="Heading2"/>
        <w:spacing w:before="260" w:after="260" w:line="415" w:lineRule="auto"/>
        <w:jc w:val="center"/>
        <w:rPr>
          <w:rFonts w:ascii="黑体" w:eastAsia="黑体" w:hAnsi="黑体"/>
          <w:b w:val="0"/>
          <w:sz w:val="21"/>
          <w:szCs w:val="21"/>
        </w:rPr>
      </w:pPr>
      <w:bookmarkStart w:id="12" w:name="_Toc528678490"/>
      <w:r>
        <w:rPr>
          <w:rFonts w:ascii="黑体" w:eastAsia="黑体" w:hAnsi="黑体"/>
          <w:b w:val="0"/>
          <w:sz w:val="21"/>
          <w:szCs w:val="21"/>
        </w:rPr>
        <w:t>5.2  原管道拆除</w:t>
      </w:r>
      <w:bookmarkEnd w:id="12"/>
    </w:p>
    <w:p>
      <w:pPr>
        <w:autoSpaceDE w:val="0"/>
        <w:autoSpaceDN w:val="0"/>
        <w:spacing w:after="160" w:line="440" w:lineRule="exact"/>
        <w:jc w:val="left"/>
        <w:rPr>
          <w:rFonts w:ascii="宋体" w:hAnsi="宋体"/>
        </w:rPr>
      </w:pPr>
      <w:r>
        <w:rPr>
          <w:rFonts w:ascii="黑体" w:eastAsia="黑体" w:hAnsi="黑体"/>
        </w:rPr>
        <w:t>5.2.</w:t>
      </w:r>
      <w:r>
        <w:rPr>
          <w:rFonts w:ascii="黑体" w:eastAsia="黑体" w:hAnsi="黑体" w:hint="eastAsia"/>
        </w:rPr>
        <w:t>1</w:t>
      </w:r>
      <w:r>
        <w:rPr>
          <w:rFonts w:ascii="黑体" w:eastAsia="黑体" w:hAnsi="黑体"/>
        </w:rPr>
        <w:t xml:space="preserve"> </w:t>
      </w:r>
      <w:r>
        <w:rPr>
          <w:rFonts w:ascii="宋体" w:hAnsi="宋体"/>
        </w:rPr>
        <w:t>管道拆除采用安装时的逆工序，即采取“先小管、后大管、先支管、后主管、先仪表管道、后工艺管道”的原则。</w:t>
      </w:r>
    </w:p>
    <w:p>
      <w:pPr>
        <w:autoSpaceDE w:val="0"/>
        <w:autoSpaceDN w:val="0"/>
        <w:spacing w:after="160" w:line="440" w:lineRule="exact"/>
        <w:jc w:val="left"/>
        <w:rPr>
          <w:rFonts w:ascii="宋体" w:hAnsi="宋体"/>
        </w:rPr>
      </w:pPr>
      <w:r>
        <w:rPr>
          <w:rFonts w:ascii="黑体" w:eastAsia="黑体" w:hAnsi="黑体"/>
        </w:rPr>
        <w:t>5.2.</w:t>
      </w:r>
      <w:r>
        <w:rPr>
          <w:rFonts w:ascii="黑体" w:eastAsia="黑体" w:hAnsi="黑体" w:hint="eastAsia"/>
        </w:rPr>
        <w:t>2</w:t>
      </w:r>
      <w:r>
        <w:rPr>
          <w:rFonts w:ascii="黑体" w:eastAsia="黑体" w:hAnsi="黑体"/>
        </w:rPr>
        <w:t xml:space="preserve"> </w:t>
      </w:r>
      <w:r>
        <w:rPr>
          <w:rFonts w:ascii="宋体" w:hAnsi="宋体"/>
        </w:rPr>
        <w:t>利旧管道拆除、运输过程中应保证完好和内部清洁，必要时进行加固和管口封堵。</w:t>
      </w:r>
    </w:p>
    <w:p>
      <w:pPr>
        <w:autoSpaceDE w:val="0"/>
        <w:autoSpaceDN w:val="0"/>
        <w:spacing w:after="160" w:line="440" w:lineRule="exact"/>
        <w:jc w:val="left"/>
        <w:rPr>
          <w:rFonts w:ascii="宋体" w:hAnsi="宋体"/>
        </w:rPr>
      </w:pPr>
      <w:r>
        <w:rPr>
          <w:rFonts w:ascii="黑体" w:eastAsia="黑体" w:hAnsi="黑体"/>
        </w:rPr>
        <w:t>5.2.</w:t>
      </w:r>
      <w:r>
        <w:rPr>
          <w:rFonts w:ascii="黑体" w:eastAsia="黑体" w:hAnsi="黑体" w:hint="eastAsia"/>
        </w:rPr>
        <w:t>3</w:t>
      </w:r>
      <w:r>
        <w:rPr>
          <w:rFonts w:ascii="黑体" w:eastAsia="黑体" w:hAnsi="黑体"/>
        </w:rPr>
        <w:t xml:space="preserve"> </w:t>
      </w:r>
      <w:r>
        <w:rPr>
          <w:rFonts w:ascii="宋体" w:hAnsi="宋体"/>
        </w:rPr>
        <w:t>根据管道形状、位置、运输条件，确定管道拆除外形尺寸和管道切口位置，宜采用整段管道拆卸，并且保证各管道上仪表附件的完整性，管道切口质量应符合下列规定：</w:t>
      </w:r>
    </w:p>
    <w:p>
      <w:pPr>
        <w:autoSpaceDE w:val="0"/>
        <w:autoSpaceDN w:val="0"/>
        <w:spacing w:after="160" w:line="440" w:lineRule="exact"/>
        <w:jc w:val="left"/>
        <w:rPr>
          <w:rFonts w:ascii="宋体" w:hAnsi="宋体"/>
        </w:rPr>
      </w:pPr>
      <w:r>
        <w:rPr>
          <w:rFonts w:ascii="宋体" w:hAnsi="宋体"/>
        </w:rPr>
        <w:t>1 切口表面应平整，尺寸应正确，并应无裂纹、重皮、毛刺、凸凹、缩口、熔渣、氧化物、铁屑等现象。</w:t>
      </w:r>
    </w:p>
    <w:p>
      <w:pPr>
        <w:autoSpaceDE w:val="0"/>
        <w:autoSpaceDN w:val="0"/>
        <w:spacing w:after="160" w:line="440" w:lineRule="exact"/>
        <w:jc w:val="left"/>
        <w:rPr>
          <w:rFonts w:ascii="宋体" w:hAnsi="宋体"/>
        </w:rPr>
      </w:pPr>
      <w:r>
        <w:rPr>
          <w:rFonts w:ascii="宋体" w:hAnsi="宋体"/>
        </w:rPr>
        <w:t>2 管子切口端面倾斜偏差(图 5.2.4) 不应大于管子外径的1% ，且不得大于 5mm 。(核对标准)</w:t>
      </w:r>
    </w:p>
    <w:p>
      <w:pPr>
        <w:autoSpaceDE w:val="0"/>
        <w:autoSpaceDN w:val="0"/>
        <w:spacing w:after="160" w:line="440" w:lineRule="exact"/>
        <w:jc w:val="left"/>
        <w:rPr>
          <w:rFonts w:ascii="宋体" w:hAnsi="宋体"/>
          <w:sz w:val="28"/>
          <w:szCs w:val="28"/>
        </w:rPr>
      </w:pPr>
      <w:r>
        <w:rPr>
          <w:sz w:val="20"/>
        </w:rPr>
        <w:drawing>
          <wp:anchor distT="0" distB="0" distL="114300" distR="114300" simplePos="0" relativeHeight="251677696" behindDoc="0" locked="0" layoutInCell="1" allowOverlap="1">
            <wp:simplePos x="0" y="0"/>
            <wp:positionH relativeFrom="column">
              <wp:posOffset>1371600</wp:posOffset>
            </wp:positionH>
            <wp:positionV relativeFrom="paragraph">
              <wp:posOffset>33020</wp:posOffset>
            </wp:positionV>
            <wp:extent cx="2753995" cy="1296670"/>
            <wp:effectExtent l="0" t="0" r="8255" b="0"/>
            <wp:wrapSquare wrapText="bothSides"/>
            <wp:docPr id="4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8"/>
                    <pic:cNvPicPr>
                      <a:picLocks noChangeAspect="1" noChangeArrowheads="1"/>
                    </pic:cNvPicPr>
                  </pic:nvPicPr>
                  <pic:blipFill>
                    <a:blip xmlns:r="http://schemas.openxmlformats.org/officeDocument/2006/relationships" r:embed="rId35" cstate="print"/>
                    <a:srcRect l="5708" t="12500" r="10046" b="9821"/>
                    <a:stretch>
                      <a:fillRect/>
                    </a:stretch>
                  </pic:blipFill>
                  <pic:spPr>
                    <a:xfrm>
                      <a:off x="0" y="0"/>
                      <a:ext cx="2753995" cy="1296670"/>
                    </a:xfrm>
                    <a:prstGeom prst="rect">
                      <a:avLst/>
                    </a:prstGeom>
                    <a:noFill/>
                    <a:ln w="9525">
                      <a:noFill/>
                    </a:ln>
                  </pic:spPr>
                </pic:pic>
              </a:graphicData>
            </a:graphic>
          </wp:anchor>
        </w:drawing>
      </w:r>
    </w:p>
    <w:p>
      <w:pPr>
        <w:autoSpaceDE w:val="0"/>
        <w:autoSpaceDN w:val="0"/>
        <w:spacing w:after="160" w:line="440" w:lineRule="exact"/>
        <w:jc w:val="left"/>
        <w:rPr>
          <w:rFonts w:ascii="宋体" w:hAnsi="宋体"/>
          <w:sz w:val="28"/>
          <w:szCs w:val="28"/>
        </w:rPr>
      </w:pPr>
    </w:p>
    <w:p>
      <w:pPr>
        <w:autoSpaceDE w:val="0"/>
        <w:autoSpaceDN w:val="0"/>
        <w:spacing w:after="160" w:line="440" w:lineRule="exact"/>
        <w:jc w:val="left"/>
        <w:rPr>
          <w:rFonts w:ascii="宋体" w:hAnsi="宋体"/>
          <w:sz w:val="28"/>
          <w:szCs w:val="28"/>
        </w:rPr>
      </w:pPr>
    </w:p>
    <w:p>
      <w:pPr>
        <w:autoSpaceDE w:val="0"/>
        <w:autoSpaceDN w:val="0"/>
        <w:spacing w:after="160" w:line="440" w:lineRule="exact"/>
        <w:jc w:val="left"/>
        <w:rPr>
          <w:rFonts w:ascii="宋体" w:hAnsi="宋体"/>
          <w:sz w:val="28"/>
          <w:szCs w:val="28"/>
        </w:rPr>
      </w:pPr>
    </w:p>
    <w:p>
      <w:pPr>
        <w:autoSpaceDE w:val="0"/>
        <w:autoSpaceDN w:val="0"/>
        <w:spacing w:after="160" w:line="440" w:lineRule="exact"/>
        <w:jc w:val="center"/>
        <w:rPr>
          <w:rFonts w:ascii="宋体" w:hAnsi="宋体"/>
          <w:sz w:val="18"/>
          <w:szCs w:val="18"/>
        </w:rPr>
      </w:pPr>
      <w:r>
        <w:rPr>
          <w:rFonts w:ascii="宋体" w:hAnsi="宋体"/>
          <w:sz w:val="18"/>
          <w:szCs w:val="18"/>
        </w:rPr>
        <w:t>图 5.2.4 管子切口端面倾斜偏差</w:t>
      </w:r>
    </w:p>
    <w:p>
      <w:pPr>
        <w:autoSpaceDE w:val="0"/>
        <w:autoSpaceDN w:val="0"/>
        <w:spacing w:after="160" w:line="440" w:lineRule="exact"/>
        <w:jc w:val="center"/>
        <w:rPr>
          <w:rFonts w:ascii="宋体" w:hAnsi="宋体"/>
          <w:sz w:val="18"/>
          <w:szCs w:val="18"/>
        </w:rPr>
        <w:sectPr>
          <w:footerReference w:type="default" r:id="rId36"/>
          <w:type w:val="nextPage"/>
          <w:pgSz w:w="11906" w:h="16838"/>
          <w:pgMar w:top="1440" w:right="1800" w:bottom="1440" w:left="1800" w:header="851" w:footer="992" w:gutter="0"/>
          <w:pgNumType w:start="13"/>
          <w:cols w:num="1" w:space="720"/>
          <w:titlePg w:val="0"/>
          <w:docGrid w:type="lines" w:linePitch="312" w:charSpace="0"/>
        </w:sectPr>
      </w:pPr>
      <w:r>
        <w:rPr>
          <w:rFonts w:ascii="宋体" w:hAnsi="宋体"/>
          <w:sz w:val="18"/>
          <w:szCs w:val="18"/>
        </w:rPr>
        <w:t>A 管子切口端面倾斜偏差</w:t>
      </w:r>
    </w:p>
    <w:p>
      <w:pPr>
        <w:autoSpaceDE w:val="0"/>
        <w:autoSpaceDN w:val="0"/>
        <w:spacing w:after="160" w:line="440" w:lineRule="exact"/>
        <w:jc w:val="left"/>
        <w:rPr>
          <w:rFonts w:ascii="宋体" w:hAnsi="宋体"/>
        </w:rPr>
      </w:pPr>
      <w:r>
        <w:rPr>
          <w:rFonts w:ascii="黑体" w:eastAsia="黑体" w:hAnsi="黑体"/>
        </w:rPr>
        <w:t>5.2.</w:t>
      </w:r>
      <w:r>
        <w:rPr>
          <w:rFonts w:ascii="黑体" w:eastAsia="黑体" w:hAnsi="黑体" w:hint="eastAsia"/>
        </w:rPr>
        <w:t>4</w:t>
      </w:r>
      <w:r>
        <w:rPr>
          <w:rFonts w:ascii="黑体" w:eastAsia="黑体" w:hAnsi="黑体"/>
        </w:rPr>
        <w:t xml:space="preserve"> </w:t>
      </w:r>
      <w:r>
        <w:rPr>
          <w:rFonts w:ascii="宋体" w:hAnsi="宋体"/>
        </w:rPr>
        <w:t>碳素钢、合金钢采用火焰切割，不锈钢管道、有色金属管道采用砂轮切割或者机械方法切割。</w:t>
      </w:r>
    </w:p>
    <w:p>
      <w:pPr>
        <w:autoSpaceDE w:val="0"/>
        <w:autoSpaceDN w:val="0"/>
        <w:spacing w:after="160" w:line="440" w:lineRule="exact"/>
        <w:jc w:val="left"/>
        <w:rPr>
          <w:rFonts w:ascii="宋体" w:hAnsi="宋体"/>
        </w:rPr>
      </w:pPr>
      <w:r>
        <w:rPr>
          <w:rFonts w:ascii="黑体" w:eastAsia="黑体" w:hAnsi="黑体"/>
        </w:rPr>
        <w:t>5.2.</w:t>
      </w:r>
      <w:r>
        <w:rPr>
          <w:rFonts w:ascii="黑体" w:eastAsia="黑体" w:hAnsi="黑体" w:hint="eastAsia"/>
        </w:rPr>
        <w:t>5</w:t>
      </w:r>
      <w:r>
        <w:rPr>
          <w:rFonts w:ascii="黑体" w:eastAsia="黑体" w:hAnsi="黑体"/>
        </w:rPr>
        <w:t xml:space="preserve"> </w:t>
      </w:r>
      <w:r>
        <w:rPr>
          <w:rFonts w:ascii="宋体" w:hAnsi="宋体"/>
        </w:rPr>
        <w:t>拆除下来的管道及其附件由建设单位组织进行确认，确认完成后进行分类封装运输，不锈钢管道应与碳钢件隔离。</w:t>
      </w:r>
    </w:p>
    <w:p>
      <w:pPr>
        <w:autoSpaceDE w:val="0"/>
        <w:autoSpaceDN w:val="0"/>
        <w:spacing w:after="160" w:line="440" w:lineRule="exact"/>
        <w:jc w:val="left"/>
        <w:rPr>
          <w:rFonts w:ascii="宋体" w:hAnsi="宋体"/>
        </w:rPr>
      </w:pPr>
      <w:r>
        <w:rPr>
          <w:rFonts w:ascii="黑体" w:eastAsia="黑体" w:hAnsi="黑体"/>
        </w:rPr>
        <w:t>5.2.</w:t>
      </w:r>
      <w:r>
        <w:rPr>
          <w:rFonts w:ascii="黑体" w:eastAsia="黑体" w:hAnsi="黑体" w:hint="eastAsia"/>
        </w:rPr>
        <w:t>6</w:t>
      </w:r>
      <w:r>
        <w:rPr>
          <w:rFonts w:ascii="黑体" w:eastAsia="黑体" w:hAnsi="黑体"/>
        </w:rPr>
        <w:t xml:space="preserve"> </w:t>
      </w:r>
      <w:r>
        <w:rPr>
          <w:rFonts w:ascii="宋体" w:hAnsi="宋体"/>
        </w:rPr>
        <w:t>管路上膨胀节、补偿器等装置应与管路断开拆除，至少一端与管路断开，波纹管膨胀节做好防护，避免在拆除运输过程中受损。</w:t>
      </w:r>
    </w:p>
    <w:p>
      <w:pPr>
        <w:autoSpaceDE w:val="0"/>
        <w:autoSpaceDN w:val="0"/>
        <w:spacing w:after="160" w:line="440" w:lineRule="exact"/>
        <w:jc w:val="left"/>
        <w:rPr>
          <w:rFonts w:ascii="宋体" w:hAnsi="宋体"/>
        </w:rPr>
      </w:pPr>
      <w:r>
        <w:rPr>
          <w:rFonts w:ascii="黑体" w:eastAsia="黑体" w:hAnsi="黑体"/>
        </w:rPr>
        <w:t>5.2.</w:t>
      </w:r>
      <w:r>
        <w:rPr>
          <w:rFonts w:ascii="黑体" w:eastAsia="黑体" w:hAnsi="黑体" w:hint="eastAsia"/>
        </w:rPr>
        <w:t xml:space="preserve">7 </w:t>
      </w:r>
      <w:r>
        <w:rPr>
          <w:rFonts w:ascii="宋体" w:hAnsi="宋体"/>
        </w:rPr>
        <w:t>消防管道上的附属设备由专业厂商和相关法定机构检测鉴定合格后方可利旧。</w:t>
      </w:r>
    </w:p>
    <w:p>
      <w:pPr>
        <w:pStyle w:val="ListParagraph"/>
        <w:autoSpaceDE w:val="0"/>
        <w:autoSpaceDN w:val="0"/>
        <w:spacing w:after="160" w:line="440" w:lineRule="exact"/>
        <w:ind w:left="720" w:firstLine="0"/>
        <w:jc w:val="center"/>
        <w:rPr>
          <w:rFonts w:ascii="黑体" w:eastAsia="黑体" w:hAnsi="黑体"/>
          <w:b/>
          <w:sz w:val="28"/>
          <w:szCs w:val="28"/>
        </w:rPr>
      </w:pPr>
    </w:p>
    <w:p>
      <w:pPr>
        <w:pStyle w:val="Heading2"/>
        <w:spacing w:before="260" w:after="260" w:line="415" w:lineRule="auto"/>
        <w:jc w:val="center"/>
        <w:rPr>
          <w:rFonts w:ascii="黑体" w:eastAsia="黑体" w:hAnsi="黑体"/>
          <w:b w:val="0"/>
          <w:sz w:val="21"/>
          <w:szCs w:val="21"/>
        </w:rPr>
      </w:pPr>
      <w:bookmarkStart w:id="13" w:name="_Toc528678491"/>
      <w:r>
        <w:rPr>
          <w:rFonts w:ascii="黑体" w:eastAsia="黑体" w:hAnsi="黑体"/>
          <w:b w:val="0"/>
          <w:sz w:val="21"/>
          <w:szCs w:val="21"/>
        </w:rPr>
        <w:t>5.3  管道安装</w:t>
      </w:r>
      <w:bookmarkEnd w:id="13"/>
    </w:p>
    <w:p>
      <w:pPr>
        <w:autoSpaceDE w:val="0"/>
        <w:autoSpaceDN w:val="0"/>
        <w:spacing w:after="160" w:line="440" w:lineRule="exact"/>
        <w:jc w:val="left"/>
        <w:rPr>
          <w:rFonts w:ascii="宋体" w:hAnsi="宋体"/>
        </w:rPr>
      </w:pPr>
      <w:r>
        <w:rPr>
          <w:rFonts w:ascii="黑体" w:eastAsia="黑体" w:hAnsi="黑体"/>
        </w:rPr>
        <w:t>5.3.1</w:t>
      </w:r>
      <w:r>
        <w:rPr>
          <w:rFonts w:ascii="黑体" w:eastAsia="黑体" w:hAnsi="黑体" w:hint="eastAsia"/>
        </w:rPr>
        <w:t xml:space="preserve"> </w:t>
      </w:r>
      <w:r>
        <w:rPr>
          <w:rFonts w:ascii="宋体" w:hAnsi="宋体"/>
        </w:rPr>
        <w:t>对不满足要求的管段进行重新切割预制，不得强行组对接口, 预制完毕的管段内部应清理干净，并及时封闭管口。</w:t>
      </w:r>
    </w:p>
    <w:p>
      <w:pPr>
        <w:autoSpaceDE w:val="0"/>
        <w:autoSpaceDN w:val="0"/>
        <w:spacing w:after="160" w:line="440" w:lineRule="exact"/>
        <w:jc w:val="left"/>
        <w:rPr>
          <w:rFonts w:ascii="宋体" w:hAnsi="宋体"/>
          <w:sz w:val="28"/>
          <w:szCs w:val="28"/>
        </w:rPr>
      </w:pPr>
      <w:r>
        <w:rPr>
          <w:rFonts w:ascii="黑体" w:eastAsia="黑体" w:hAnsi="黑体"/>
        </w:rPr>
        <w:t>5.3.2</w:t>
      </w:r>
      <w:r>
        <w:rPr>
          <w:rFonts w:ascii="黑体" w:eastAsia="黑体" w:hAnsi="黑体" w:hint="eastAsia"/>
        </w:rPr>
        <w:t xml:space="preserve"> </w:t>
      </w:r>
      <w:r>
        <w:rPr>
          <w:rFonts w:ascii="宋体" w:hAnsi="宋体"/>
        </w:rPr>
        <w:t>拆除管口封头，对管口进行坡口加工，应清除管道坡口表层氧化物，并将凹凸不平处打磨平滑直至露出金属光泽。坡口形式和尺寸应符合设计技术文件或现行国家标准《现场设备、工业管道焊接工程施工及验收规范》 GB50236的规定</w:t>
      </w:r>
      <w:r>
        <w:rPr>
          <w:rFonts w:ascii="宋体" w:hAnsi="宋体"/>
          <w:sz w:val="28"/>
          <w:szCs w:val="28"/>
        </w:rPr>
        <w:t>。</w:t>
      </w:r>
    </w:p>
    <w:p>
      <w:pPr>
        <w:autoSpaceDE w:val="0"/>
        <w:autoSpaceDN w:val="0"/>
        <w:spacing w:after="160" w:line="440" w:lineRule="exact"/>
        <w:jc w:val="left"/>
        <w:rPr>
          <w:rFonts w:ascii="宋体" w:hAnsi="宋体"/>
        </w:rPr>
      </w:pPr>
      <w:r>
        <w:rPr>
          <w:rFonts w:ascii="黑体" w:eastAsia="黑体" w:hAnsi="黑体"/>
        </w:rPr>
        <w:t>5.3.3</w:t>
      </w:r>
      <w:r>
        <w:rPr>
          <w:rFonts w:ascii="黑体" w:eastAsia="黑体" w:hAnsi="黑体" w:hint="eastAsia"/>
        </w:rPr>
        <w:t xml:space="preserve"> </w:t>
      </w:r>
      <w:r>
        <w:rPr>
          <w:rFonts w:ascii="宋体" w:hAnsi="宋体"/>
        </w:rPr>
        <w:t>管道上新增仪表一次部件等开孔、焊接，必须在管道防腐、衬里和压力试验前进行，开孔应避开焊缝。</w:t>
      </w:r>
    </w:p>
    <w:p>
      <w:pPr>
        <w:autoSpaceDE w:val="0"/>
        <w:autoSpaceDN w:val="0"/>
        <w:spacing w:after="160" w:line="440" w:lineRule="exact"/>
        <w:jc w:val="left"/>
        <w:rPr>
          <w:rFonts w:ascii="宋体" w:hAnsi="宋体"/>
        </w:rPr>
      </w:pPr>
      <w:r>
        <w:rPr>
          <w:rFonts w:ascii="黑体" w:eastAsia="黑体" w:hAnsi="黑体"/>
        </w:rPr>
        <w:t>5.3.4</w:t>
      </w:r>
      <w:r>
        <w:rPr>
          <w:rFonts w:ascii="黑体" w:eastAsia="黑体" w:hAnsi="黑体" w:hint="eastAsia"/>
        </w:rPr>
        <w:t xml:space="preserve"> </w:t>
      </w:r>
      <w:r>
        <w:rPr>
          <w:rFonts w:ascii="宋体" w:hAnsi="宋体"/>
        </w:rPr>
        <w:t>管道及管道组成件的焊接应符合设计技术文件、现行国家标准《工业金属管道工程施工规范》GB50235、《现场设备、工业管道焊接工程施工及验收规范》 GB50236的规定。</w:t>
      </w:r>
    </w:p>
    <w:p>
      <w:pPr>
        <w:autoSpaceDE w:val="0"/>
        <w:autoSpaceDN w:val="0"/>
        <w:spacing w:after="160" w:line="440" w:lineRule="exact"/>
        <w:jc w:val="left"/>
        <w:rPr>
          <w:rFonts w:ascii="宋体" w:hAnsi="宋体"/>
        </w:rPr>
      </w:pPr>
      <w:r>
        <w:rPr>
          <w:rFonts w:ascii="黑体" w:eastAsia="黑体" w:hAnsi="黑体"/>
        </w:rPr>
        <w:t>5.3.5</w:t>
      </w:r>
      <w:r>
        <w:rPr>
          <w:rFonts w:ascii="黑体" w:eastAsia="黑体" w:hAnsi="黑体" w:hint="eastAsia"/>
        </w:rPr>
        <w:t xml:space="preserve"> </w:t>
      </w:r>
      <w:r>
        <w:rPr>
          <w:rFonts w:ascii="宋体" w:hAnsi="宋体"/>
        </w:rPr>
        <w:t>压力管道的焊接应有相应的焊接工艺评定报告,根据焊接工艺评定报告编制焊接作业指导书。</w:t>
      </w:r>
    </w:p>
    <w:p>
      <w:pPr>
        <w:autoSpaceDE w:val="0"/>
        <w:autoSpaceDN w:val="0"/>
        <w:spacing w:after="160" w:line="440" w:lineRule="exact"/>
        <w:jc w:val="left"/>
        <w:rPr>
          <w:rFonts w:ascii="宋体" w:hAnsi="宋体"/>
        </w:rPr>
      </w:pPr>
      <w:r>
        <w:rPr>
          <w:rFonts w:ascii="黑体" w:eastAsia="黑体" w:hAnsi="黑体"/>
        </w:rPr>
        <w:t>5.3.</w:t>
      </w:r>
      <w:r>
        <w:rPr>
          <w:rFonts w:ascii="黑体" w:eastAsia="黑体" w:hAnsi="黑体" w:hint="eastAsia"/>
        </w:rPr>
        <w:t xml:space="preserve">6 </w:t>
      </w:r>
      <w:r>
        <w:rPr>
          <w:rFonts w:ascii="宋体" w:hAnsi="宋体"/>
        </w:rPr>
        <w:t>不锈钢管道焊接后应对焊缝表面进行脱脂、 钝化处理，处理后的焊缝表面和热影响区不得氧化变色。</w:t>
      </w:r>
    </w:p>
    <w:p>
      <w:pPr>
        <w:autoSpaceDE w:val="0"/>
        <w:autoSpaceDN w:val="0"/>
        <w:spacing w:after="160" w:line="440" w:lineRule="exact"/>
        <w:jc w:val="left"/>
        <w:rPr>
          <w:rFonts w:ascii="黑体" w:eastAsia="黑体" w:hAnsi="黑体"/>
        </w:rPr>
        <w:sectPr>
          <w:footerReference w:type="default" r:id="rId37"/>
          <w:type w:val="nextPage"/>
          <w:pgSz w:w="11906" w:h="16838"/>
          <w:pgMar w:top="1440" w:right="1800" w:bottom="1440" w:left="1800" w:header="851" w:footer="992" w:gutter="0"/>
          <w:pgNumType w:start="14"/>
          <w:cols w:num="1" w:space="720"/>
          <w:titlePg w:val="0"/>
          <w:docGrid w:type="lines" w:linePitch="312" w:charSpace="0"/>
        </w:sectPr>
      </w:pPr>
      <w:r>
        <w:rPr>
          <w:rFonts w:ascii="黑体" w:eastAsia="黑体" w:hAnsi="黑体"/>
        </w:rPr>
        <w:t>5.3.</w:t>
      </w:r>
      <w:r>
        <w:rPr>
          <w:rFonts w:ascii="黑体" w:eastAsia="黑体" w:hAnsi="黑体" w:hint="eastAsia"/>
        </w:rPr>
        <w:t xml:space="preserve">7 </w:t>
      </w:r>
      <w:r>
        <w:rPr>
          <w:rFonts w:ascii="宋体" w:hAnsi="宋体"/>
        </w:rPr>
        <w:t>管道焊接观感质量应外形均匀，成型较好，焊道与焊道、焊道与母材之间应平滑过渡，焊渣与飞溅物应清除干净。外观质量应符合设计技术文件的规定。</w:t>
      </w:r>
    </w:p>
    <w:p>
      <w:pPr>
        <w:autoSpaceDE w:val="0"/>
        <w:autoSpaceDN w:val="0"/>
        <w:spacing w:after="160" w:line="440" w:lineRule="exact"/>
        <w:jc w:val="left"/>
        <w:rPr>
          <w:rFonts w:ascii="宋体" w:hAnsi="宋体"/>
        </w:rPr>
      </w:pPr>
      <w:r>
        <w:rPr>
          <w:rFonts w:ascii="黑体" w:eastAsia="黑体" w:hAnsi="黑体"/>
        </w:rPr>
        <w:t>5.3.8</w:t>
      </w:r>
      <w:r>
        <w:rPr>
          <w:rFonts w:ascii="黑体" w:eastAsia="黑体" w:hAnsi="黑体" w:hint="eastAsia"/>
        </w:rPr>
        <w:t xml:space="preserve"> </w:t>
      </w:r>
      <w:r>
        <w:rPr>
          <w:rFonts w:ascii="宋体" w:hAnsi="宋体"/>
        </w:rPr>
        <w:t>利旧管道中原焊缝探伤比例应符合设计文件规定，当无规定时，按照原设计文件的探伤比例的50%执行。当有一条焊缝不符合原设计要求时，抽检比例加倍，当仍有焊缝质量不符合原设计要求时，则对管道所有焊缝按原设计要求的抽检比例进行检查确认。</w:t>
      </w:r>
    </w:p>
    <w:p>
      <w:pPr>
        <w:autoSpaceDE w:val="0"/>
        <w:autoSpaceDN w:val="0"/>
        <w:spacing w:after="160" w:line="440" w:lineRule="exact"/>
        <w:jc w:val="left"/>
        <w:rPr>
          <w:rFonts w:ascii="宋体" w:hAnsi="宋体"/>
        </w:rPr>
      </w:pPr>
      <w:r>
        <w:rPr>
          <w:rFonts w:ascii="黑体" w:eastAsia="黑体" w:hAnsi="黑体"/>
        </w:rPr>
        <w:t>5.3.9</w:t>
      </w:r>
      <w:r>
        <w:rPr>
          <w:rFonts w:ascii="黑体" w:eastAsia="黑体" w:hAnsi="黑体" w:hint="eastAsia"/>
        </w:rPr>
        <w:t xml:space="preserve"> </w:t>
      </w:r>
      <w:r>
        <w:rPr>
          <w:rFonts w:ascii="宋体" w:hAnsi="宋体"/>
        </w:rPr>
        <w:t>阀门、管道清洗脱脂应符合设计技术文件的规定；脱脂后用紫光灯检查脱脂件表面，无油脂萤光为合格；或者用清洁干燥的白色滤纸擦抹脱脂件表面，纸上无油脂痕迹为合格；脱脂后的阀门、管道应及时保护。</w:t>
      </w:r>
    </w:p>
    <w:p>
      <w:pPr>
        <w:autoSpaceDE w:val="0"/>
        <w:autoSpaceDN w:val="0"/>
        <w:spacing w:after="160" w:line="440" w:lineRule="exact"/>
        <w:jc w:val="left"/>
        <w:rPr>
          <w:rFonts w:ascii="宋体" w:hAnsi="宋体"/>
        </w:rPr>
      </w:pPr>
      <w:r>
        <w:rPr>
          <w:rFonts w:ascii="黑体" w:eastAsia="黑体" w:hAnsi="黑体"/>
        </w:rPr>
        <w:t>5.3.10</w:t>
      </w:r>
      <w:r>
        <w:rPr>
          <w:rFonts w:ascii="黑体" w:eastAsia="黑体" w:hAnsi="黑体" w:hint="eastAsia"/>
        </w:rPr>
        <w:t xml:space="preserve"> </w:t>
      </w:r>
      <w:r>
        <w:rPr>
          <w:rFonts w:ascii="宋体" w:hAnsi="宋体"/>
        </w:rPr>
        <w:t>安装就位前对原有管道涂层损坏部分进行现场除锈、涂装。</w:t>
      </w:r>
    </w:p>
    <w:p>
      <w:pPr>
        <w:autoSpaceDE w:val="0"/>
        <w:autoSpaceDN w:val="0"/>
        <w:spacing w:after="160" w:line="440" w:lineRule="exact"/>
        <w:jc w:val="left"/>
        <w:rPr>
          <w:rFonts w:ascii="宋体" w:hAnsi="宋体"/>
          <w:sz w:val="28"/>
          <w:szCs w:val="28"/>
        </w:rPr>
      </w:pPr>
      <w:r>
        <w:rPr>
          <w:rFonts w:ascii="黑体" w:eastAsia="黑体" w:hAnsi="黑体"/>
        </w:rPr>
        <w:t>5.3.11</w:t>
      </w:r>
      <w:r>
        <w:rPr>
          <w:rFonts w:ascii="黑体" w:eastAsia="黑体" w:hAnsi="黑体" w:hint="eastAsia"/>
        </w:rPr>
        <w:t xml:space="preserve"> </w:t>
      </w:r>
      <w:r>
        <w:rPr>
          <w:rFonts w:ascii="宋体" w:hAnsi="宋体"/>
          <w:sz w:val="18"/>
          <w:szCs w:val="18"/>
        </w:rPr>
        <w:t>利旧安全阀安装前重新进行全数校验。安全阀校验应做好记录、铅封，并应出具校验报告。</w:t>
      </w:r>
    </w:p>
    <w:p>
      <w:pPr>
        <w:autoSpaceDE w:val="0"/>
        <w:autoSpaceDN w:val="0"/>
        <w:spacing w:after="160" w:line="440" w:lineRule="exact"/>
        <w:jc w:val="left"/>
        <w:rPr>
          <w:rFonts w:ascii="宋体" w:hAnsi="宋体"/>
        </w:rPr>
      </w:pPr>
      <w:r>
        <w:rPr>
          <w:rFonts w:ascii="黑体" w:eastAsia="黑体" w:hAnsi="黑体"/>
        </w:rPr>
        <w:t>5.3.12</w:t>
      </w:r>
      <w:r>
        <w:rPr>
          <w:rFonts w:ascii="黑体" w:eastAsia="黑体" w:hAnsi="黑体" w:hint="eastAsia"/>
        </w:rPr>
        <w:t xml:space="preserve"> </w:t>
      </w:r>
      <w:r>
        <w:rPr>
          <w:rFonts w:ascii="宋体" w:hAnsi="宋体"/>
        </w:rPr>
        <w:t>管道安装允许偏差应符合设计技术文件的规定，当无规定时，应符合表5.3.12的规定。</w:t>
      </w:r>
    </w:p>
    <w:p>
      <w:pPr>
        <w:autoSpaceDE w:val="0"/>
        <w:autoSpaceDN w:val="0"/>
        <w:spacing w:after="160" w:line="440" w:lineRule="exact"/>
        <w:jc w:val="center"/>
        <w:rPr>
          <w:rFonts w:ascii="黑体" w:eastAsia="黑体" w:hAnsi="黑体"/>
        </w:rPr>
      </w:pPr>
      <w:r>
        <w:rPr>
          <w:rFonts w:ascii="黑体" w:eastAsia="黑体" w:hAnsi="黑体"/>
        </w:rPr>
        <w:t>表5.3.12管道安装允许偏差（mm）</w:t>
      </w:r>
    </w:p>
    <w:tbl>
      <w:tblPr>
        <w:tblStyle w:val="TableGrid7"/>
        <w:tblW w:w="71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6"/>
        <w:gridCol w:w="1252"/>
        <w:gridCol w:w="2009"/>
        <w:gridCol w:w="1418"/>
        <w:gridCol w:w="1701"/>
      </w:tblGrid>
      <w:tr>
        <w:tblPrEx>
          <w:tblW w:w="71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816" w:type="dxa"/>
            <w:vAlign w:val="center"/>
          </w:tcPr>
          <w:p>
            <w:pPr>
              <w:autoSpaceDE w:val="0"/>
              <w:autoSpaceDN w:val="0"/>
              <w:spacing w:after="160"/>
              <w:jc w:val="center"/>
              <w:rPr>
                <w:rFonts w:ascii="宋体" w:hAnsi="宋体"/>
                <w:sz w:val="18"/>
                <w:szCs w:val="18"/>
              </w:rPr>
            </w:pPr>
            <w:r>
              <w:rPr>
                <w:rFonts w:ascii="宋体" w:hAnsi="宋体"/>
                <w:sz w:val="18"/>
                <w:szCs w:val="18"/>
              </w:rPr>
              <w:t>项次</w:t>
            </w:r>
          </w:p>
        </w:tc>
        <w:tc>
          <w:tcPr>
            <w:tcW w:w="4679" w:type="dxa"/>
            <w:gridSpan w:val="3"/>
            <w:vAlign w:val="center"/>
          </w:tcPr>
          <w:p>
            <w:pPr>
              <w:autoSpaceDE w:val="0"/>
              <w:autoSpaceDN w:val="0"/>
              <w:spacing w:after="160"/>
              <w:jc w:val="center"/>
              <w:rPr>
                <w:rFonts w:ascii="宋体" w:hAnsi="宋体"/>
                <w:sz w:val="18"/>
                <w:szCs w:val="18"/>
              </w:rPr>
            </w:pPr>
            <w:r>
              <w:rPr>
                <w:rFonts w:ascii="宋体" w:hAnsi="宋体"/>
                <w:sz w:val="18"/>
                <w:szCs w:val="18"/>
              </w:rPr>
              <w:t>项目</w:t>
            </w:r>
          </w:p>
        </w:tc>
        <w:tc>
          <w:tcPr>
            <w:tcW w:w="1701" w:type="dxa"/>
            <w:vAlign w:val="center"/>
          </w:tcPr>
          <w:p>
            <w:pPr>
              <w:autoSpaceDE w:val="0"/>
              <w:autoSpaceDN w:val="0"/>
              <w:spacing w:after="160"/>
              <w:jc w:val="center"/>
              <w:rPr>
                <w:rFonts w:ascii="宋体" w:hAnsi="宋体"/>
                <w:sz w:val="18"/>
                <w:szCs w:val="18"/>
              </w:rPr>
            </w:pPr>
            <w:r>
              <w:rPr>
                <w:rFonts w:ascii="宋体" w:hAnsi="宋体"/>
                <w:sz w:val="18"/>
                <w:szCs w:val="18"/>
              </w:rPr>
              <w:t>允许偏差</w:t>
            </w:r>
          </w:p>
        </w:tc>
      </w:tr>
      <w:tr>
        <w:tblPrEx>
          <w:tblW w:w="7196" w:type="dxa"/>
          <w:tblInd w:w="0" w:type="dxa"/>
          <w:tblLayout w:type="fixed"/>
          <w:tblCellMar>
            <w:top w:w="0" w:type="dxa"/>
            <w:left w:w="108" w:type="dxa"/>
            <w:bottom w:w="0" w:type="dxa"/>
            <w:right w:w="108" w:type="dxa"/>
          </w:tblCellMar>
        </w:tblPrEx>
        <w:tc>
          <w:tcPr>
            <w:tcW w:w="816" w:type="dxa"/>
            <w:vMerge w:val="restart"/>
            <w:vAlign w:val="center"/>
          </w:tcPr>
          <w:p>
            <w:pPr>
              <w:autoSpaceDE w:val="0"/>
              <w:autoSpaceDN w:val="0"/>
              <w:spacing w:after="160"/>
              <w:jc w:val="center"/>
              <w:rPr>
                <w:rFonts w:ascii="宋体" w:hAnsi="宋体"/>
                <w:sz w:val="18"/>
                <w:szCs w:val="18"/>
              </w:rPr>
            </w:pPr>
            <w:r>
              <w:rPr>
                <w:rFonts w:ascii="宋体" w:hAnsi="宋体"/>
                <w:sz w:val="18"/>
                <w:szCs w:val="18"/>
              </w:rPr>
              <w:t>1</w:t>
            </w:r>
          </w:p>
        </w:tc>
        <w:tc>
          <w:tcPr>
            <w:tcW w:w="1252" w:type="dxa"/>
            <w:vMerge w:val="restart"/>
            <w:tcBorders>
              <w:right w:val="single" w:sz="4" w:space="0" w:color="auto"/>
            </w:tcBorders>
            <w:vAlign w:val="center"/>
          </w:tcPr>
          <w:p>
            <w:pPr>
              <w:autoSpaceDE w:val="0"/>
              <w:autoSpaceDN w:val="0"/>
              <w:spacing w:after="160"/>
              <w:jc w:val="center"/>
              <w:rPr>
                <w:rFonts w:ascii="宋体" w:hAnsi="宋体"/>
                <w:sz w:val="18"/>
                <w:szCs w:val="18"/>
              </w:rPr>
            </w:pPr>
            <w:r>
              <w:rPr>
                <w:rFonts w:ascii="宋体" w:hAnsi="宋体"/>
                <w:sz w:val="18"/>
                <w:szCs w:val="18"/>
              </w:rPr>
              <w:t>坐标</w:t>
            </w:r>
          </w:p>
        </w:tc>
        <w:tc>
          <w:tcPr>
            <w:tcW w:w="2009" w:type="dxa"/>
            <w:vMerge w:val="restart"/>
            <w:tcBorders>
              <w:left w:val="single" w:sz="4" w:space="0" w:color="auto"/>
            </w:tcBorders>
            <w:vAlign w:val="center"/>
          </w:tcPr>
          <w:p>
            <w:pPr>
              <w:autoSpaceDE w:val="0"/>
              <w:autoSpaceDN w:val="0"/>
              <w:spacing w:after="160"/>
              <w:jc w:val="center"/>
              <w:rPr>
                <w:rFonts w:ascii="宋体" w:hAnsi="宋体"/>
                <w:sz w:val="18"/>
                <w:szCs w:val="18"/>
              </w:rPr>
            </w:pPr>
            <w:r>
              <w:rPr>
                <w:rFonts w:ascii="宋体" w:hAnsi="宋体" w:hint="eastAsia"/>
                <w:sz w:val="18"/>
                <w:szCs w:val="18"/>
              </w:rPr>
              <w:t>架空及地沟</w:t>
            </w:r>
          </w:p>
        </w:tc>
        <w:tc>
          <w:tcPr>
            <w:tcW w:w="1418" w:type="dxa"/>
            <w:vAlign w:val="center"/>
          </w:tcPr>
          <w:p>
            <w:pPr>
              <w:autoSpaceDE w:val="0"/>
              <w:autoSpaceDN w:val="0"/>
              <w:spacing w:after="160"/>
              <w:jc w:val="center"/>
              <w:rPr>
                <w:rFonts w:ascii="宋体" w:hAnsi="宋体"/>
                <w:sz w:val="18"/>
                <w:szCs w:val="18"/>
              </w:rPr>
            </w:pPr>
            <w:r>
              <w:rPr>
                <w:rFonts w:ascii="宋体" w:hAnsi="宋体"/>
                <w:sz w:val="18"/>
                <w:szCs w:val="18"/>
              </w:rPr>
              <w:t>室内</w:t>
            </w:r>
          </w:p>
        </w:tc>
        <w:tc>
          <w:tcPr>
            <w:tcW w:w="1701" w:type="dxa"/>
            <w:vAlign w:val="center"/>
          </w:tcPr>
          <w:p>
            <w:pPr>
              <w:autoSpaceDE w:val="0"/>
              <w:autoSpaceDN w:val="0"/>
              <w:spacing w:after="160"/>
              <w:jc w:val="center"/>
              <w:rPr>
                <w:rFonts w:ascii="宋体" w:hAnsi="宋体"/>
                <w:sz w:val="18"/>
                <w:szCs w:val="18"/>
              </w:rPr>
            </w:pPr>
            <w:r>
              <w:rPr>
                <w:rFonts w:ascii="宋体" w:hAnsi="宋体"/>
                <w:sz w:val="18"/>
                <w:szCs w:val="18"/>
              </w:rPr>
              <w:t>15</w:t>
            </w:r>
          </w:p>
        </w:tc>
      </w:tr>
      <w:tr>
        <w:tblPrEx>
          <w:tblW w:w="7196" w:type="dxa"/>
          <w:tblInd w:w="0" w:type="dxa"/>
          <w:tblLayout w:type="fixed"/>
          <w:tblCellMar>
            <w:top w:w="0" w:type="dxa"/>
            <w:left w:w="108" w:type="dxa"/>
            <w:bottom w:w="0" w:type="dxa"/>
            <w:right w:w="108" w:type="dxa"/>
          </w:tblCellMar>
        </w:tblPrEx>
        <w:tc>
          <w:tcPr>
            <w:tcW w:w="816" w:type="dxa"/>
            <w:vMerge/>
            <w:vAlign w:val="center"/>
          </w:tcPr>
          <w:p>
            <w:pPr>
              <w:rPr>
                <w:rFonts w:ascii="宋体" w:hAnsi="宋体"/>
                <w:sz w:val="18"/>
                <w:szCs w:val="18"/>
              </w:rPr>
            </w:pPr>
          </w:p>
        </w:tc>
        <w:tc>
          <w:tcPr>
            <w:tcW w:w="1252" w:type="dxa"/>
            <w:vMerge/>
            <w:tcBorders>
              <w:right w:val="single" w:sz="4" w:space="0" w:color="auto"/>
            </w:tcBorders>
            <w:vAlign w:val="center"/>
          </w:tcPr>
          <w:p>
            <w:pPr>
              <w:rPr>
                <w:rFonts w:ascii="宋体" w:hAnsi="宋体"/>
                <w:sz w:val="18"/>
                <w:szCs w:val="18"/>
              </w:rPr>
            </w:pPr>
          </w:p>
        </w:tc>
        <w:tc>
          <w:tcPr>
            <w:tcW w:w="2009" w:type="dxa"/>
            <w:vMerge/>
            <w:tcBorders>
              <w:left w:val="single" w:sz="4" w:space="0" w:color="auto"/>
            </w:tcBorders>
            <w:vAlign w:val="center"/>
          </w:tcPr>
          <w:p>
            <w:pPr>
              <w:rPr>
                <w:rFonts w:ascii="宋体" w:hAnsi="宋体"/>
                <w:sz w:val="18"/>
                <w:szCs w:val="18"/>
              </w:rPr>
            </w:pPr>
          </w:p>
        </w:tc>
        <w:tc>
          <w:tcPr>
            <w:tcW w:w="1418" w:type="dxa"/>
            <w:vAlign w:val="center"/>
          </w:tcPr>
          <w:p>
            <w:pPr>
              <w:autoSpaceDE w:val="0"/>
              <w:autoSpaceDN w:val="0"/>
              <w:spacing w:after="160"/>
              <w:jc w:val="center"/>
              <w:rPr>
                <w:rFonts w:ascii="宋体" w:hAnsi="宋体"/>
                <w:sz w:val="18"/>
                <w:szCs w:val="18"/>
              </w:rPr>
            </w:pPr>
            <w:r>
              <w:rPr>
                <w:rFonts w:ascii="宋体" w:hAnsi="宋体"/>
                <w:sz w:val="18"/>
                <w:szCs w:val="18"/>
              </w:rPr>
              <w:t>室外</w:t>
            </w:r>
          </w:p>
        </w:tc>
        <w:tc>
          <w:tcPr>
            <w:tcW w:w="1701" w:type="dxa"/>
            <w:vAlign w:val="center"/>
          </w:tcPr>
          <w:p>
            <w:pPr>
              <w:autoSpaceDE w:val="0"/>
              <w:autoSpaceDN w:val="0"/>
              <w:spacing w:after="160"/>
              <w:jc w:val="center"/>
              <w:rPr>
                <w:rFonts w:ascii="宋体" w:hAnsi="宋体"/>
                <w:sz w:val="18"/>
                <w:szCs w:val="18"/>
              </w:rPr>
            </w:pPr>
            <w:r>
              <w:rPr>
                <w:rFonts w:ascii="宋体" w:hAnsi="宋体"/>
                <w:sz w:val="18"/>
                <w:szCs w:val="18"/>
              </w:rPr>
              <w:t>25</w:t>
            </w:r>
          </w:p>
        </w:tc>
      </w:tr>
      <w:tr>
        <w:tblPrEx>
          <w:tblW w:w="7196" w:type="dxa"/>
          <w:tblInd w:w="0" w:type="dxa"/>
          <w:tblLayout w:type="fixed"/>
          <w:tblCellMar>
            <w:top w:w="0" w:type="dxa"/>
            <w:left w:w="108" w:type="dxa"/>
            <w:bottom w:w="0" w:type="dxa"/>
            <w:right w:w="108" w:type="dxa"/>
          </w:tblCellMar>
        </w:tblPrEx>
        <w:tc>
          <w:tcPr>
            <w:tcW w:w="816" w:type="dxa"/>
            <w:vMerge w:val="restart"/>
            <w:vAlign w:val="center"/>
          </w:tcPr>
          <w:p>
            <w:pPr>
              <w:autoSpaceDE w:val="0"/>
              <w:autoSpaceDN w:val="0"/>
              <w:spacing w:after="160"/>
              <w:jc w:val="center"/>
              <w:rPr>
                <w:rFonts w:ascii="宋体" w:hAnsi="宋体"/>
                <w:sz w:val="18"/>
                <w:szCs w:val="18"/>
              </w:rPr>
            </w:pPr>
            <w:r>
              <w:rPr>
                <w:rFonts w:ascii="宋体" w:hAnsi="宋体"/>
                <w:sz w:val="18"/>
                <w:szCs w:val="18"/>
              </w:rPr>
              <w:t>2</w:t>
            </w:r>
          </w:p>
        </w:tc>
        <w:tc>
          <w:tcPr>
            <w:tcW w:w="1252" w:type="dxa"/>
            <w:vMerge w:val="restart"/>
            <w:tcBorders>
              <w:right w:val="single" w:sz="4" w:space="0" w:color="auto"/>
            </w:tcBorders>
            <w:vAlign w:val="center"/>
          </w:tcPr>
          <w:p>
            <w:pPr>
              <w:autoSpaceDE w:val="0"/>
              <w:autoSpaceDN w:val="0"/>
              <w:spacing w:after="160"/>
              <w:jc w:val="center"/>
              <w:rPr>
                <w:rFonts w:ascii="宋体" w:hAnsi="宋体"/>
                <w:sz w:val="18"/>
                <w:szCs w:val="18"/>
              </w:rPr>
            </w:pPr>
            <w:r>
              <w:rPr>
                <w:rFonts w:ascii="宋体" w:hAnsi="宋体"/>
                <w:sz w:val="18"/>
                <w:szCs w:val="18"/>
              </w:rPr>
              <w:t>标高</w:t>
            </w:r>
          </w:p>
        </w:tc>
        <w:tc>
          <w:tcPr>
            <w:tcW w:w="2009" w:type="dxa"/>
            <w:vMerge w:val="restart"/>
            <w:tcBorders>
              <w:left w:val="single" w:sz="4" w:space="0" w:color="auto"/>
            </w:tcBorders>
            <w:vAlign w:val="center"/>
          </w:tcPr>
          <w:p>
            <w:pPr>
              <w:autoSpaceDE w:val="0"/>
              <w:autoSpaceDN w:val="0"/>
              <w:spacing w:after="160"/>
              <w:jc w:val="center"/>
              <w:rPr>
                <w:rFonts w:ascii="宋体" w:hAnsi="宋体"/>
                <w:sz w:val="18"/>
                <w:szCs w:val="18"/>
              </w:rPr>
            </w:pPr>
            <w:r>
              <w:rPr>
                <w:rFonts w:ascii="宋体" w:hAnsi="宋体" w:hint="eastAsia"/>
                <w:sz w:val="18"/>
                <w:szCs w:val="18"/>
              </w:rPr>
              <w:t>架空及地沟</w:t>
            </w:r>
          </w:p>
        </w:tc>
        <w:tc>
          <w:tcPr>
            <w:tcW w:w="1418" w:type="dxa"/>
            <w:vAlign w:val="center"/>
          </w:tcPr>
          <w:p>
            <w:pPr>
              <w:autoSpaceDE w:val="0"/>
              <w:autoSpaceDN w:val="0"/>
              <w:spacing w:after="160"/>
              <w:jc w:val="center"/>
              <w:rPr>
                <w:rFonts w:ascii="宋体" w:hAnsi="宋体"/>
                <w:sz w:val="18"/>
                <w:szCs w:val="18"/>
              </w:rPr>
            </w:pPr>
            <w:r>
              <w:rPr>
                <w:rFonts w:ascii="宋体" w:hAnsi="宋体"/>
                <w:sz w:val="18"/>
                <w:szCs w:val="18"/>
              </w:rPr>
              <w:t>室内</w:t>
            </w:r>
          </w:p>
        </w:tc>
        <w:tc>
          <w:tcPr>
            <w:tcW w:w="1701" w:type="dxa"/>
            <w:vAlign w:val="center"/>
          </w:tcPr>
          <w:p>
            <w:pPr>
              <w:autoSpaceDE w:val="0"/>
              <w:autoSpaceDN w:val="0"/>
              <w:spacing w:after="160"/>
              <w:jc w:val="center"/>
              <w:rPr>
                <w:rFonts w:ascii="宋体" w:hAnsi="宋体"/>
                <w:sz w:val="18"/>
                <w:szCs w:val="18"/>
              </w:rPr>
            </w:pPr>
            <w:r>
              <w:rPr>
                <w:rFonts w:ascii="宋体" w:hAnsi="宋体"/>
                <w:sz w:val="18"/>
                <w:szCs w:val="18"/>
              </w:rPr>
              <w:t>±15</w:t>
            </w:r>
          </w:p>
        </w:tc>
      </w:tr>
      <w:tr>
        <w:tblPrEx>
          <w:tblW w:w="7196" w:type="dxa"/>
          <w:tblInd w:w="0" w:type="dxa"/>
          <w:tblLayout w:type="fixed"/>
          <w:tblCellMar>
            <w:top w:w="0" w:type="dxa"/>
            <w:left w:w="108" w:type="dxa"/>
            <w:bottom w:w="0" w:type="dxa"/>
            <w:right w:w="108" w:type="dxa"/>
          </w:tblCellMar>
        </w:tblPrEx>
        <w:tc>
          <w:tcPr>
            <w:tcW w:w="816" w:type="dxa"/>
            <w:vMerge/>
            <w:vAlign w:val="center"/>
          </w:tcPr>
          <w:p>
            <w:pPr>
              <w:rPr>
                <w:rFonts w:ascii="宋体" w:hAnsi="宋体"/>
                <w:sz w:val="18"/>
                <w:szCs w:val="18"/>
              </w:rPr>
            </w:pPr>
          </w:p>
        </w:tc>
        <w:tc>
          <w:tcPr>
            <w:tcW w:w="1252" w:type="dxa"/>
            <w:vMerge/>
            <w:tcBorders>
              <w:right w:val="single" w:sz="4" w:space="0" w:color="auto"/>
            </w:tcBorders>
            <w:vAlign w:val="center"/>
          </w:tcPr>
          <w:p>
            <w:pPr>
              <w:rPr>
                <w:rFonts w:ascii="宋体" w:hAnsi="宋体"/>
                <w:sz w:val="18"/>
                <w:szCs w:val="18"/>
              </w:rPr>
            </w:pPr>
          </w:p>
        </w:tc>
        <w:tc>
          <w:tcPr>
            <w:tcW w:w="2009" w:type="dxa"/>
            <w:vMerge/>
            <w:tcBorders>
              <w:left w:val="single" w:sz="4" w:space="0" w:color="auto"/>
            </w:tcBorders>
            <w:vAlign w:val="center"/>
          </w:tcPr>
          <w:p>
            <w:pPr>
              <w:rPr>
                <w:rFonts w:ascii="宋体" w:hAnsi="宋体"/>
                <w:sz w:val="18"/>
                <w:szCs w:val="18"/>
              </w:rPr>
            </w:pPr>
          </w:p>
        </w:tc>
        <w:tc>
          <w:tcPr>
            <w:tcW w:w="1418" w:type="dxa"/>
            <w:vAlign w:val="center"/>
          </w:tcPr>
          <w:p>
            <w:pPr>
              <w:autoSpaceDE w:val="0"/>
              <w:autoSpaceDN w:val="0"/>
              <w:spacing w:after="160"/>
              <w:jc w:val="center"/>
              <w:rPr>
                <w:rFonts w:ascii="宋体" w:hAnsi="宋体"/>
                <w:sz w:val="18"/>
                <w:szCs w:val="18"/>
              </w:rPr>
            </w:pPr>
            <w:r>
              <w:rPr>
                <w:rFonts w:ascii="宋体" w:hAnsi="宋体"/>
                <w:sz w:val="18"/>
                <w:szCs w:val="18"/>
              </w:rPr>
              <w:t>室外</w:t>
            </w:r>
          </w:p>
        </w:tc>
        <w:tc>
          <w:tcPr>
            <w:tcW w:w="1701" w:type="dxa"/>
            <w:vAlign w:val="center"/>
          </w:tcPr>
          <w:p>
            <w:pPr>
              <w:autoSpaceDE w:val="0"/>
              <w:autoSpaceDN w:val="0"/>
              <w:spacing w:after="160"/>
              <w:jc w:val="center"/>
              <w:rPr>
                <w:rFonts w:ascii="宋体" w:hAnsi="宋体"/>
                <w:sz w:val="18"/>
                <w:szCs w:val="18"/>
              </w:rPr>
            </w:pPr>
            <w:r>
              <w:rPr>
                <w:rFonts w:ascii="宋体" w:hAnsi="宋体"/>
                <w:sz w:val="18"/>
                <w:szCs w:val="18"/>
              </w:rPr>
              <w:t>±20</w:t>
            </w:r>
          </w:p>
        </w:tc>
      </w:tr>
      <w:tr>
        <w:tblPrEx>
          <w:tblW w:w="7196" w:type="dxa"/>
          <w:tblInd w:w="0" w:type="dxa"/>
          <w:tblLayout w:type="fixed"/>
          <w:tblCellMar>
            <w:top w:w="0" w:type="dxa"/>
            <w:left w:w="108" w:type="dxa"/>
            <w:bottom w:w="0" w:type="dxa"/>
            <w:right w:w="108" w:type="dxa"/>
          </w:tblCellMar>
        </w:tblPrEx>
        <w:tc>
          <w:tcPr>
            <w:tcW w:w="816" w:type="dxa"/>
            <w:vMerge w:val="restart"/>
            <w:vAlign w:val="center"/>
          </w:tcPr>
          <w:p>
            <w:pPr>
              <w:autoSpaceDE w:val="0"/>
              <w:autoSpaceDN w:val="0"/>
              <w:spacing w:after="160"/>
              <w:jc w:val="center"/>
              <w:rPr>
                <w:rFonts w:ascii="宋体" w:hAnsi="宋体"/>
                <w:sz w:val="18"/>
                <w:szCs w:val="18"/>
              </w:rPr>
            </w:pPr>
            <w:r>
              <w:rPr>
                <w:rFonts w:ascii="宋体" w:hAnsi="宋体"/>
                <w:sz w:val="18"/>
                <w:szCs w:val="18"/>
              </w:rPr>
              <w:t>3</w:t>
            </w:r>
          </w:p>
        </w:tc>
        <w:tc>
          <w:tcPr>
            <w:tcW w:w="3261" w:type="dxa"/>
            <w:gridSpan w:val="2"/>
            <w:vMerge w:val="restart"/>
            <w:vAlign w:val="center"/>
          </w:tcPr>
          <w:p>
            <w:pPr>
              <w:autoSpaceDE w:val="0"/>
              <w:autoSpaceDN w:val="0"/>
              <w:spacing w:after="160"/>
              <w:jc w:val="center"/>
              <w:rPr>
                <w:rFonts w:ascii="宋体" w:hAnsi="宋体"/>
                <w:sz w:val="18"/>
                <w:szCs w:val="18"/>
              </w:rPr>
            </w:pPr>
            <w:r>
              <w:rPr>
                <w:rFonts w:ascii="宋体" w:hAnsi="宋体"/>
                <w:sz w:val="18"/>
                <w:szCs w:val="18"/>
              </w:rPr>
              <w:t>水平管道平直度</w:t>
            </w:r>
          </w:p>
        </w:tc>
        <w:tc>
          <w:tcPr>
            <w:tcW w:w="1418" w:type="dxa"/>
          </w:tcPr>
          <w:p>
            <w:pPr>
              <w:autoSpaceDE w:val="0"/>
              <w:autoSpaceDN w:val="0"/>
              <w:spacing w:after="160"/>
              <w:jc w:val="center"/>
              <w:rPr>
                <w:rFonts w:ascii="宋体" w:hAnsi="宋体"/>
                <w:sz w:val="18"/>
                <w:szCs w:val="18"/>
              </w:rPr>
            </w:pPr>
            <w:r>
              <w:rPr>
                <w:rFonts w:ascii="宋体" w:hAnsi="宋体"/>
                <w:sz w:val="18"/>
                <w:szCs w:val="18"/>
              </w:rPr>
              <w:t xml:space="preserve"> DN≤100mm</w:t>
            </w:r>
          </w:p>
        </w:tc>
        <w:tc>
          <w:tcPr>
            <w:tcW w:w="1701" w:type="dxa"/>
          </w:tcPr>
          <w:p>
            <w:pPr>
              <w:rPr>
                <w:rFonts w:ascii="宋体" w:hAnsi="宋体"/>
                <w:sz w:val="18"/>
                <w:szCs w:val="18"/>
              </w:rPr>
            </w:pPr>
            <w:r>
              <w:rPr>
                <w:rFonts w:ascii="宋体" w:hAnsi="宋体"/>
                <w:sz w:val="18"/>
                <w:szCs w:val="18"/>
              </w:rPr>
              <w:t>2</w:t>
            </w:r>
            <w:r>
              <w:rPr>
                <w:rFonts w:ascii="宋体" w:hAnsi="宋体" w:hint="eastAsia"/>
                <w:sz w:val="18"/>
                <w:szCs w:val="18"/>
              </w:rPr>
              <w:t xml:space="preserve"> </w:t>
            </w:r>
            <w:r>
              <w:t>l</w:t>
            </w:r>
            <w:r>
              <w:rPr>
                <w:vertAlign w:val="subscript"/>
              </w:rPr>
              <w:t>0</w:t>
            </w:r>
            <w:r>
              <w:rPr>
                <w:rFonts w:ascii="宋体" w:hAnsi="宋体" w:hint="eastAsia"/>
                <w:sz w:val="18"/>
                <w:szCs w:val="18"/>
              </w:rPr>
              <w:t>‰</w:t>
            </w:r>
            <w:r>
              <w:rPr>
                <w:rFonts w:ascii="宋体" w:hAnsi="宋体"/>
                <w:sz w:val="18"/>
                <w:szCs w:val="18"/>
              </w:rPr>
              <w:t>，最大50</w:t>
            </w:r>
          </w:p>
        </w:tc>
      </w:tr>
      <w:tr>
        <w:tblPrEx>
          <w:tblW w:w="7196" w:type="dxa"/>
          <w:tblInd w:w="0" w:type="dxa"/>
          <w:tblLayout w:type="fixed"/>
          <w:tblCellMar>
            <w:top w:w="0" w:type="dxa"/>
            <w:left w:w="108" w:type="dxa"/>
            <w:bottom w:w="0" w:type="dxa"/>
            <w:right w:w="108" w:type="dxa"/>
          </w:tblCellMar>
        </w:tblPrEx>
        <w:tc>
          <w:tcPr>
            <w:tcW w:w="816" w:type="dxa"/>
            <w:vMerge/>
            <w:vAlign w:val="center"/>
          </w:tcPr>
          <w:p>
            <w:pPr>
              <w:rPr>
                <w:rFonts w:ascii="宋体" w:hAnsi="宋体"/>
                <w:sz w:val="18"/>
                <w:szCs w:val="18"/>
              </w:rPr>
            </w:pPr>
          </w:p>
        </w:tc>
        <w:tc>
          <w:tcPr>
            <w:tcW w:w="3261" w:type="dxa"/>
            <w:gridSpan w:val="2"/>
            <w:vMerge/>
            <w:vAlign w:val="center"/>
          </w:tcPr>
          <w:p>
            <w:pPr>
              <w:rPr>
                <w:rFonts w:ascii="宋体" w:hAnsi="宋体"/>
                <w:sz w:val="18"/>
                <w:szCs w:val="18"/>
              </w:rPr>
            </w:pPr>
          </w:p>
        </w:tc>
        <w:tc>
          <w:tcPr>
            <w:tcW w:w="1418" w:type="dxa"/>
          </w:tcPr>
          <w:p>
            <w:pPr>
              <w:autoSpaceDE w:val="0"/>
              <w:autoSpaceDN w:val="0"/>
              <w:spacing w:after="160"/>
              <w:jc w:val="center"/>
              <w:rPr>
                <w:rFonts w:ascii="宋体" w:hAnsi="宋体"/>
                <w:sz w:val="18"/>
                <w:szCs w:val="18"/>
              </w:rPr>
            </w:pPr>
            <w:r>
              <w:rPr>
                <w:rFonts w:ascii="宋体" w:hAnsi="宋体"/>
                <w:sz w:val="18"/>
                <w:szCs w:val="18"/>
              </w:rPr>
              <w:t xml:space="preserve"> DN＞100mm</w:t>
            </w:r>
          </w:p>
        </w:tc>
        <w:tc>
          <w:tcPr>
            <w:tcW w:w="1701" w:type="dxa"/>
          </w:tcPr>
          <w:p>
            <w:pPr>
              <w:spacing w:after="160"/>
              <w:rPr>
                <w:rFonts w:ascii="宋体" w:hAnsi="宋体"/>
                <w:sz w:val="18"/>
                <w:szCs w:val="18"/>
              </w:rPr>
            </w:pPr>
            <w:r>
              <w:rPr>
                <w:rFonts w:ascii="宋体" w:hAnsi="宋体"/>
                <w:sz w:val="18"/>
                <w:szCs w:val="18"/>
              </w:rPr>
              <w:t>3</w:t>
            </w:r>
            <w:r>
              <w:rPr>
                <w:rFonts w:ascii="宋体" w:hAnsi="宋体" w:hint="eastAsia"/>
                <w:sz w:val="18"/>
                <w:szCs w:val="18"/>
              </w:rPr>
              <w:t xml:space="preserve"> </w:t>
            </w:r>
            <w:r>
              <w:t>l</w:t>
            </w:r>
            <w:r>
              <w:rPr>
                <w:vertAlign w:val="subscript"/>
              </w:rPr>
              <w:t>0</w:t>
            </w:r>
            <w:r>
              <w:rPr>
                <w:rFonts w:ascii="宋体" w:hAnsi="宋体" w:hint="eastAsia"/>
                <w:sz w:val="18"/>
                <w:szCs w:val="18"/>
              </w:rPr>
              <w:t>‰</w:t>
            </w:r>
            <w:r>
              <w:rPr>
                <w:rFonts w:ascii="宋体" w:hAnsi="宋体"/>
                <w:sz w:val="18"/>
                <w:szCs w:val="18"/>
              </w:rPr>
              <w:t>，最大80</w:t>
            </w:r>
          </w:p>
        </w:tc>
      </w:tr>
      <w:tr>
        <w:tblPrEx>
          <w:tblW w:w="7196" w:type="dxa"/>
          <w:tblInd w:w="0" w:type="dxa"/>
          <w:tblLayout w:type="fixed"/>
          <w:tblCellMar>
            <w:top w:w="0" w:type="dxa"/>
            <w:left w:w="108" w:type="dxa"/>
            <w:bottom w:w="0" w:type="dxa"/>
            <w:right w:w="108" w:type="dxa"/>
          </w:tblCellMar>
        </w:tblPrEx>
        <w:tc>
          <w:tcPr>
            <w:tcW w:w="816" w:type="dxa"/>
            <w:vAlign w:val="center"/>
          </w:tcPr>
          <w:p>
            <w:pPr>
              <w:autoSpaceDE w:val="0"/>
              <w:autoSpaceDN w:val="0"/>
              <w:spacing w:after="160"/>
              <w:jc w:val="center"/>
              <w:rPr>
                <w:rFonts w:ascii="宋体" w:hAnsi="宋体"/>
                <w:sz w:val="18"/>
                <w:szCs w:val="18"/>
              </w:rPr>
            </w:pPr>
            <w:r>
              <w:rPr>
                <w:rFonts w:ascii="宋体" w:hAnsi="宋体"/>
                <w:sz w:val="18"/>
                <w:szCs w:val="18"/>
              </w:rPr>
              <w:t>4</w:t>
            </w:r>
          </w:p>
        </w:tc>
        <w:tc>
          <w:tcPr>
            <w:tcW w:w="4679" w:type="dxa"/>
            <w:gridSpan w:val="3"/>
            <w:vAlign w:val="center"/>
          </w:tcPr>
          <w:p>
            <w:pPr>
              <w:autoSpaceDE w:val="0"/>
              <w:autoSpaceDN w:val="0"/>
              <w:spacing w:after="160"/>
              <w:jc w:val="center"/>
              <w:rPr>
                <w:rFonts w:ascii="宋体" w:hAnsi="宋体"/>
                <w:sz w:val="18"/>
                <w:szCs w:val="18"/>
              </w:rPr>
            </w:pPr>
            <w:r>
              <w:rPr>
                <w:rFonts w:ascii="宋体" w:hAnsi="宋体"/>
                <w:sz w:val="18"/>
                <w:szCs w:val="18"/>
              </w:rPr>
              <w:t>立管铅垂度</w:t>
            </w:r>
          </w:p>
        </w:tc>
        <w:tc>
          <w:tcPr>
            <w:tcW w:w="1701" w:type="dxa"/>
            <w:vAlign w:val="center"/>
          </w:tcPr>
          <w:p>
            <w:pPr>
              <w:ind w:firstLine="180" w:firstLineChars="100"/>
            </w:pPr>
            <w:r>
              <w:rPr>
                <w:rFonts w:ascii="宋体" w:hAnsi="宋体"/>
                <w:sz w:val="18"/>
                <w:szCs w:val="18"/>
              </w:rPr>
              <w:t>5</w:t>
            </w:r>
            <w:r>
              <w:rPr>
                <w:rFonts w:ascii="宋体" w:hAnsi="宋体" w:hint="eastAsia"/>
                <w:sz w:val="18"/>
                <w:szCs w:val="18"/>
              </w:rPr>
              <w:t xml:space="preserve"> </w:t>
            </w:r>
            <w:r>
              <w:t>l</w:t>
            </w:r>
            <w:r>
              <w:rPr>
                <w:vertAlign w:val="subscript"/>
              </w:rPr>
              <w:t>0</w:t>
            </w:r>
            <w:r>
              <w:rPr>
                <w:rFonts w:ascii="宋体" w:hAnsi="宋体" w:hint="eastAsia"/>
                <w:sz w:val="18"/>
                <w:szCs w:val="18"/>
              </w:rPr>
              <w:t>‰</w:t>
            </w:r>
            <w:r>
              <w:rPr>
                <w:rFonts w:ascii="宋体" w:hAnsi="宋体"/>
                <w:sz w:val="18"/>
                <w:szCs w:val="18"/>
              </w:rPr>
              <w:t>，最大30</w:t>
            </w:r>
          </w:p>
        </w:tc>
      </w:tr>
      <w:tr>
        <w:tblPrEx>
          <w:tblW w:w="7196" w:type="dxa"/>
          <w:tblInd w:w="0" w:type="dxa"/>
          <w:tblLayout w:type="fixed"/>
          <w:tblCellMar>
            <w:top w:w="0" w:type="dxa"/>
            <w:left w:w="108" w:type="dxa"/>
            <w:bottom w:w="0" w:type="dxa"/>
            <w:right w:w="108" w:type="dxa"/>
          </w:tblCellMar>
        </w:tblPrEx>
        <w:tc>
          <w:tcPr>
            <w:tcW w:w="816" w:type="dxa"/>
            <w:vAlign w:val="center"/>
          </w:tcPr>
          <w:p>
            <w:pPr>
              <w:autoSpaceDE w:val="0"/>
              <w:autoSpaceDN w:val="0"/>
              <w:spacing w:after="160"/>
              <w:jc w:val="center"/>
              <w:rPr>
                <w:rFonts w:ascii="宋体" w:hAnsi="宋体"/>
                <w:sz w:val="18"/>
                <w:szCs w:val="18"/>
              </w:rPr>
            </w:pPr>
            <w:r>
              <w:rPr>
                <w:rFonts w:ascii="宋体" w:hAnsi="宋体"/>
                <w:sz w:val="18"/>
                <w:szCs w:val="18"/>
              </w:rPr>
              <w:t>5</w:t>
            </w:r>
          </w:p>
        </w:tc>
        <w:tc>
          <w:tcPr>
            <w:tcW w:w="4679" w:type="dxa"/>
            <w:gridSpan w:val="3"/>
            <w:vAlign w:val="center"/>
          </w:tcPr>
          <w:p>
            <w:pPr>
              <w:autoSpaceDE w:val="0"/>
              <w:autoSpaceDN w:val="0"/>
              <w:spacing w:after="160"/>
              <w:jc w:val="center"/>
              <w:rPr>
                <w:rFonts w:ascii="宋体" w:hAnsi="宋体"/>
                <w:sz w:val="18"/>
                <w:szCs w:val="18"/>
              </w:rPr>
            </w:pPr>
            <w:r>
              <w:rPr>
                <w:rFonts w:ascii="宋体" w:hAnsi="宋体"/>
                <w:sz w:val="18"/>
                <w:szCs w:val="18"/>
              </w:rPr>
              <w:t>成排管道的间距</w:t>
            </w:r>
          </w:p>
        </w:tc>
        <w:tc>
          <w:tcPr>
            <w:tcW w:w="1701" w:type="dxa"/>
            <w:vAlign w:val="center"/>
          </w:tcPr>
          <w:p>
            <w:pPr>
              <w:autoSpaceDE w:val="0"/>
              <w:autoSpaceDN w:val="0"/>
              <w:spacing w:after="160"/>
              <w:jc w:val="center"/>
              <w:rPr>
                <w:rFonts w:ascii="宋体" w:hAnsi="宋体"/>
                <w:sz w:val="18"/>
                <w:szCs w:val="18"/>
              </w:rPr>
            </w:pPr>
            <w:r>
              <w:rPr>
                <w:rFonts w:ascii="宋体" w:hAnsi="宋体"/>
                <w:sz w:val="18"/>
                <w:szCs w:val="18"/>
              </w:rPr>
              <w:t>15</w:t>
            </w:r>
          </w:p>
        </w:tc>
      </w:tr>
      <w:tr>
        <w:tblPrEx>
          <w:tblW w:w="7196" w:type="dxa"/>
          <w:tblInd w:w="0" w:type="dxa"/>
          <w:tblLayout w:type="fixed"/>
          <w:tblCellMar>
            <w:top w:w="0" w:type="dxa"/>
            <w:left w:w="108" w:type="dxa"/>
            <w:bottom w:w="0" w:type="dxa"/>
            <w:right w:w="108" w:type="dxa"/>
          </w:tblCellMar>
        </w:tblPrEx>
        <w:tc>
          <w:tcPr>
            <w:tcW w:w="816" w:type="dxa"/>
            <w:vAlign w:val="center"/>
          </w:tcPr>
          <w:p>
            <w:pPr>
              <w:autoSpaceDE w:val="0"/>
              <w:autoSpaceDN w:val="0"/>
              <w:spacing w:after="160"/>
              <w:jc w:val="center"/>
              <w:rPr>
                <w:rFonts w:ascii="宋体" w:hAnsi="宋体"/>
                <w:sz w:val="18"/>
                <w:szCs w:val="18"/>
              </w:rPr>
            </w:pPr>
            <w:r>
              <w:rPr>
                <w:rFonts w:ascii="宋体" w:hAnsi="宋体"/>
                <w:sz w:val="18"/>
                <w:szCs w:val="18"/>
              </w:rPr>
              <w:t>6</w:t>
            </w:r>
          </w:p>
        </w:tc>
        <w:tc>
          <w:tcPr>
            <w:tcW w:w="4679" w:type="dxa"/>
            <w:gridSpan w:val="3"/>
            <w:vAlign w:val="center"/>
          </w:tcPr>
          <w:p>
            <w:pPr>
              <w:autoSpaceDE w:val="0"/>
              <w:autoSpaceDN w:val="0"/>
              <w:spacing w:after="160"/>
              <w:jc w:val="center"/>
              <w:rPr>
                <w:rFonts w:ascii="宋体" w:hAnsi="宋体"/>
                <w:sz w:val="18"/>
                <w:szCs w:val="18"/>
              </w:rPr>
            </w:pPr>
            <w:r>
              <w:rPr>
                <w:rFonts w:ascii="宋体" w:hAnsi="宋体"/>
                <w:sz w:val="18"/>
                <w:szCs w:val="18"/>
              </w:rPr>
              <w:t>交叉管的外壁或绝热层间距</w:t>
            </w:r>
          </w:p>
        </w:tc>
        <w:tc>
          <w:tcPr>
            <w:tcW w:w="1701" w:type="dxa"/>
            <w:vAlign w:val="center"/>
          </w:tcPr>
          <w:p>
            <w:pPr>
              <w:jc w:val="center"/>
              <w:rPr>
                <w:rFonts w:ascii="宋体" w:hAnsi="宋体"/>
                <w:sz w:val="18"/>
                <w:szCs w:val="18"/>
              </w:rPr>
            </w:pPr>
            <w:r>
              <w:rPr>
                <w:rFonts w:ascii="宋体" w:hAnsi="宋体"/>
                <w:sz w:val="18"/>
                <w:szCs w:val="18"/>
              </w:rPr>
              <w:t>20</w:t>
            </w:r>
          </w:p>
        </w:tc>
      </w:tr>
    </w:tbl>
    <w:p>
      <w:pPr>
        <w:autoSpaceDE w:val="0"/>
        <w:autoSpaceDN w:val="0"/>
        <w:spacing w:after="160" w:line="440" w:lineRule="exact"/>
        <w:jc w:val="left"/>
        <w:rPr>
          <w:rFonts w:ascii="宋体" w:hAnsi="宋体"/>
          <w:sz w:val="28"/>
          <w:szCs w:val="28"/>
        </w:rPr>
      </w:pPr>
      <w:r>
        <w:rPr>
          <w:rFonts w:ascii="黑体" w:eastAsia="黑体" w:hAnsi="黑体"/>
        </w:rPr>
        <w:t>5.3.13</w:t>
      </w:r>
      <w:r>
        <w:rPr>
          <w:rFonts w:ascii="黑体" w:eastAsia="黑体" w:hAnsi="黑体" w:hint="eastAsia"/>
        </w:rPr>
        <w:t xml:space="preserve"> </w:t>
      </w:r>
      <w:r>
        <w:rPr>
          <w:rFonts w:ascii="宋体" w:hAnsi="宋体"/>
        </w:rPr>
        <w:t>管道安装坡向、坡度及走向应符合设计技术文件规定。</w:t>
      </w:r>
    </w:p>
    <w:p>
      <w:pPr>
        <w:autoSpaceDE w:val="0"/>
        <w:autoSpaceDN w:val="0"/>
        <w:spacing w:after="160" w:line="440" w:lineRule="exact"/>
        <w:jc w:val="left"/>
        <w:rPr>
          <w:rFonts w:ascii="宋体" w:hAnsi="宋体"/>
        </w:rPr>
      </w:pPr>
      <w:r>
        <w:rPr>
          <w:rFonts w:ascii="黑体" w:eastAsia="黑体" w:hAnsi="黑体"/>
        </w:rPr>
        <w:t>5.3.14</w:t>
      </w:r>
      <w:r>
        <w:rPr>
          <w:rFonts w:ascii="黑体" w:eastAsia="黑体" w:hAnsi="黑体" w:hint="eastAsia"/>
        </w:rPr>
        <w:t xml:space="preserve"> </w:t>
      </w:r>
      <w:r>
        <w:rPr>
          <w:rFonts w:ascii="宋体" w:hAnsi="宋体"/>
        </w:rPr>
        <w:t>管路上补偿装置的安装应符合设计技术文件规定，不应有扭曲和错位。</w:t>
      </w:r>
    </w:p>
    <w:p>
      <w:pPr>
        <w:autoSpaceDE w:val="0"/>
        <w:autoSpaceDN w:val="0"/>
        <w:spacing w:after="160" w:line="440" w:lineRule="exact"/>
        <w:jc w:val="left"/>
        <w:rPr>
          <w:rFonts w:ascii="宋体" w:hAnsi="宋体"/>
        </w:rPr>
        <w:sectPr>
          <w:footerReference w:type="default" r:id="rId38"/>
          <w:type w:val="nextPage"/>
          <w:pgSz w:w="11906" w:h="16838"/>
          <w:pgMar w:top="1440" w:right="1800" w:bottom="1440" w:left="1800" w:header="851" w:footer="992" w:gutter="0"/>
          <w:pgNumType w:start="15"/>
          <w:cols w:num="1" w:space="720"/>
          <w:titlePg w:val="0"/>
          <w:docGrid w:type="lines" w:linePitch="312" w:charSpace="0"/>
        </w:sectPr>
      </w:pPr>
      <w:r>
        <w:rPr>
          <w:rFonts w:ascii="黑体" w:eastAsia="黑体" w:hAnsi="黑体"/>
        </w:rPr>
        <w:t>5.3.15</w:t>
      </w:r>
      <w:r>
        <w:rPr>
          <w:rFonts w:ascii="黑体" w:eastAsia="黑体" w:hAnsi="黑体" w:hint="eastAsia"/>
        </w:rPr>
        <w:t xml:space="preserve"> </w:t>
      </w:r>
      <w:r>
        <w:rPr>
          <w:rFonts w:ascii="宋体" w:hAnsi="宋体"/>
        </w:rPr>
        <w:t>管道支吊架安装应符合设计技术文件和现行国家标准《工业金属管道工程施工规范》GB50235的规定。</w:t>
      </w:r>
    </w:p>
    <w:p>
      <w:pPr>
        <w:autoSpaceDE w:val="0"/>
        <w:autoSpaceDN w:val="0"/>
        <w:spacing w:after="160" w:line="440" w:lineRule="exact"/>
        <w:jc w:val="left"/>
        <w:rPr>
          <w:rFonts w:ascii="宋体" w:hAnsi="宋体"/>
          <w:sz w:val="28"/>
          <w:szCs w:val="28"/>
        </w:rPr>
      </w:pPr>
      <w:r>
        <w:rPr>
          <w:rFonts w:ascii="黑体" w:eastAsia="黑体" w:hAnsi="黑体"/>
        </w:rPr>
        <w:t>5.3.16</w:t>
      </w:r>
      <w:r>
        <w:rPr>
          <w:rFonts w:ascii="黑体" w:eastAsia="黑体" w:hAnsi="黑体" w:hint="eastAsia"/>
        </w:rPr>
        <w:t xml:space="preserve"> </w:t>
      </w:r>
      <w:r>
        <w:rPr>
          <w:rFonts w:ascii="宋体" w:hAnsi="宋体"/>
        </w:rPr>
        <w:t>有静电接地要求的管道，静电接地安装应符合设计技术文件和现行国家标准《工业金属管道工程施工规范》GB50235的规定。</w:t>
      </w:r>
    </w:p>
    <w:p>
      <w:pPr>
        <w:autoSpaceDE w:val="0"/>
        <w:autoSpaceDN w:val="0"/>
        <w:spacing w:after="160" w:line="440" w:lineRule="exact"/>
        <w:jc w:val="left"/>
        <w:rPr>
          <w:rFonts w:ascii="宋体" w:hAnsi="宋体"/>
        </w:rPr>
      </w:pPr>
      <w:r>
        <w:rPr>
          <w:rFonts w:ascii="黑体" w:eastAsia="黑体" w:hAnsi="黑体"/>
        </w:rPr>
        <w:t>5.3.17</w:t>
      </w:r>
      <w:r>
        <w:rPr>
          <w:rFonts w:ascii="黑体" w:eastAsia="黑体" w:hAnsi="黑体" w:hint="eastAsia"/>
        </w:rPr>
        <w:t xml:space="preserve"> </w:t>
      </w:r>
      <w:r>
        <w:rPr>
          <w:rFonts w:ascii="宋体" w:hAnsi="宋体"/>
        </w:rPr>
        <w:t>管道安装完毕经检查合格后，应按设计技术文件要求进行压力强度试验和严密性试验，并应符合现行国家标准《工业金属管道工程施工规范》GB50235的规定。</w:t>
      </w:r>
    </w:p>
    <w:p>
      <w:pPr>
        <w:autoSpaceDE w:val="0"/>
        <w:autoSpaceDN w:val="0"/>
        <w:spacing w:after="160" w:line="440" w:lineRule="exact"/>
        <w:jc w:val="left"/>
        <w:rPr>
          <w:rFonts w:ascii="宋体" w:hAnsi="宋体"/>
        </w:rPr>
      </w:pPr>
      <w:r>
        <w:rPr>
          <w:rFonts w:ascii="黑体" w:eastAsia="黑体" w:hAnsi="黑体"/>
        </w:rPr>
        <w:t>5.3.18</w:t>
      </w:r>
      <w:r>
        <w:rPr>
          <w:rFonts w:ascii="黑体" w:eastAsia="黑体" w:hAnsi="黑体" w:hint="eastAsia"/>
        </w:rPr>
        <w:t xml:space="preserve"> </w:t>
      </w:r>
      <w:r>
        <w:rPr>
          <w:rFonts w:ascii="宋体" w:hAnsi="宋体"/>
        </w:rPr>
        <w:t>管道在压力强度试验和严密性试验合格后，应按设计技术文件要求进行吹扫与清洗，并应符合现行国家标准《工业金属管道工程施工规范》GB50235的规定。</w:t>
      </w:r>
    </w:p>
    <w:p>
      <w:pPr>
        <w:autoSpaceDE w:val="0"/>
        <w:autoSpaceDN w:val="0"/>
        <w:spacing w:after="160" w:line="440" w:lineRule="exact"/>
        <w:jc w:val="left"/>
        <w:rPr>
          <w:rFonts w:ascii="宋体" w:hAnsi="宋体"/>
          <w:sz w:val="28"/>
          <w:szCs w:val="28"/>
        </w:rPr>
      </w:pPr>
      <w:r>
        <w:rPr>
          <w:rFonts w:ascii="黑体" w:eastAsia="黑体" w:hAnsi="黑体"/>
        </w:rPr>
        <w:t>5.3.19</w:t>
      </w:r>
      <w:r>
        <w:rPr>
          <w:rFonts w:ascii="黑体" w:eastAsia="黑体" w:hAnsi="黑体" w:hint="eastAsia"/>
        </w:rPr>
        <w:t xml:space="preserve"> </w:t>
      </w:r>
      <w:r>
        <w:rPr>
          <w:rFonts w:ascii="宋体" w:hAnsi="宋体"/>
        </w:rPr>
        <w:t>管道完成吹扫与清洗工作后，拆除临时设施与装置，复原。</w:t>
      </w:r>
    </w:p>
    <w:p>
      <w:pPr>
        <w:autoSpaceDE w:val="0"/>
        <w:autoSpaceDN w:val="0"/>
        <w:spacing w:after="160" w:line="440" w:lineRule="exact"/>
        <w:jc w:val="left"/>
        <w:rPr>
          <w:rFonts w:ascii="宋体" w:hAnsi="宋体"/>
        </w:rPr>
        <w:sectPr>
          <w:footerReference w:type="default" r:id="rId39"/>
          <w:type w:val="nextPage"/>
          <w:pgSz w:w="11906" w:h="16838"/>
          <w:pgMar w:top="1440" w:right="1800" w:bottom="1440" w:left="1800" w:header="851" w:footer="992" w:gutter="0"/>
          <w:pgNumType w:start="16"/>
          <w:cols w:num="1" w:space="720"/>
          <w:titlePg w:val="0"/>
          <w:docGrid w:type="lines" w:linePitch="312" w:charSpace="0"/>
        </w:sectPr>
      </w:pPr>
      <w:r>
        <w:rPr>
          <w:rFonts w:ascii="黑体" w:eastAsia="黑体" w:hAnsi="黑体"/>
        </w:rPr>
        <w:t>5.3.20</w:t>
      </w:r>
      <w:r>
        <w:rPr>
          <w:rFonts w:ascii="黑体" w:eastAsia="黑体" w:hAnsi="黑体" w:hint="eastAsia"/>
        </w:rPr>
        <w:t xml:space="preserve"> </w:t>
      </w:r>
      <w:r>
        <w:rPr>
          <w:rFonts w:ascii="宋体" w:hAnsi="宋体"/>
        </w:rPr>
        <w:t>有绝热要求的管道，宜在压力强度试验和严密性试验合格及防腐涂装验收合格后按照设计技术文件进行绝热施工，并应符合现行国家标准《工业设备及管道绝热工程施工规范》GB50126的规定。</w:t>
      </w:r>
    </w:p>
    <w:p>
      <w:pPr>
        <w:pStyle w:val="Heading1"/>
        <w:jc w:val="center"/>
        <w:rPr>
          <w:rFonts w:ascii="黑体" w:eastAsia="黑体" w:hAnsi="黑体"/>
          <w:b w:val="0"/>
          <w:sz w:val="21"/>
          <w:szCs w:val="21"/>
        </w:rPr>
      </w:pPr>
      <w:bookmarkStart w:id="14" w:name="_Toc528678492"/>
      <w:r>
        <w:rPr>
          <w:rFonts w:ascii="黑体" w:eastAsia="黑体" w:hAnsi="黑体"/>
          <w:b w:val="0"/>
          <w:sz w:val="21"/>
          <w:szCs w:val="21"/>
        </w:rPr>
        <w:t xml:space="preserve">6 </w:t>
      </w:r>
      <w:r>
        <w:rPr>
          <w:rFonts w:ascii="黑体" w:eastAsia="黑体" w:hAnsi="黑体" w:hint="eastAsia"/>
          <w:b w:val="0"/>
          <w:sz w:val="21"/>
          <w:szCs w:val="21"/>
        </w:rPr>
        <w:t xml:space="preserve">   机械设备工程</w:t>
      </w:r>
      <w:bookmarkEnd w:id="14"/>
    </w:p>
    <w:p>
      <w:pPr>
        <w:pStyle w:val="Heading2"/>
        <w:spacing w:before="260" w:after="260" w:line="415" w:lineRule="auto"/>
        <w:jc w:val="center"/>
      </w:pPr>
      <w:bookmarkStart w:id="15" w:name="_Toc528678493"/>
      <w:r>
        <w:rPr>
          <w:rFonts w:ascii="黑体" w:eastAsia="黑体" w:hAnsi="黑体"/>
          <w:b w:val="0"/>
          <w:sz w:val="21"/>
          <w:szCs w:val="21"/>
        </w:rPr>
        <w:t>6.1  一般规定</w:t>
      </w:r>
      <w:bookmarkEnd w:id="15"/>
    </w:p>
    <w:p>
      <w:pPr>
        <w:autoSpaceDE w:val="0"/>
        <w:autoSpaceDN w:val="0"/>
        <w:spacing w:after="160" w:line="440" w:lineRule="exact"/>
        <w:jc w:val="left"/>
        <w:rPr>
          <w:rFonts w:ascii="黑体" w:eastAsia="黑体" w:hAnsi="黑体"/>
          <w:b/>
          <w:sz w:val="28"/>
          <w:szCs w:val="28"/>
        </w:rPr>
      </w:pPr>
      <w:r>
        <w:rPr>
          <w:rFonts w:ascii="黑体" w:eastAsia="黑体" w:hAnsi="黑体"/>
        </w:rPr>
        <w:t>6.1.</w:t>
      </w:r>
      <w:r>
        <w:rPr>
          <w:rFonts w:ascii="黑体" w:eastAsia="黑体" w:hAnsi="黑体" w:hint="eastAsia"/>
        </w:rPr>
        <w:t>1</w:t>
      </w:r>
      <w:r>
        <w:rPr>
          <w:rFonts w:ascii="黑体" w:eastAsia="黑体" w:hAnsi="黑体"/>
        </w:rPr>
        <w:t xml:space="preserve"> </w:t>
      </w:r>
      <w:r>
        <w:rPr>
          <w:rFonts w:ascii="宋体" w:hAnsi="宋体"/>
        </w:rPr>
        <w:t>设备拆除前，建设单位应组织确认机械设备的完整性，检查每台设备的各检测元件、保护元件、小件等是否完好和齐全，如有缺少和损坏，应做好记录。</w:t>
      </w:r>
    </w:p>
    <w:p>
      <w:pPr>
        <w:pStyle w:val="Heading2"/>
        <w:spacing w:before="260" w:after="260" w:line="415" w:lineRule="auto"/>
        <w:jc w:val="center"/>
        <w:rPr>
          <w:rFonts w:ascii="黑体" w:eastAsia="黑体" w:hAnsi="黑体"/>
          <w:b w:val="0"/>
          <w:sz w:val="21"/>
          <w:szCs w:val="21"/>
        </w:rPr>
      </w:pPr>
      <w:bookmarkStart w:id="16" w:name="_Toc528678494"/>
      <w:r>
        <w:rPr>
          <w:rFonts w:ascii="黑体" w:eastAsia="黑体" w:hAnsi="黑体"/>
          <w:b w:val="0"/>
          <w:sz w:val="21"/>
          <w:szCs w:val="21"/>
        </w:rPr>
        <w:t>6.2  机械及流体设备拆除</w:t>
      </w:r>
      <w:bookmarkEnd w:id="16"/>
    </w:p>
    <w:p>
      <w:pPr>
        <w:autoSpaceDE w:val="0"/>
        <w:autoSpaceDN w:val="0"/>
        <w:spacing w:after="160" w:line="440" w:lineRule="exact"/>
        <w:jc w:val="left"/>
        <w:rPr>
          <w:rFonts w:ascii="宋体" w:hAnsi="宋体"/>
        </w:rPr>
      </w:pPr>
      <w:r>
        <w:rPr>
          <w:rFonts w:ascii="黑体" w:eastAsia="黑体" w:hAnsi="黑体"/>
        </w:rPr>
        <w:t xml:space="preserve">6.2.1  </w:t>
      </w:r>
      <w:r>
        <w:rPr>
          <w:rFonts w:ascii="宋体" w:hAnsi="宋体"/>
        </w:rPr>
        <w:t>设备拆除前应具备下列条件：</w:t>
      </w:r>
    </w:p>
    <w:p>
      <w:pPr>
        <w:autoSpaceDE w:val="0"/>
        <w:autoSpaceDN w:val="0"/>
        <w:spacing w:after="160" w:line="440" w:lineRule="exact"/>
        <w:jc w:val="left"/>
        <w:rPr>
          <w:rFonts w:ascii="宋体" w:hAnsi="宋体"/>
        </w:rPr>
      </w:pPr>
      <w:r>
        <w:rPr>
          <w:rFonts w:ascii="宋体" w:hAnsi="宋体"/>
        </w:rPr>
        <w:t>（1）各能源介质已停止运行，易燃易爆介质已完成置换或放散，并经建设单位、监理单位和施工单位共同确认；</w:t>
      </w:r>
    </w:p>
    <w:p>
      <w:pPr>
        <w:autoSpaceDE w:val="0"/>
        <w:autoSpaceDN w:val="0"/>
        <w:spacing w:after="160" w:line="440" w:lineRule="exact"/>
        <w:jc w:val="left"/>
        <w:rPr>
          <w:rFonts w:ascii="宋体" w:hAnsi="宋体"/>
        </w:rPr>
      </w:pPr>
      <w:r>
        <w:rPr>
          <w:rFonts w:ascii="宋体" w:hAnsi="宋体"/>
        </w:rPr>
        <w:t>（2）机组设备已停运、停电，设备已停置易于安全拆除的状态；</w:t>
      </w:r>
    </w:p>
    <w:p>
      <w:pPr>
        <w:autoSpaceDE w:val="0"/>
        <w:autoSpaceDN w:val="0"/>
        <w:spacing w:after="160" w:line="440" w:lineRule="exact"/>
        <w:jc w:val="left"/>
        <w:rPr>
          <w:rFonts w:ascii="宋体" w:hAnsi="宋体"/>
        </w:rPr>
      </w:pPr>
      <w:r>
        <w:rPr>
          <w:rFonts w:ascii="宋体" w:hAnsi="宋体"/>
        </w:rPr>
        <w:t>（3）设备拆除前，应提前办好停电申请，经建设单位批准同意后，方可停止电源，开关闭锁在停电位置，严禁带电作业；</w:t>
      </w:r>
    </w:p>
    <w:p>
      <w:pPr>
        <w:autoSpaceDE w:val="0"/>
        <w:autoSpaceDN w:val="0"/>
        <w:spacing w:after="160" w:line="440" w:lineRule="exact"/>
        <w:jc w:val="left"/>
        <w:rPr>
          <w:rFonts w:ascii="宋体" w:hAnsi="宋体"/>
        </w:rPr>
      </w:pPr>
      <w:r>
        <w:rPr>
          <w:rFonts w:ascii="宋体" w:hAnsi="宋体"/>
        </w:rPr>
        <w:t>（</w:t>
      </w:r>
      <w:r>
        <w:rPr>
          <w:rFonts w:ascii="宋体" w:hAnsi="宋体" w:hint="eastAsia"/>
        </w:rPr>
        <w:t>4</w:t>
      </w:r>
      <w:r>
        <w:rPr>
          <w:rFonts w:ascii="宋体" w:hAnsi="宋体"/>
        </w:rPr>
        <w:t>）对拆除的设备要现场确认、挂牌、编号和拍照；</w:t>
      </w:r>
    </w:p>
    <w:p>
      <w:pPr>
        <w:autoSpaceDE w:val="0"/>
        <w:autoSpaceDN w:val="0"/>
        <w:spacing w:after="160" w:line="440" w:lineRule="exact"/>
        <w:jc w:val="left"/>
        <w:rPr>
          <w:rFonts w:ascii="宋体" w:hAnsi="宋体"/>
        </w:rPr>
      </w:pPr>
      <w:r>
        <w:rPr>
          <w:rFonts w:ascii="宋体" w:hAnsi="宋体"/>
        </w:rPr>
        <w:t>（</w:t>
      </w:r>
      <w:r>
        <w:rPr>
          <w:rFonts w:ascii="宋体" w:hAnsi="宋体" w:hint="eastAsia"/>
        </w:rPr>
        <w:t>5</w:t>
      </w:r>
      <w:r>
        <w:rPr>
          <w:rFonts w:ascii="宋体" w:hAnsi="宋体"/>
        </w:rPr>
        <w:t>）对拆除前危险源加以识别，配备消防器具；</w:t>
      </w:r>
    </w:p>
    <w:p>
      <w:pPr>
        <w:autoSpaceDE w:val="0"/>
        <w:autoSpaceDN w:val="0"/>
        <w:spacing w:after="160" w:line="440" w:lineRule="exact"/>
        <w:jc w:val="left"/>
        <w:rPr>
          <w:rFonts w:ascii="宋体" w:hAnsi="宋体"/>
        </w:rPr>
      </w:pPr>
      <w:r>
        <w:rPr>
          <w:rFonts w:ascii="宋体" w:hAnsi="宋体"/>
        </w:rPr>
        <w:t>（</w:t>
      </w:r>
      <w:r>
        <w:rPr>
          <w:rFonts w:ascii="宋体" w:hAnsi="宋体" w:hint="eastAsia"/>
        </w:rPr>
        <w:t>6</w:t>
      </w:r>
      <w:r>
        <w:rPr>
          <w:rFonts w:ascii="宋体" w:hAnsi="宋体"/>
        </w:rPr>
        <w:t>）机械设备上电气元件已拆除完毕。</w:t>
      </w:r>
    </w:p>
    <w:p>
      <w:pPr>
        <w:autoSpaceDE w:val="0"/>
        <w:autoSpaceDN w:val="0"/>
        <w:spacing w:after="160" w:line="440" w:lineRule="exact"/>
        <w:jc w:val="left"/>
        <w:rPr>
          <w:rFonts w:ascii="宋体" w:hAnsi="宋体"/>
          <w:sz w:val="28"/>
          <w:szCs w:val="28"/>
        </w:rPr>
      </w:pPr>
      <w:r>
        <w:rPr>
          <w:rFonts w:ascii="宋体" w:hAnsi="宋体"/>
        </w:rPr>
        <w:t>（</w:t>
      </w:r>
      <w:r>
        <w:rPr>
          <w:rFonts w:ascii="宋体" w:hAnsi="宋体" w:hint="eastAsia"/>
        </w:rPr>
        <w:t>7</w:t>
      </w:r>
      <w:r>
        <w:rPr>
          <w:rFonts w:ascii="宋体" w:hAnsi="宋体"/>
        </w:rPr>
        <w:t>）建设单位应组织设计单位、施工单位、监理单位检查设备状态，确定设备及其部件的整修范围，并在拆除过程中，根据情况进行调整。</w:t>
      </w:r>
    </w:p>
    <w:p>
      <w:pPr>
        <w:autoSpaceDE w:val="0"/>
        <w:autoSpaceDN w:val="0"/>
        <w:spacing w:after="160" w:line="440" w:lineRule="exact"/>
        <w:jc w:val="left"/>
        <w:rPr>
          <w:rFonts w:ascii="宋体" w:hAnsi="宋体"/>
          <w:sz w:val="28"/>
          <w:szCs w:val="28"/>
        </w:rPr>
      </w:pPr>
      <w:r>
        <w:rPr>
          <w:rFonts w:ascii="黑体" w:eastAsia="黑体" w:hAnsi="黑体"/>
        </w:rPr>
        <w:t xml:space="preserve">6.2.2  </w:t>
      </w:r>
      <w:r>
        <w:rPr>
          <w:rFonts w:ascii="宋体" w:hAnsi="宋体"/>
          <w:sz w:val="28"/>
          <w:szCs w:val="28"/>
        </w:rPr>
        <w:t xml:space="preserve"> </w:t>
      </w:r>
      <w:r>
        <w:rPr>
          <w:rFonts w:ascii="宋体" w:hAnsi="宋体"/>
        </w:rPr>
        <w:t>待底座与基础分离后，用带有荷载显示器的行车，直接吊起，严禁超载。</w:t>
      </w:r>
    </w:p>
    <w:p>
      <w:pPr>
        <w:autoSpaceDE w:val="0"/>
        <w:autoSpaceDN w:val="0"/>
        <w:spacing w:after="160" w:line="440" w:lineRule="exact"/>
        <w:jc w:val="left"/>
        <w:rPr>
          <w:rFonts w:ascii="宋体" w:hAnsi="宋体"/>
        </w:rPr>
      </w:pPr>
      <w:r>
        <w:rPr>
          <w:rFonts w:ascii="黑体" w:eastAsia="黑体" w:hAnsi="黑体"/>
        </w:rPr>
        <w:t>6.2.</w:t>
      </w:r>
      <w:r>
        <w:rPr>
          <w:rFonts w:ascii="黑体" w:eastAsia="黑体" w:hAnsi="黑体" w:hint="eastAsia"/>
        </w:rPr>
        <w:t>3</w:t>
      </w:r>
      <w:r>
        <w:rPr>
          <w:rFonts w:ascii="宋体" w:hAnsi="宋体"/>
        </w:rPr>
        <w:t>利旧的地脚螺栓或连接螺栓拆解时，宜使用大型气动、液压扳手或液压拉伸器拆除。</w:t>
      </w:r>
    </w:p>
    <w:p>
      <w:pPr>
        <w:autoSpaceDE w:val="0"/>
        <w:autoSpaceDN w:val="0"/>
        <w:spacing w:after="160" w:line="440" w:lineRule="exact"/>
        <w:jc w:val="left"/>
        <w:rPr>
          <w:rFonts w:ascii="宋体" w:hAnsi="宋体"/>
        </w:rPr>
      </w:pPr>
      <w:r>
        <w:rPr>
          <w:rFonts w:ascii="黑体" w:eastAsia="黑体" w:hAnsi="黑体"/>
        </w:rPr>
        <w:t>6.2.</w:t>
      </w:r>
      <w:r>
        <w:rPr>
          <w:rFonts w:ascii="黑体" w:eastAsia="黑体" w:hAnsi="黑体" w:hint="eastAsia"/>
        </w:rPr>
        <w:t>4</w:t>
      </w:r>
      <w:r>
        <w:rPr>
          <w:rFonts w:ascii="黑体" w:eastAsia="黑体" w:hAnsi="黑体"/>
        </w:rPr>
        <w:t xml:space="preserve"> </w:t>
      </w:r>
      <w:r>
        <w:rPr>
          <w:rFonts w:ascii="宋体" w:hAnsi="宋体"/>
          <w:sz w:val="28"/>
          <w:szCs w:val="28"/>
        </w:rPr>
        <w:t xml:space="preserve"> </w:t>
      </w:r>
      <w:r>
        <w:rPr>
          <w:rFonts w:ascii="宋体" w:hAnsi="宋体"/>
        </w:rPr>
        <w:t>液压润滑系统设备及蓄能器拆除前应进行泄压处理。</w:t>
      </w:r>
    </w:p>
    <w:p>
      <w:pPr>
        <w:autoSpaceDE w:val="0"/>
        <w:autoSpaceDN w:val="0"/>
        <w:spacing w:after="160" w:line="440" w:lineRule="exact"/>
        <w:jc w:val="left"/>
        <w:rPr>
          <w:rFonts w:ascii="宋体" w:hAnsi="宋体"/>
          <w:sz w:val="28"/>
          <w:szCs w:val="28"/>
        </w:rPr>
      </w:pPr>
      <w:r>
        <w:rPr>
          <w:rFonts w:ascii="黑体" w:eastAsia="黑体" w:hAnsi="黑体"/>
        </w:rPr>
        <w:t>6.2.</w:t>
      </w:r>
      <w:r>
        <w:rPr>
          <w:rFonts w:ascii="黑体" w:eastAsia="黑体" w:hAnsi="黑体" w:hint="eastAsia"/>
        </w:rPr>
        <w:t>5</w:t>
      </w:r>
      <w:r>
        <w:rPr>
          <w:rFonts w:ascii="黑体" w:eastAsia="黑体" w:hAnsi="黑体"/>
        </w:rPr>
        <w:t xml:space="preserve"> </w:t>
      </w:r>
      <w:r>
        <w:rPr>
          <w:rFonts w:ascii="宋体" w:hAnsi="宋体"/>
          <w:sz w:val="28"/>
          <w:szCs w:val="28"/>
        </w:rPr>
        <w:t xml:space="preserve"> </w:t>
      </w:r>
      <w:r>
        <w:rPr>
          <w:rFonts w:ascii="宋体" w:hAnsi="宋体"/>
        </w:rPr>
        <w:t>液压元件、阀台及各种精密元件拆除时，应采取保护措施，不得强制拆卸。</w:t>
      </w:r>
    </w:p>
    <w:p>
      <w:pPr>
        <w:autoSpaceDE w:val="0"/>
        <w:autoSpaceDN w:val="0"/>
        <w:spacing w:after="160" w:line="440" w:lineRule="exact"/>
        <w:jc w:val="left"/>
        <w:rPr>
          <w:rFonts w:ascii="宋体" w:hAnsi="宋体"/>
        </w:rPr>
      </w:pPr>
      <w:r>
        <w:rPr>
          <w:rFonts w:ascii="黑体" w:eastAsia="黑体" w:hAnsi="黑体"/>
        </w:rPr>
        <w:t>6.2.</w:t>
      </w:r>
      <w:r>
        <w:rPr>
          <w:rFonts w:ascii="黑体" w:eastAsia="黑体" w:hAnsi="黑体" w:hint="eastAsia"/>
        </w:rPr>
        <w:t xml:space="preserve">6 </w:t>
      </w:r>
      <w:r>
        <w:rPr>
          <w:rFonts w:ascii="宋体" w:hAnsi="宋体"/>
        </w:rPr>
        <w:t>液压阀台上的伺服阀及比例阀拆除后用冲洗板代替，并应单独包装存放。</w:t>
      </w:r>
    </w:p>
    <w:p>
      <w:pPr>
        <w:autoSpaceDE w:val="0"/>
        <w:autoSpaceDN w:val="0"/>
        <w:spacing w:after="160" w:line="440" w:lineRule="exact"/>
        <w:jc w:val="left"/>
        <w:rPr>
          <w:rFonts w:ascii="宋体" w:hAnsi="宋体"/>
        </w:rPr>
        <w:sectPr>
          <w:footerReference w:type="default" r:id="rId40"/>
          <w:type w:val="nextPage"/>
          <w:pgSz w:w="11906" w:h="16838"/>
          <w:pgMar w:top="1440" w:right="1800" w:bottom="1440" w:left="1800" w:header="851" w:footer="992" w:gutter="0"/>
          <w:pgNumType w:start="17"/>
          <w:cols w:num="1" w:space="720"/>
          <w:titlePg w:val="0"/>
          <w:docGrid w:type="lines" w:linePitch="312" w:charSpace="0"/>
        </w:sectPr>
      </w:pPr>
      <w:r>
        <w:rPr>
          <w:rFonts w:ascii="黑体" w:eastAsia="黑体" w:hAnsi="黑体"/>
        </w:rPr>
        <w:t>6.2.</w:t>
      </w:r>
      <w:r>
        <w:rPr>
          <w:rFonts w:ascii="黑体" w:eastAsia="黑体" w:hAnsi="黑体" w:hint="eastAsia"/>
        </w:rPr>
        <w:t xml:space="preserve">7 </w:t>
      </w:r>
      <w:r>
        <w:rPr>
          <w:rFonts w:ascii="宋体" w:hAnsi="宋体"/>
        </w:rPr>
        <w:t>阀台的拆除保留配对法兰或配对接头，并留存200mm的预留管段。</w:t>
      </w:r>
    </w:p>
    <w:p>
      <w:pPr>
        <w:autoSpaceDE w:val="0"/>
        <w:autoSpaceDN w:val="0"/>
        <w:spacing w:after="160" w:line="440" w:lineRule="exact"/>
        <w:jc w:val="left"/>
        <w:rPr>
          <w:rFonts w:ascii="宋体" w:hAnsi="宋体"/>
        </w:rPr>
      </w:pPr>
      <w:r>
        <w:rPr>
          <w:rFonts w:ascii="宋体" w:hAnsi="宋体"/>
        </w:rPr>
        <w:t xml:space="preserve"> 设备拆除过程中有缺损部件的情况，应提出“设备整修缺损件清单”，由建设单位、设计单位及施工单位共同确认后，确定解决方案并按方案实施。</w:t>
      </w:r>
    </w:p>
    <w:p>
      <w:pPr>
        <w:pStyle w:val="Heading2"/>
        <w:spacing w:before="260" w:after="260" w:line="415" w:lineRule="auto"/>
        <w:jc w:val="center"/>
        <w:rPr>
          <w:rFonts w:ascii="黑体" w:eastAsia="黑体" w:hAnsi="黑体"/>
          <w:b w:val="0"/>
          <w:sz w:val="21"/>
          <w:szCs w:val="21"/>
        </w:rPr>
      </w:pPr>
      <w:bookmarkStart w:id="17" w:name="_Toc513533856"/>
      <w:bookmarkStart w:id="18" w:name="_Toc528678495"/>
      <w:r>
        <w:rPr>
          <w:rFonts w:ascii="黑体" w:eastAsia="黑体" w:hAnsi="黑体"/>
          <w:b w:val="0"/>
          <w:sz w:val="21"/>
          <w:szCs w:val="21"/>
        </w:rPr>
        <w:t>6.3  机械设备整修</w:t>
      </w:r>
      <w:bookmarkEnd w:id="17"/>
      <w:bookmarkEnd w:id="18"/>
    </w:p>
    <w:p>
      <w:pPr>
        <w:autoSpaceDE w:val="0"/>
        <w:autoSpaceDN w:val="0"/>
        <w:spacing w:after="160" w:line="440" w:lineRule="exact"/>
        <w:jc w:val="left"/>
        <w:rPr>
          <w:rFonts w:ascii="黑体" w:eastAsia="黑体" w:hAnsi="黑体"/>
        </w:rPr>
      </w:pPr>
      <w:r>
        <w:rPr>
          <w:rFonts w:ascii="黑体" w:eastAsia="黑体" w:hAnsi="黑体"/>
        </w:rPr>
        <w:t>6.3.1</w:t>
      </w:r>
      <w:r>
        <w:rPr>
          <w:rFonts w:ascii="宋体" w:hAnsi="宋体"/>
        </w:rPr>
        <w:t>设备的整修应以单体设备为单元进行，整修质量符合设计文件的规定。</w:t>
      </w:r>
    </w:p>
    <w:p>
      <w:pPr>
        <w:autoSpaceDE w:val="0"/>
        <w:autoSpaceDN w:val="0"/>
        <w:spacing w:after="160" w:line="440" w:lineRule="exact"/>
        <w:jc w:val="left"/>
        <w:rPr>
          <w:rFonts w:ascii="宋体" w:hAnsi="宋体"/>
          <w:sz w:val="28"/>
          <w:szCs w:val="28"/>
        </w:rPr>
      </w:pPr>
      <w:r>
        <w:rPr>
          <w:rFonts w:ascii="黑体" w:eastAsia="黑体" w:hAnsi="黑体"/>
        </w:rPr>
        <w:t>6.3.2</w:t>
      </w:r>
      <w:r>
        <w:rPr>
          <w:rFonts w:ascii="宋体" w:hAnsi="宋体"/>
        </w:rPr>
        <w:t>现场清理除锈方法宜采用手工、动力、喷射、喷淋以及其它不损伤设备的方法；除锈后，涂漆表面的质量等级应达到St2级或Sa2级，机加工表面的质量等级应达到St3级或Sa2.5级</w:t>
      </w:r>
      <w:r>
        <w:rPr>
          <w:rFonts w:ascii="宋体" w:hAnsi="宋体" w:hint="eastAsia"/>
        </w:rPr>
        <w:t>.</w:t>
      </w:r>
    </w:p>
    <w:p>
      <w:pPr>
        <w:autoSpaceDE w:val="0"/>
        <w:autoSpaceDN w:val="0"/>
        <w:spacing w:after="160" w:line="440" w:lineRule="exact"/>
        <w:jc w:val="left"/>
        <w:rPr>
          <w:rFonts w:ascii="宋体" w:hAnsi="宋体"/>
        </w:rPr>
      </w:pPr>
      <w:r>
        <w:rPr>
          <w:rFonts w:ascii="黑体" w:eastAsia="黑体" w:hAnsi="黑体"/>
        </w:rPr>
        <w:t>6.3.</w:t>
      </w:r>
      <w:r>
        <w:rPr>
          <w:rFonts w:ascii="黑体" w:eastAsia="黑体" w:hAnsi="黑体" w:hint="eastAsia"/>
        </w:rPr>
        <w:t>3</w:t>
      </w:r>
      <w:r>
        <w:rPr>
          <w:rFonts w:ascii="黑体" w:eastAsia="黑体" w:hAnsi="黑体"/>
        </w:rPr>
        <w:t xml:space="preserve"> </w:t>
      </w:r>
      <w:r>
        <w:rPr>
          <w:rFonts w:ascii="宋体" w:hAnsi="宋体"/>
          <w:sz w:val="28"/>
          <w:szCs w:val="28"/>
        </w:rPr>
        <w:t xml:space="preserve"> </w:t>
      </w:r>
      <w:r>
        <w:rPr>
          <w:rFonts w:ascii="宋体" w:hAnsi="宋体"/>
        </w:rPr>
        <w:t>机械及流体设备所有接口处均应进行封堵保护，并对流体设备表面进行清理。</w:t>
      </w:r>
    </w:p>
    <w:p>
      <w:pPr>
        <w:autoSpaceDE w:val="0"/>
        <w:autoSpaceDN w:val="0"/>
        <w:spacing w:after="160" w:line="440" w:lineRule="exact"/>
        <w:jc w:val="left"/>
        <w:rPr>
          <w:rFonts w:ascii="宋体" w:hAnsi="宋体"/>
        </w:rPr>
      </w:pPr>
      <w:r>
        <w:rPr>
          <w:rFonts w:ascii="黑体" w:eastAsia="黑体" w:hAnsi="黑体"/>
        </w:rPr>
        <w:t>6.3.</w:t>
      </w:r>
      <w:r>
        <w:rPr>
          <w:rFonts w:ascii="黑体" w:eastAsia="黑体" w:hAnsi="黑体" w:hint="eastAsia"/>
        </w:rPr>
        <w:t>4</w:t>
      </w:r>
      <w:r>
        <w:rPr>
          <w:rFonts w:ascii="宋体" w:hAnsi="宋体"/>
          <w:sz w:val="28"/>
          <w:szCs w:val="28"/>
        </w:rPr>
        <w:t xml:space="preserve">  </w:t>
      </w:r>
      <w:r>
        <w:rPr>
          <w:rFonts w:ascii="宋体" w:hAnsi="宋体"/>
        </w:rPr>
        <w:t>解体的齿轮传动装置，应检测齿顶、齿侧间隙和齿接触面积情况，并做好记录。</w:t>
      </w:r>
    </w:p>
    <w:p>
      <w:pPr>
        <w:autoSpaceDE w:val="0"/>
        <w:autoSpaceDN w:val="0"/>
        <w:spacing w:after="160" w:line="440" w:lineRule="exact"/>
        <w:jc w:val="left"/>
        <w:rPr>
          <w:rFonts w:ascii="宋体" w:hAnsi="宋体"/>
          <w:sz w:val="28"/>
          <w:szCs w:val="28"/>
        </w:rPr>
      </w:pPr>
      <w:r>
        <w:rPr>
          <w:rFonts w:ascii="黑体" w:eastAsia="黑体" w:hAnsi="黑体"/>
        </w:rPr>
        <w:t>6.3.</w:t>
      </w:r>
      <w:r>
        <w:rPr>
          <w:rFonts w:ascii="黑体" w:eastAsia="黑体" w:hAnsi="黑体" w:hint="eastAsia"/>
        </w:rPr>
        <w:t>5</w:t>
      </w:r>
      <w:r>
        <w:rPr>
          <w:rFonts w:ascii="宋体" w:hAnsi="宋体"/>
          <w:sz w:val="28"/>
          <w:szCs w:val="28"/>
        </w:rPr>
        <w:t xml:space="preserve">  </w:t>
      </w:r>
      <w:r>
        <w:rPr>
          <w:rFonts w:ascii="宋体" w:hAnsi="宋体"/>
        </w:rPr>
        <w:t>检查滚动轴承、滑动轴承是否有裂纹、锈蚀等缺陷。滑动轴承检查轴瓦的磨损状况，并测量其顶、测间隙，并做好记录。</w:t>
      </w:r>
    </w:p>
    <w:p>
      <w:pPr>
        <w:autoSpaceDE w:val="0"/>
        <w:autoSpaceDN w:val="0"/>
        <w:spacing w:after="160" w:line="440" w:lineRule="exact"/>
        <w:jc w:val="left"/>
        <w:rPr>
          <w:rFonts w:ascii="宋体" w:hAnsi="宋体"/>
          <w:sz w:val="28"/>
          <w:szCs w:val="28"/>
        </w:rPr>
      </w:pPr>
      <w:r>
        <w:rPr>
          <w:rFonts w:ascii="黑体" w:eastAsia="黑体" w:hAnsi="黑体"/>
        </w:rPr>
        <w:t>6.3.</w:t>
      </w:r>
      <w:r>
        <w:rPr>
          <w:rFonts w:ascii="黑体" w:eastAsia="黑体" w:hAnsi="黑体" w:hint="eastAsia"/>
        </w:rPr>
        <w:t>6</w:t>
      </w:r>
      <w:r>
        <w:rPr>
          <w:rFonts w:ascii="宋体" w:hAnsi="宋体"/>
          <w:sz w:val="28"/>
          <w:szCs w:val="28"/>
        </w:rPr>
        <w:t xml:space="preserve">  </w:t>
      </w:r>
      <w:r>
        <w:rPr>
          <w:rFonts w:ascii="宋体" w:hAnsi="宋体"/>
        </w:rPr>
        <w:t>水泵、风机类设备应检查其各类密封，各润滑点及水、气出入口要保证畅通。整修后进行手动盘车检查，各回转部分应无卡阻。</w:t>
      </w:r>
    </w:p>
    <w:p>
      <w:pPr>
        <w:autoSpaceDE w:val="0"/>
        <w:autoSpaceDN w:val="0"/>
        <w:spacing w:after="160" w:line="440" w:lineRule="exact"/>
        <w:jc w:val="left"/>
        <w:rPr>
          <w:rFonts w:ascii="宋体" w:hAnsi="宋体"/>
        </w:rPr>
      </w:pPr>
      <w:r>
        <w:rPr>
          <w:rFonts w:ascii="黑体" w:eastAsia="黑体" w:hAnsi="黑体"/>
        </w:rPr>
        <w:t>6.3.</w:t>
      </w:r>
      <w:r>
        <w:rPr>
          <w:rFonts w:ascii="黑体" w:eastAsia="黑体" w:hAnsi="黑体" w:hint="eastAsia"/>
        </w:rPr>
        <w:t>7</w:t>
      </w:r>
      <w:r>
        <w:rPr>
          <w:rFonts w:ascii="宋体" w:hAnsi="宋体"/>
          <w:sz w:val="28"/>
          <w:szCs w:val="28"/>
        </w:rPr>
        <w:t xml:space="preserve">  </w:t>
      </w:r>
      <w:r>
        <w:rPr>
          <w:rFonts w:ascii="宋体" w:hAnsi="宋体"/>
        </w:rPr>
        <w:t>行车应检查其运行机构，测试其动作的灵敏性，并检查各接口的原紧固件、连接件的缺损情况。断在机体内的残余螺栓、销轴应取出，修复原螺栓孔或销轴孔。</w:t>
      </w:r>
    </w:p>
    <w:p>
      <w:pPr>
        <w:autoSpaceDE w:val="0"/>
        <w:autoSpaceDN w:val="0"/>
        <w:spacing w:after="160" w:line="440" w:lineRule="exact"/>
        <w:jc w:val="left"/>
        <w:rPr>
          <w:rFonts w:ascii="宋体" w:hAnsi="宋体"/>
        </w:rPr>
      </w:pPr>
      <w:r>
        <w:rPr>
          <w:rFonts w:ascii="黑体" w:eastAsia="黑体" w:hAnsi="黑体"/>
        </w:rPr>
        <w:t>6.3.</w:t>
      </w:r>
      <w:r>
        <w:rPr>
          <w:rFonts w:ascii="黑体" w:eastAsia="黑体" w:hAnsi="黑体" w:hint="eastAsia"/>
        </w:rPr>
        <w:t xml:space="preserve">8 </w:t>
      </w:r>
      <w:r>
        <w:rPr>
          <w:rFonts w:ascii="宋体" w:hAnsi="宋体"/>
        </w:rPr>
        <w:t>对锈蚀严重的介质管道，应重新按图纸要求进行除锈刷漆。</w:t>
      </w:r>
    </w:p>
    <w:p>
      <w:pPr>
        <w:autoSpaceDE w:val="0"/>
        <w:autoSpaceDN w:val="0"/>
        <w:spacing w:after="160" w:line="440" w:lineRule="exact"/>
        <w:jc w:val="left"/>
        <w:rPr>
          <w:rFonts w:ascii="宋体" w:hAnsi="宋体"/>
        </w:rPr>
      </w:pPr>
      <w:r>
        <w:rPr>
          <w:rFonts w:ascii="黑体" w:eastAsia="黑体" w:hAnsi="黑体"/>
        </w:rPr>
        <w:t>6.3.</w:t>
      </w:r>
      <w:r>
        <w:rPr>
          <w:rFonts w:ascii="黑体" w:eastAsia="黑体" w:hAnsi="黑体" w:hint="eastAsia"/>
        </w:rPr>
        <w:t>9</w:t>
      </w:r>
      <w:r>
        <w:rPr>
          <w:rFonts w:ascii="宋体" w:hAnsi="宋体"/>
          <w:sz w:val="28"/>
          <w:szCs w:val="28"/>
        </w:rPr>
        <w:t xml:space="preserve"> </w:t>
      </w:r>
      <w:r>
        <w:rPr>
          <w:rFonts w:ascii="宋体" w:hAnsi="宋体"/>
        </w:rPr>
        <w:t>干燥、潮湿环境下设备整修应</w:t>
      </w:r>
      <w:r>
        <w:rPr>
          <w:rFonts w:ascii="宋体" w:hAnsi="宋体" w:hint="eastAsia"/>
        </w:rPr>
        <w:t>进行</w:t>
      </w:r>
      <w:r>
        <w:rPr>
          <w:rFonts w:ascii="宋体" w:hAnsi="宋体"/>
        </w:rPr>
        <w:t>清理、除锈、</w:t>
      </w:r>
      <w:r>
        <w:rPr>
          <w:rFonts w:ascii="宋体" w:hAnsi="宋体" w:hint="eastAsia"/>
        </w:rPr>
        <w:t>涂油、涂漆及保护。</w:t>
      </w:r>
    </w:p>
    <w:p>
      <w:pPr>
        <w:autoSpaceDE w:val="0"/>
        <w:autoSpaceDN w:val="0"/>
        <w:spacing w:after="160" w:line="440" w:lineRule="exact"/>
        <w:jc w:val="left"/>
        <w:rPr>
          <w:rFonts w:ascii="宋体" w:hAnsi="宋体"/>
        </w:rPr>
      </w:pPr>
      <w:r>
        <w:rPr>
          <w:rFonts w:ascii="黑体" w:eastAsia="黑体" w:hAnsi="黑体"/>
        </w:rPr>
        <w:t>6.3.1</w:t>
      </w:r>
      <w:r>
        <w:rPr>
          <w:rFonts w:ascii="黑体" w:eastAsia="黑体" w:hAnsi="黑体" w:hint="eastAsia"/>
        </w:rPr>
        <w:t>0</w:t>
      </w:r>
      <w:r>
        <w:rPr>
          <w:rFonts w:ascii="宋体" w:hAnsi="宋体"/>
          <w:sz w:val="28"/>
          <w:szCs w:val="28"/>
        </w:rPr>
        <w:t xml:space="preserve">  </w:t>
      </w:r>
      <w:r>
        <w:rPr>
          <w:rFonts w:ascii="宋体" w:hAnsi="宋体"/>
        </w:rPr>
        <w:t>专业整修应由建设单位和设计单位根据设备状态，拟定专业整修任务书，由专业厂家实施。</w:t>
      </w:r>
    </w:p>
    <w:p>
      <w:pPr>
        <w:pStyle w:val="Heading2"/>
        <w:spacing w:before="260" w:after="260" w:line="415" w:lineRule="auto"/>
        <w:jc w:val="center"/>
        <w:rPr>
          <w:rFonts w:ascii="黑体" w:eastAsia="黑体" w:hAnsi="黑体"/>
          <w:b w:val="0"/>
          <w:sz w:val="21"/>
          <w:szCs w:val="21"/>
        </w:rPr>
      </w:pPr>
      <w:bookmarkStart w:id="19" w:name="_Toc513533857"/>
      <w:bookmarkStart w:id="20" w:name="_Toc528678496"/>
      <w:r>
        <w:rPr>
          <w:rFonts w:ascii="黑体" w:eastAsia="黑体" w:hAnsi="黑体"/>
          <w:b w:val="0"/>
          <w:sz w:val="21"/>
          <w:szCs w:val="21"/>
        </w:rPr>
        <w:t>6.4  机械设备安装</w:t>
      </w:r>
      <w:bookmarkEnd w:id="19"/>
      <w:bookmarkEnd w:id="20"/>
    </w:p>
    <w:p>
      <w:pPr>
        <w:autoSpaceDE w:val="0"/>
        <w:autoSpaceDN w:val="0"/>
        <w:spacing w:after="160" w:line="440" w:lineRule="exact"/>
        <w:jc w:val="left"/>
        <w:rPr>
          <w:rFonts w:ascii="宋体" w:hAnsi="宋体"/>
        </w:rPr>
      </w:pPr>
      <w:r>
        <w:rPr>
          <w:rFonts w:ascii="黑体" w:eastAsia="黑体" w:hAnsi="黑体"/>
        </w:rPr>
        <w:t xml:space="preserve">6.4.1 </w:t>
      </w:r>
      <w:r>
        <w:rPr>
          <w:rFonts w:ascii="宋体" w:hAnsi="宋体"/>
          <w:sz w:val="28"/>
          <w:szCs w:val="28"/>
        </w:rPr>
        <w:t xml:space="preserve"> </w:t>
      </w:r>
      <w:r>
        <w:rPr>
          <w:rFonts w:ascii="宋体" w:hAnsi="宋体"/>
        </w:rPr>
        <w:t>利旧机械设备的安装质量应执行现行相关国家验收标准。</w:t>
      </w:r>
    </w:p>
    <w:p>
      <w:pPr>
        <w:autoSpaceDE w:val="0"/>
        <w:autoSpaceDN w:val="0"/>
        <w:spacing w:after="160" w:line="440" w:lineRule="exact"/>
        <w:jc w:val="left"/>
        <w:rPr>
          <w:rFonts w:ascii="宋体" w:hAnsi="宋体"/>
        </w:rPr>
        <w:sectPr>
          <w:footerReference w:type="default" r:id="rId41"/>
          <w:type w:val="nextPage"/>
          <w:pgSz w:w="11906" w:h="16838"/>
          <w:pgMar w:top="1440" w:right="1800" w:bottom="1440" w:left="1800" w:header="851" w:footer="992" w:gutter="0"/>
          <w:pgNumType w:start="18"/>
          <w:cols w:num="1" w:space="720"/>
          <w:titlePg w:val="0"/>
          <w:docGrid w:type="lines" w:linePitch="312" w:charSpace="0"/>
        </w:sectPr>
      </w:pPr>
      <w:r>
        <w:rPr>
          <w:rFonts w:ascii="黑体" w:eastAsia="黑体" w:hAnsi="黑体" w:hint="eastAsia"/>
        </w:rPr>
        <w:t xml:space="preserve">6.4.2 </w:t>
      </w:r>
      <w:r>
        <w:rPr>
          <w:rFonts w:ascii="宋体" w:hAnsi="宋体" w:hint="eastAsia"/>
        </w:rPr>
        <w:t xml:space="preserve"> 轧机设备、剪切机、开卷机及卷取机、矫直机、焊机及加热炉等核心设备安装验收标准执行《轧机机械设备工程安装验收规范》GB50386和《机械设备安装工程施工及验收通用规范》GB50231</w:t>
      </w:r>
      <w:r>
        <w:rPr>
          <w:rFonts w:ascii="宋体" w:hAnsi="宋体"/>
        </w:rPr>
        <w:t>。</w:t>
      </w:r>
    </w:p>
    <w:p>
      <w:pPr>
        <w:autoSpaceDE w:val="0"/>
        <w:autoSpaceDN w:val="0"/>
        <w:spacing w:after="160" w:line="440" w:lineRule="exact"/>
        <w:jc w:val="left"/>
        <w:rPr>
          <w:rFonts w:ascii="宋体" w:hAnsi="宋体"/>
        </w:rPr>
      </w:pPr>
      <w:r>
        <w:rPr>
          <w:rFonts w:ascii="黑体" w:eastAsia="黑体" w:hAnsi="黑体" w:hint="eastAsia"/>
        </w:rPr>
        <w:t>6.4.</w:t>
      </w:r>
      <w:r>
        <w:rPr>
          <w:rFonts w:ascii="黑体" w:eastAsia="黑体" w:hAnsi="黑体"/>
        </w:rPr>
        <w:t xml:space="preserve"> </w:t>
      </w:r>
      <w:r>
        <w:rPr>
          <w:rFonts w:ascii="黑体" w:eastAsia="黑体" w:hAnsi="黑体" w:hint="eastAsia"/>
        </w:rPr>
        <w:t xml:space="preserve">3  </w:t>
      </w:r>
      <w:r>
        <w:rPr>
          <w:rFonts w:ascii="宋体" w:hAnsi="宋体" w:hint="eastAsia"/>
        </w:rPr>
        <w:t>辊道、运输设备、移送和翻转设备、活套及辅助设备安装验收标准原则上执行GB50386《轧机机械设备工程安装验收规范》和《机械设备安装工程施工及验收通用规范》GB50231</w:t>
      </w:r>
      <w:r>
        <w:rPr>
          <w:rFonts w:ascii="宋体" w:hAnsi="宋体"/>
        </w:rPr>
        <w:t>。因利旧设备的自身缺陷，无法达到现行国家验收标准的，由建设单位组织设计单位、监理单位及施工单位一事一议，可在满足设备功能的前提下，适当放宽验收标准。</w:t>
      </w:r>
    </w:p>
    <w:p>
      <w:pPr>
        <w:autoSpaceDE w:val="0"/>
        <w:autoSpaceDN w:val="0"/>
        <w:spacing w:after="160" w:line="440" w:lineRule="exact"/>
        <w:jc w:val="left"/>
        <w:rPr>
          <w:rFonts w:ascii="宋体" w:hAnsi="宋体"/>
        </w:rPr>
      </w:pPr>
      <w:r>
        <w:rPr>
          <w:rFonts w:ascii="宋体" w:hAnsi="宋体" w:hint="eastAsia"/>
        </w:rPr>
        <w:t>6.4.4辊道由于长期使用磨损，无法通过辊子表面检测其水平度、标高及中心线测量，因此结合现场实际经验，通过测量轴承座加工面的水平、标高及中心线进行代替；同时辊子平行度一组辊道只做端部两根辊道。安装允许偏差应符合表6.4.4的规定</w:t>
      </w:r>
    </w:p>
    <w:p>
      <w:pPr>
        <w:snapToGrid w:val="0"/>
        <w:spacing w:before="94" w:beforeLines="30" w:after="47" w:afterLines="15" w:line="300" w:lineRule="auto"/>
        <w:jc w:val="center"/>
        <w:rPr>
          <w:rFonts w:ascii="宋体" w:hAnsi="宋体"/>
        </w:rPr>
      </w:pPr>
      <w:r>
        <w:rPr>
          <w:rFonts w:ascii="宋体" w:hAnsi="宋体" w:hint="eastAsia"/>
        </w:rPr>
        <w:t xml:space="preserve">表6.4.4　集中传动辊道安装允许偏差          </w:t>
      </w:r>
    </w:p>
    <w:tbl>
      <w:tblPr>
        <w:tblStyle w:val="TableNormal"/>
        <w:tblW w:w="814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33"/>
        <w:gridCol w:w="945"/>
        <w:gridCol w:w="1984"/>
        <w:gridCol w:w="1418"/>
        <w:gridCol w:w="1417"/>
        <w:gridCol w:w="1843"/>
      </w:tblGrid>
      <w:tr>
        <w:tblPrEx>
          <w:tblW w:w="814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284"/>
          <w:jc w:val="center"/>
        </w:trPr>
        <w:tc>
          <w:tcPr>
            <w:tcW w:w="533" w:type="dxa"/>
            <w:vMerge w:val="restart"/>
            <w:vAlign w:val="center"/>
          </w:tcPr>
          <w:p>
            <w:pPr>
              <w:ind w:left="40" w:right="-84" w:hanging="118" w:leftChars="-37" w:rightChars="-40" w:hangingChars="56"/>
              <w:jc w:val="center"/>
              <w:rPr>
                <w:rFonts w:ascii="宋体" w:hAnsi="宋体"/>
              </w:rPr>
            </w:pPr>
            <w:r>
              <w:rPr>
                <w:rFonts w:ascii="宋体" w:hAnsi="宋体" w:hint="eastAsia"/>
              </w:rPr>
              <w:t>项次</w:t>
            </w:r>
          </w:p>
        </w:tc>
        <w:tc>
          <w:tcPr>
            <w:tcW w:w="2929" w:type="dxa"/>
            <w:gridSpan w:val="2"/>
            <w:vMerge w:val="restart"/>
            <w:vAlign w:val="center"/>
          </w:tcPr>
          <w:p>
            <w:pPr>
              <w:jc w:val="center"/>
              <w:rPr>
                <w:rFonts w:ascii="宋体" w:hAnsi="宋体"/>
              </w:rPr>
            </w:pPr>
            <w:r>
              <w:rPr>
                <w:rFonts w:ascii="宋体" w:hAnsi="宋体" w:hint="eastAsia"/>
              </w:rPr>
              <w:t>项       目</w:t>
            </w:r>
          </w:p>
        </w:tc>
        <w:tc>
          <w:tcPr>
            <w:tcW w:w="2835" w:type="dxa"/>
            <w:gridSpan w:val="2"/>
            <w:vAlign w:val="center"/>
          </w:tcPr>
          <w:p>
            <w:pPr>
              <w:jc w:val="center"/>
              <w:rPr>
                <w:rFonts w:ascii="宋体" w:hAnsi="宋体"/>
              </w:rPr>
            </w:pPr>
            <w:r>
              <w:rPr>
                <w:rFonts w:ascii="宋体" w:hAnsi="宋体" w:hint="eastAsia"/>
              </w:rPr>
              <w:t>允许偏差（mm）</w:t>
            </w:r>
          </w:p>
        </w:tc>
        <w:tc>
          <w:tcPr>
            <w:tcW w:w="1843" w:type="dxa"/>
            <w:vMerge w:val="restart"/>
            <w:vAlign w:val="center"/>
          </w:tcPr>
          <w:p>
            <w:pPr>
              <w:jc w:val="center"/>
              <w:rPr>
                <w:rFonts w:ascii="宋体" w:hAnsi="宋体"/>
              </w:rPr>
            </w:pPr>
            <w:r>
              <w:rPr>
                <w:rFonts w:ascii="宋体" w:hAnsi="宋体" w:hint="eastAsia"/>
              </w:rPr>
              <w:t>检 验 方 法</w:t>
            </w:r>
          </w:p>
        </w:tc>
      </w:tr>
      <w:tr>
        <w:tblPrEx>
          <w:tblW w:w="8140" w:type="dxa"/>
          <w:jc w:val="center"/>
          <w:tblLayout w:type="fixed"/>
          <w:tblCellMar>
            <w:top w:w="0" w:type="dxa"/>
            <w:left w:w="108" w:type="dxa"/>
            <w:bottom w:w="0" w:type="dxa"/>
            <w:right w:w="108" w:type="dxa"/>
          </w:tblCellMar>
        </w:tblPrEx>
        <w:trPr>
          <w:trHeight w:val="284"/>
          <w:jc w:val="center"/>
        </w:trPr>
        <w:tc>
          <w:tcPr>
            <w:tcW w:w="533" w:type="dxa"/>
            <w:vMerge/>
          </w:tcPr>
          <w:p>
            <w:pPr>
              <w:rPr>
                <w:rFonts w:ascii="宋体" w:hAnsi="宋体"/>
              </w:rPr>
            </w:pPr>
          </w:p>
        </w:tc>
        <w:tc>
          <w:tcPr>
            <w:tcW w:w="2929" w:type="dxa"/>
            <w:gridSpan w:val="2"/>
            <w:vMerge/>
          </w:tcPr>
          <w:p>
            <w:pPr>
              <w:rPr>
                <w:rFonts w:ascii="宋体" w:hAnsi="宋体"/>
              </w:rPr>
            </w:pPr>
          </w:p>
        </w:tc>
        <w:tc>
          <w:tcPr>
            <w:tcW w:w="1418" w:type="dxa"/>
            <w:vAlign w:val="center"/>
          </w:tcPr>
          <w:p>
            <w:pPr>
              <w:jc w:val="center"/>
              <w:rPr>
                <w:rFonts w:ascii="宋体" w:hAnsi="宋体"/>
              </w:rPr>
            </w:pPr>
            <w:r>
              <w:rPr>
                <w:rFonts w:ascii="宋体" w:hAnsi="宋体" w:hint="eastAsia"/>
              </w:rPr>
              <w:t>Ⅰ级</w:t>
            </w:r>
          </w:p>
        </w:tc>
        <w:tc>
          <w:tcPr>
            <w:tcW w:w="1417" w:type="dxa"/>
            <w:vAlign w:val="center"/>
          </w:tcPr>
          <w:p>
            <w:pPr>
              <w:jc w:val="center"/>
              <w:rPr>
                <w:rFonts w:ascii="宋体" w:hAnsi="宋体"/>
              </w:rPr>
            </w:pPr>
            <w:r>
              <w:rPr>
                <w:rFonts w:ascii="宋体" w:hAnsi="宋体" w:hint="eastAsia"/>
              </w:rPr>
              <w:t>Ⅱ级</w:t>
            </w:r>
          </w:p>
        </w:tc>
        <w:tc>
          <w:tcPr>
            <w:tcW w:w="1843" w:type="dxa"/>
            <w:vMerge/>
          </w:tcPr>
          <w:p>
            <w:pPr>
              <w:rPr>
                <w:rFonts w:ascii="宋体" w:hAnsi="宋体"/>
              </w:rPr>
            </w:pPr>
          </w:p>
        </w:tc>
      </w:tr>
      <w:tr>
        <w:tblPrEx>
          <w:tblW w:w="8140" w:type="dxa"/>
          <w:jc w:val="center"/>
          <w:tblLayout w:type="fixed"/>
          <w:tblCellMar>
            <w:top w:w="0" w:type="dxa"/>
            <w:left w:w="108" w:type="dxa"/>
            <w:bottom w:w="0" w:type="dxa"/>
            <w:right w:w="108" w:type="dxa"/>
          </w:tblCellMar>
        </w:tblPrEx>
        <w:trPr>
          <w:trHeight w:val="284"/>
          <w:jc w:val="center"/>
        </w:trPr>
        <w:tc>
          <w:tcPr>
            <w:tcW w:w="533" w:type="dxa"/>
            <w:vMerge w:val="restart"/>
            <w:vAlign w:val="center"/>
          </w:tcPr>
          <w:p>
            <w:pPr>
              <w:jc w:val="center"/>
              <w:rPr>
                <w:rFonts w:ascii="宋体" w:hAnsi="宋体"/>
              </w:rPr>
            </w:pPr>
            <w:r>
              <w:rPr>
                <w:rFonts w:ascii="宋体" w:hAnsi="宋体" w:hint="eastAsia"/>
              </w:rPr>
              <w:t>1</w:t>
            </w:r>
          </w:p>
        </w:tc>
        <w:tc>
          <w:tcPr>
            <w:tcW w:w="945" w:type="dxa"/>
            <w:vMerge w:val="restart"/>
            <w:vAlign w:val="center"/>
          </w:tcPr>
          <w:p>
            <w:pPr>
              <w:snapToGrid w:val="0"/>
              <w:ind w:left="2" w:hanging="6" w:leftChars="-2" w:hangingChars="3"/>
              <w:rPr>
                <w:rFonts w:ascii="宋体" w:hAnsi="宋体"/>
              </w:rPr>
            </w:pPr>
            <w:r>
              <w:rPr>
                <w:rFonts w:ascii="宋体" w:hAnsi="宋体" w:hint="eastAsia"/>
              </w:rPr>
              <w:t>中心线</w:t>
            </w:r>
          </w:p>
        </w:tc>
        <w:tc>
          <w:tcPr>
            <w:tcW w:w="1984" w:type="dxa"/>
            <w:vAlign w:val="center"/>
          </w:tcPr>
          <w:p>
            <w:pPr>
              <w:snapToGrid w:val="0"/>
              <w:ind w:left="2" w:hanging="6" w:leftChars="-2" w:hangingChars="3"/>
              <w:rPr>
                <w:rFonts w:ascii="宋体" w:hAnsi="宋体"/>
              </w:rPr>
            </w:pPr>
            <w:r>
              <w:rPr>
                <w:rFonts w:ascii="宋体" w:hAnsi="宋体" w:hint="eastAsia"/>
              </w:rPr>
              <w:t>根据中心线安装</w:t>
            </w:r>
          </w:p>
        </w:tc>
        <w:tc>
          <w:tcPr>
            <w:tcW w:w="1418" w:type="dxa"/>
            <w:vAlign w:val="center"/>
          </w:tcPr>
          <w:p>
            <w:pPr>
              <w:jc w:val="center"/>
              <w:rPr>
                <w:rFonts w:ascii="宋体" w:hAnsi="宋体"/>
              </w:rPr>
            </w:pPr>
            <w:r>
              <w:rPr>
                <w:rFonts w:ascii="宋体" w:hAnsi="宋体" w:hint="eastAsia"/>
              </w:rPr>
              <w:t xml:space="preserve">1.0 </w:t>
            </w:r>
          </w:p>
        </w:tc>
        <w:tc>
          <w:tcPr>
            <w:tcW w:w="1417" w:type="dxa"/>
            <w:vAlign w:val="center"/>
          </w:tcPr>
          <w:p>
            <w:pPr>
              <w:jc w:val="center"/>
              <w:rPr>
                <w:rFonts w:ascii="宋体" w:hAnsi="宋体"/>
              </w:rPr>
            </w:pPr>
            <w:r>
              <w:rPr>
                <w:rFonts w:ascii="宋体" w:hAnsi="宋体" w:hint="eastAsia"/>
              </w:rPr>
              <w:t xml:space="preserve">1.5 </w:t>
            </w:r>
          </w:p>
        </w:tc>
        <w:tc>
          <w:tcPr>
            <w:tcW w:w="1843" w:type="dxa"/>
            <w:vMerge w:val="restart"/>
            <w:vAlign w:val="center"/>
          </w:tcPr>
          <w:p>
            <w:pPr>
              <w:snapToGrid w:val="0"/>
              <w:ind w:left="2" w:hanging="6" w:leftChars="-2" w:hangingChars="3"/>
              <w:rPr>
                <w:rFonts w:ascii="宋体" w:hAnsi="宋体"/>
              </w:rPr>
            </w:pPr>
            <w:r>
              <w:rPr>
                <w:rFonts w:ascii="宋体" w:hAnsi="宋体" w:hint="eastAsia"/>
              </w:rPr>
              <w:t>拉钢丝线、吊线锤、用钢尺检查</w:t>
            </w:r>
          </w:p>
          <w:p>
            <w:pPr>
              <w:snapToGrid w:val="0"/>
              <w:ind w:left="2" w:hanging="6" w:leftChars="-2" w:hangingChars="3"/>
              <w:rPr>
                <w:rFonts w:ascii="宋体" w:hAnsi="宋体"/>
              </w:rPr>
            </w:pPr>
          </w:p>
        </w:tc>
      </w:tr>
      <w:tr>
        <w:tblPrEx>
          <w:tblW w:w="8140" w:type="dxa"/>
          <w:jc w:val="center"/>
          <w:tblLayout w:type="fixed"/>
          <w:tblCellMar>
            <w:top w:w="0" w:type="dxa"/>
            <w:left w:w="108" w:type="dxa"/>
            <w:bottom w:w="0" w:type="dxa"/>
            <w:right w:w="108" w:type="dxa"/>
          </w:tblCellMar>
        </w:tblPrEx>
        <w:trPr>
          <w:trHeight w:val="284"/>
          <w:jc w:val="center"/>
        </w:trPr>
        <w:tc>
          <w:tcPr>
            <w:tcW w:w="533" w:type="dxa"/>
            <w:vMerge/>
            <w:vAlign w:val="center"/>
          </w:tcPr>
          <w:p>
            <w:pPr>
              <w:jc w:val="center"/>
              <w:rPr>
                <w:rFonts w:ascii="宋体" w:hAnsi="宋体"/>
              </w:rPr>
            </w:pPr>
          </w:p>
        </w:tc>
        <w:tc>
          <w:tcPr>
            <w:tcW w:w="945" w:type="dxa"/>
            <w:vMerge/>
            <w:vAlign w:val="center"/>
          </w:tcPr>
          <w:p>
            <w:pPr>
              <w:snapToGrid w:val="0"/>
              <w:ind w:left="2" w:hanging="6" w:leftChars="-2" w:hangingChars="3"/>
              <w:rPr>
                <w:rFonts w:ascii="宋体" w:hAnsi="宋体"/>
              </w:rPr>
            </w:pPr>
          </w:p>
        </w:tc>
        <w:tc>
          <w:tcPr>
            <w:tcW w:w="1984" w:type="dxa"/>
            <w:vAlign w:val="center"/>
          </w:tcPr>
          <w:p>
            <w:pPr>
              <w:snapToGrid w:val="0"/>
              <w:ind w:left="2" w:hanging="6" w:leftChars="-2" w:hangingChars="3"/>
              <w:rPr>
                <w:rFonts w:ascii="宋体" w:hAnsi="宋体"/>
              </w:rPr>
            </w:pPr>
            <w:r>
              <w:rPr>
                <w:rFonts w:ascii="宋体" w:hAnsi="宋体" w:hint="eastAsia"/>
              </w:rPr>
              <w:t>根据已安设备安装</w:t>
            </w:r>
          </w:p>
        </w:tc>
        <w:tc>
          <w:tcPr>
            <w:tcW w:w="1418" w:type="dxa"/>
            <w:vAlign w:val="center"/>
          </w:tcPr>
          <w:p>
            <w:pPr>
              <w:snapToGrid w:val="0"/>
              <w:ind w:left="-2" w:firstLine="21" w:leftChars="-1" w:firstLineChars="10"/>
              <w:jc w:val="center"/>
              <w:rPr>
                <w:rFonts w:ascii="宋体" w:hAnsi="宋体"/>
              </w:rPr>
            </w:pPr>
            <w:r>
              <w:rPr>
                <w:rFonts w:ascii="宋体" w:hAnsi="宋体" w:hint="eastAsia"/>
              </w:rPr>
              <w:t xml:space="preserve">0.5 </w:t>
            </w:r>
          </w:p>
        </w:tc>
        <w:tc>
          <w:tcPr>
            <w:tcW w:w="1417" w:type="dxa"/>
            <w:vAlign w:val="center"/>
          </w:tcPr>
          <w:p>
            <w:pPr>
              <w:jc w:val="center"/>
              <w:rPr>
                <w:rFonts w:ascii="宋体" w:hAnsi="宋体"/>
              </w:rPr>
            </w:pPr>
            <w:r>
              <w:rPr>
                <w:rFonts w:ascii="宋体" w:hAnsi="宋体" w:hint="eastAsia"/>
              </w:rPr>
              <w:t xml:space="preserve">1.0 </w:t>
            </w:r>
          </w:p>
        </w:tc>
        <w:tc>
          <w:tcPr>
            <w:tcW w:w="1843" w:type="dxa"/>
            <w:vMerge/>
            <w:vAlign w:val="center"/>
          </w:tcPr>
          <w:p>
            <w:pPr>
              <w:snapToGrid w:val="0"/>
              <w:ind w:left="2" w:hanging="6" w:leftChars="-2" w:hangingChars="3"/>
              <w:rPr>
                <w:rFonts w:ascii="宋体" w:hAnsi="宋体"/>
              </w:rPr>
            </w:pPr>
          </w:p>
        </w:tc>
      </w:tr>
      <w:tr>
        <w:tblPrEx>
          <w:tblW w:w="8140" w:type="dxa"/>
          <w:jc w:val="center"/>
          <w:tblLayout w:type="fixed"/>
          <w:tblCellMar>
            <w:top w:w="0" w:type="dxa"/>
            <w:left w:w="108" w:type="dxa"/>
            <w:bottom w:w="0" w:type="dxa"/>
            <w:right w:w="108" w:type="dxa"/>
          </w:tblCellMar>
        </w:tblPrEx>
        <w:trPr>
          <w:trHeight w:val="284"/>
          <w:jc w:val="center"/>
        </w:trPr>
        <w:tc>
          <w:tcPr>
            <w:tcW w:w="533" w:type="dxa"/>
            <w:vMerge w:val="restart"/>
            <w:vAlign w:val="center"/>
          </w:tcPr>
          <w:p>
            <w:pPr>
              <w:snapToGrid w:val="0"/>
              <w:jc w:val="center"/>
              <w:rPr>
                <w:rFonts w:ascii="宋体" w:hAnsi="宋体"/>
              </w:rPr>
            </w:pPr>
            <w:r>
              <w:rPr>
                <w:rFonts w:ascii="宋体" w:hAnsi="宋体" w:hint="eastAsia"/>
              </w:rPr>
              <w:t>2</w:t>
            </w:r>
          </w:p>
        </w:tc>
        <w:tc>
          <w:tcPr>
            <w:tcW w:w="945" w:type="dxa"/>
            <w:vMerge w:val="restart"/>
            <w:vAlign w:val="center"/>
          </w:tcPr>
          <w:p>
            <w:pPr>
              <w:snapToGrid w:val="0"/>
              <w:ind w:left="2" w:hanging="6" w:leftChars="-2" w:hangingChars="3"/>
              <w:rPr>
                <w:rFonts w:ascii="宋体" w:hAnsi="宋体"/>
              </w:rPr>
            </w:pPr>
            <w:r>
              <w:rPr>
                <w:rFonts w:ascii="宋体" w:hAnsi="宋体" w:hint="eastAsia"/>
              </w:rPr>
              <w:t>标高</w:t>
            </w:r>
          </w:p>
        </w:tc>
        <w:tc>
          <w:tcPr>
            <w:tcW w:w="1984" w:type="dxa"/>
            <w:vAlign w:val="center"/>
          </w:tcPr>
          <w:p>
            <w:pPr>
              <w:snapToGrid w:val="0"/>
              <w:ind w:left="2" w:hanging="6" w:leftChars="-2" w:hangingChars="3"/>
              <w:rPr>
                <w:rFonts w:ascii="宋体" w:hAnsi="宋体"/>
              </w:rPr>
            </w:pPr>
            <w:r>
              <w:rPr>
                <w:rFonts w:ascii="宋体" w:hAnsi="宋体" w:hint="eastAsia"/>
              </w:rPr>
              <w:t>根据基准点安装</w:t>
            </w:r>
          </w:p>
        </w:tc>
        <w:tc>
          <w:tcPr>
            <w:tcW w:w="1418" w:type="dxa"/>
            <w:vAlign w:val="center"/>
          </w:tcPr>
          <w:p>
            <w:pPr>
              <w:snapToGrid w:val="0"/>
              <w:ind w:left="-2" w:firstLine="21" w:leftChars="-1" w:firstLineChars="10"/>
              <w:jc w:val="center"/>
              <w:rPr>
                <w:rFonts w:ascii="宋体" w:hAnsi="宋体"/>
              </w:rPr>
            </w:pPr>
            <w:r>
              <w:rPr>
                <w:rFonts w:ascii="宋体" w:hAnsi="宋体" w:hint="eastAsia"/>
              </w:rPr>
              <w:t>±0.50</w:t>
            </w:r>
          </w:p>
        </w:tc>
        <w:tc>
          <w:tcPr>
            <w:tcW w:w="1417" w:type="dxa"/>
            <w:vAlign w:val="center"/>
          </w:tcPr>
          <w:p>
            <w:pPr>
              <w:jc w:val="center"/>
              <w:rPr>
                <w:rFonts w:ascii="宋体" w:hAnsi="宋体"/>
              </w:rPr>
            </w:pPr>
            <w:r>
              <w:rPr>
                <w:rFonts w:ascii="宋体" w:hAnsi="宋体" w:hint="eastAsia"/>
              </w:rPr>
              <w:t>±1.00</w:t>
            </w:r>
          </w:p>
        </w:tc>
        <w:tc>
          <w:tcPr>
            <w:tcW w:w="1843" w:type="dxa"/>
            <w:vAlign w:val="center"/>
          </w:tcPr>
          <w:p>
            <w:pPr>
              <w:snapToGrid w:val="0"/>
              <w:ind w:left="2" w:hanging="6" w:leftChars="-2" w:hangingChars="3"/>
              <w:rPr>
                <w:rFonts w:ascii="宋体" w:hAnsi="宋体"/>
              </w:rPr>
            </w:pPr>
            <w:r>
              <w:rPr>
                <w:rFonts w:ascii="宋体" w:hAnsi="宋体" w:hint="eastAsia"/>
              </w:rPr>
              <w:t>用水准仪检查</w:t>
            </w:r>
          </w:p>
        </w:tc>
      </w:tr>
      <w:tr>
        <w:tblPrEx>
          <w:tblW w:w="8140" w:type="dxa"/>
          <w:jc w:val="center"/>
          <w:tblLayout w:type="fixed"/>
          <w:tblCellMar>
            <w:top w:w="0" w:type="dxa"/>
            <w:left w:w="108" w:type="dxa"/>
            <w:bottom w:w="0" w:type="dxa"/>
            <w:right w:w="108" w:type="dxa"/>
          </w:tblCellMar>
        </w:tblPrEx>
        <w:trPr>
          <w:trHeight w:val="284"/>
          <w:jc w:val="center"/>
        </w:trPr>
        <w:tc>
          <w:tcPr>
            <w:tcW w:w="533" w:type="dxa"/>
            <w:vMerge/>
            <w:vAlign w:val="center"/>
          </w:tcPr>
          <w:p>
            <w:pPr>
              <w:snapToGrid w:val="0"/>
              <w:jc w:val="center"/>
              <w:rPr>
                <w:rFonts w:ascii="宋体" w:hAnsi="宋体"/>
              </w:rPr>
            </w:pPr>
          </w:p>
        </w:tc>
        <w:tc>
          <w:tcPr>
            <w:tcW w:w="945" w:type="dxa"/>
            <w:vMerge/>
            <w:vAlign w:val="center"/>
          </w:tcPr>
          <w:p>
            <w:pPr>
              <w:snapToGrid w:val="0"/>
              <w:ind w:left="2" w:hanging="6" w:leftChars="-2" w:hangingChars="3"/>
              <w:rPr>
                <w:rFonts w:ascii="宋体" w:hAnsi="宋体"/>
              </w:rPr>
            </w:pPr>
          </w:p>
        </w:tc>
        <w:tc>
          <w:tcPr>
            <w:tcW w:w="1984" w:type="dxa"/>
            <w:vAlign w:val="center"/>
          </w:tcPr>
          <w:p>
            <w:pPr>
              <w:snapToGrid w:val="0"/>
              <w:ind w:left="2" w:hanging="6" w:leftChars="-2" w:hangingChars="3"/>
              <w:rPr>
                <w:rFonts w:ascii="宋体" w:hAnsi="宋体"/>
              </w:rPr>
            </w:pPr>
            <w:r>
              <w:rPr>
                <w:rFonts w:ascii="宋体" w:hAnsi="宋体" w:hint="eastAsia"/>
              </w:rPr>
              <w:t>根据已安设备安装</w:t>
            </w:r>
          </w:p>
        </w:tc>
        <w:tc>
          <w:tcPr>
            <w:tcW w:w="1418" w:type="dxa"/>
            <w:vAlign w:val="center"/>
          </w:tcPr>
          <w:p>
            <w:pPr>
              <w:snapToGrid w:val="0"/>
              <w:jc w:val="center"/>
              <w:rPr>
                <w:rFonts w:ascii="宋体" w:hAnsi="宋体"/>
              </w:rPr>
            </w:pPr>
            <w:r>
              <w:rPr>
                <w:rFonts w:ascii="宋体" w:hAnsi="宋体" w:hint="eastAsia"/>
              </w:rPr>
              <w:t>±0.25</w:t>
            </w:r>
          </w:p>
        </w:tc>
        <w:tc>
          <w:tcPr>
            <w:tcW w:w="1417" w:type="dxa"/>
            <w:vAlign w:val="center"/>
          </w:tcPr>
          <w:p>
            <w:pPr>
              <w:snapToGrid w:val="0"/>
              <w:jc w:val="center"/>
              <w:rPr>
                <w:rFonts w:ascii="宋体" w:hAnsi="宋体"/>
              </w:rPr>
            </w:pPr>
            <w:r>
              <w:rPr>
                <w:rFonts w:ascii="宋体" w:hAnsi="宋体" w:hint="eastAsia"/>
              </w:rPr>
              <w:t>±0.50</w:t>
            </w:r>
          </w:p>
        </w:tc>
        <w:tc>
          <w:tcPr>
            <w:tcW w:w="1843" w:type="dxa"/>
            <w:vAlign w:val="center"/>
          </w:tcPr>
          <w:p>
            <w:pPr>
              <w:snapToGrid w:val="0"/>
              <w:ind w:left="2" w:hanging="6" w:leftChars="-2" w:hangingChars="3"/>
              <w:rPr>
                <w:rFonts w:ascii="宋体" w:hAnsi="宋体"/>
              </w:rPr>
            </w:pPr>
            <w:r>
              <w:rPr>
                <w:rFonts w:ascii="宋体" w:hAnsi="宋体" w:hint="eastAsia"/>
              </w:rPr>
              <w:t>用水准仪检查</w:t>
            </w:r>
          </w:p>
        </w:tc>
      </w:tr>
      <w:tr>
        <w:tblPrEx>
          <w:tblW w:w="8140" w:type="dxa"/>
          <w:jc w:val="center"/>
          <w:tblLayout w:type="fixed"/>
          <w:tblCellMar>
            <w:top w:w="0" w:type="dxa"/>
            <w:left w:w="108" w:type="dxa"/>
            <w:bottom w:w="0" w:type="dxa"/>
            <w:right w:w="108" w:type="dxa"/>
          </w:tblCellMar>
        </w:tblPrEx>
        <w:trPr>
          <w:trHeight w:val="284"/>
          <w:jc w:val="center"/>
        </w:trPr>
        <w:tc>
          <w:tcPr>
            <w:tcW w:w="533" w:type="dxa"/>
            <w:vAlign w:val="center"/>
          </w:tcPr>
          <w:p>
            <w:pPr>
              <w:jc w:val="center"/>
              <w:rPr>
                <w:rFonts w:ascii="宋体" w:hAnsi="宋体"/>
              </w:rPr>
            </w:pPr>
            <w:r>
              <w:rPr>
                <w:rFonts w:ascii="宋体" w:hAnsi="宋体" w:hint="eastAsia"/>
              </w:rPr>
              <w:t>3</w:t>
            </w:r>
          </w:p>
        </w:tc>
        <w:tc>
          <w:tcPr>
            <w:tcW w:w="2929" w:type="dxa"/>
            <w:gridSpan w:val="2"/>
            <w:vAlign w:val="center"/>
          </w:tcPr>
          <w:p>
            <w:pPr>
              <w:snapToGrid w:val="0"/>
              <w:ind w:left="2" w:hanging="6" w:leftChars="-2" w:hangingChars="3"/>
              <w:rPr>
                <w:rFonts w:ascii="宋体" w:hAnsi="宋体"/>
              </w:rPr>
            </w:pPr>
            <w:r>
              <w:rPr>
                <w:rFonts w:ascii="宋体" w:hAnsi="宋体" w:hint="eastAsia"/>
              </w:rPr>
              <w:t>机架相对辊道纵向中心线的平行度</w:t>
            </w:r>
          </w:p>
        </w:tc>
        <w:tc>
          <w:tcPr>
            <w:tcW w:w="1418" w:type="dxa"/>
            <w:vAlign w:val="center"/>
          </w:tcPr>
          <w:p>
            <w:pPr>
              <w:snapToGrid w:val="0"/>
              <w:ind w:left="68" w:right="-88" w:hanging="139" w:leftChars="-34" w:rightChars="-42" w:hangingChars="66"/>
              <w:jc w:val="center"/>
              <w:rPr>
                <w:rFonts w:ascii="宋体" w:hAnsi="宋体"/>
              </w:rPr>
            </w:pPr>
            <w:r>
              <w:rPr>
                <w:rFonts w:ascii="宋体" w:hAnsi="宋体" w:hint="eastAsia"/>
              </w:rPr>
              <w:t>0.15∕1000</w:t>
            </w:r>
          </w:p>
          <w:p>
            <w:pPr>
              <w:snapToGrid w:val="0"/>
              <w:ind w:left="-92" w:right="-88" w:firstLine="21" w:leftChars="-44" w:rightChars="-42" w:firstLineChars="10"/>
              <w:jc w:val="center"/>
              <w:rPr>
                <w:rFonts w:ascii="宋体" w:hAnsi="宋体"/>
              </w:rPr>
            </w:pPr>
            <w:r>
              <w:rPr>
                <w:rFonts w:ascii="宋体" w:hAnsi="宋体" w:hint="eastAsia"/>
              </w:rPr>
              <w:t>全长不大于0.30</w:t>
            </w:r>
          </w:p>
        </w:tc>
        <w:tc>
          <w:tcPr>
            <w:tcW w:w="1417" w:type="dxa"/>
            <w:vAlign w:val="center"/>
          </w:tcPr>
          <w:p>
            <w:pPr>
              <w:snapToGrid w:val="0"/>
              <w:ind w:left="68" w:right="-88" w:hanging="139" w:leftChars="-34" w:rightChars="-42" w:hangingChars="66"/>
              <w:jc w:val="center"/>
              <w:rPr>
                <w:rFonts w:ascii="宋体" w:hAnsi="宋体"/>
              </w:rPr>
            </w:pPr>
            <w:r>
              <w:rPr>
                <w:rFonts w:ascii="宋体" w:hAnsi="宋体" w:hint="eastAsia"/>
              </w:rPr>
              <w:t>0.20∕1000</w:t>
            </w:r>
          </w:p>
          <w:p>
            <w:pPr>
              <w:snapToGrid w:val="0"/>
              <w:ind w:left="68" w:right="-88" w:hanging="139" w:leftChars="-34" w:rightChars="-42" w:hangingChars="66"/>
              <w:jc w:val="center"/>
              <w:rPr>
                <w:rFonts w:ascii="宋体" w:hAnsi="宋体"/>
              </w:rPr>
            </w:pPr>
            <w:r>
              <w:rPr>
                <w:rFonts w:ascii="宋体" w:hAnsi="宋体" w:hint="eastAsia"/>
              </w:rPr>
              <w:t>全长不大于0.40</w:t>
            </w:r>
          </w:p>
        </w:tc>
        <w:tc>
          <w:tcPr>
            <w:tcW w:w="1843" w:type="dxa"/>
            <w:vAlign w:val="center"/>
          </w:tcPr>
          <w:p>
            <w:pPr>
              <w:rPr>
                <w:rFonts w:ascii="宋体" w:hAnsi="宋体"/>
              </w:rPr>
            </w:pPr>
            <w:r>
              <w:rPr>
                <w:rFonts w:ascii="宋体" w:hAnsi="宋体" w:hint="eastAsia"/>
              </w:rPr>
              <w:t>拉钢丝线、用内径千分尺检查</w:t>
            </w:r>
          </w:p>
        </w:tc>
      </w:tr>
      <w:tr>
        <w:tblPrEx>
          <w:tblW w:w="8140" w:type="dxa"/>
          <w:jc w:val="center"/>
          <w:tblLayout w:type="fixed"/>
          <w:tblCellMar>
            <w:top w:w="0" w:type="dxa"/>
            <w:left w:w="108" w:type="dxa"/>
            <w:bottom w:w="0" w:type="dxa"/>
            <w:right w:w="108" w:type="dxa"/>
          </w:tblCellMar>
        </w:tblPrEx>
        <w:trPr>
          <w:trHeight w:val="284"/>
          <w:jc w:val="center"/>
        </w:trPr>
        <w:tc>
          <w:tcPr>
            <w:tcW w:w="533" w:type="dxa"/>
            <w:vAlign w:val="center"/>
          </w:tcPr>
          <w:p>
            <w:pPr>
              <w:jc w:val="center"/>
              <w:rPr>
                <w:rFonts w:ascii="宋体" w:hAnsi="宋体"/>
              </w:rPr>
            </w:pPr>
            <w:r>
              <w:rPr>
                <w:rFonts w:ascii="宋体" w:hAnsi="宋体" w:hint="eastAsia"/>
              </w:rPr>
              <w:t>4</w:t>
            </w:r>
          </w:p>
        </w:tc>
        <w:tc>
          <w:tcPr>
            <w:tcW w:w="2929" w:type="dxa"/>
            <w:gridSpan w:val="2"/>
            <w:vAlign w:val="center"/>
          </w:tcPr>
          <w:p>
            <w:pPr>
              <w:snapToGrid w:val="0"/>
              <w:ind w:left="2" w:hanging="6" w:leftChars="-2" w:hangingChars="3"/>
              <w:rPr>
                <w:rFonts w:ascii="宋体" w:hAnsi="宋体"/>
              </w:rPr>
            </w:pPr>
            <w:r>
              <w:rPr>
                <w:rFonts w:ascii="宋体" w:hAnsi="宋体" w:hint="eastAsia"/>
              </w:rPr>
              <w:t>基准辊相对机组纵向中心线的垂直度</w:t>
            </w:r>
          </w:p>
        </w:tc>
        <w:tc>
          <w:tcPr>
            <w:tcW w:w="1418" w:type="dxa"/>
            <w:vAlign w:val="center"/>
          </w:tcPr>
          <w:p>
            <w:pPr>
              <w:snapToGrid w:val="0"/>
              <w:ind w:left="68" w:right="-88" w:hanging="139" w:leftChars="-34" w:rightChars="-42" w:hangingChars="66"/>
              <w:jc w:val="center"/>
              <w:rPr>
                <w:rFonts w:ascii="宋体" w:hAnsi="宋体"/>
              </w:rPr>
            </w:pPr>
            <w:r>
              <w:rPr>
                <w:rFonts w:ascii="宋体" w:hAnsi="宋体" w:hint="eastAsia"/>
              </w:rPr>
              <w:t>0.10∕1000</w:t>
            </w:r>
          </w:p>
        </w:tc>
        <w:tc>
          <w:tcPr>
            <w:tcW w:w="1417" w:type="dxa"/>
            <w:vAlign w:val="center"/>
          </w:tcPr>
          <w:p>
            <w:pPr>
              <w:snapToGrid w:val="0"/>
              <w:ind w:left="68" w:right="-88" w:hanging="139" w:leftChars="-34" w:rightChars="-42" w:hangingChars="66"/>
              <w:jc w:val="center"/>
              <w:rPr>
                <w:rFonts w:ascii="宋体" w:hAnsi="宋体"/>
              </w:rPr>
            </w:pPr>
            <w:r>
              <w:rPr>
                <w:rFonts w:ascii="宋体" w:hAnsi="宋体" w:hint="eastAsia"/>
              </w:rPr>
              <w:t>0.15∕1000</w:t>
            </w:r>
          </w:p>
        </w:tc>
        <w:tc>
          <w:tcPr>
            <w:tcW w:w="1843" w:type="dxa"/>
            <w:vAlign w:val="center"/>
          </w:tcPr>
          <w:p>
            <w:pPr>
              <w:snapToGrid w:val="0"/>
              <w:ind w:left="2" w:hanging="6" w:leftChars="-2" w:hangingChars="3"/>
              <w:rPr>
                <w:rFonts w:ascii="宋体" w:hAnsi="宋体"/>
              </w:rPr>
            </w:pPr>
            <w:r>
              <w:rPr>
                <w:rFonts w:ascii="宋体" w:hAnsi="宋体" w:hint="eastAsia"/>
              </w:rPr>
              <w:t>拉钢丝线、用摇臂、内径千分尺检查</w:t>
            </w:r>
          </w:p>
        </w:tc>
      </w:tr>
      <w:tr>
        <w:tblPrEx>
          <w:tblW w:w="8140" w:type="dxa"/>
          <w:jc w:val="center"/>
          <w:tblLayout w:type="fixed"/>
          <w:tblCellMar>
            <w:top w:w="0" w:type="dxa"/>
            <w:left w:w="108" w:type="dxa"/>
            <w:bottom w:w="0" w:type="dxa"/>
            <w:right w:w="108" w:type="dxa"/>
          </w:tblCellMar>
        </w:tblPrEx>
        <w:trPr>
          <w:trHeight w:val="284"/>
          <w:jc w:val="center"/>
        </w:trPr>
        <w:tc>
          <w:tcPr>
            <w:tcW w:w="533" w:type="dxa"/>
            <w:vAlign w:val="center"/>
          </w:tcPr>
          <w:p>
            <w:pPr>
              <w:jc w:val="center"/>
              <w:rPr>
                <w:rFonts w:ascii="宋体" w:hAnsi="宋体"/>
              </w:rPr>
            </w:pPr>
            <w:r>
              <w:rPr>
                <w:rFonts w:ascii="宋体" w:hAnsi="宋体" w:hint="eastAsia"/>
              </w:rPr>
              <w:t>5</w:t>
            </w:r>
          </w:p>
        </w:tc>
        <w:tc>
          <w:tcPr>
            <w:tcW w:w="2929" w:type="dxa"/>
            <w:gridSpan w:val="2"/>
            <w:vAlign w:val="center"/>
          </w:tcPr>
          <w:p>
            <w:pPr>
              <w:snapToGrid w:val="0"/>
              <w:ind w:left="2" w:hanging="6" w:leftChars="-2" w:hangingChars="3"/>
              <w:rPr>
                <w:rFonts w:ascii="宋体" w:hAnsi="宋体"/>
              </w:rPr>
            </w:pPr>
            <w:r>
              <w:rPr>
                <w:rFonts w:ascii="宋体" w:hAnsi="宋体" w:hint="eastAsia"/>
              </w:rPr>
              <w:t>首尾两辊子（含组与组间）的平行度</w:t>
            </w:r>
          </w:p>
        </w:tc>
        <w:tc>
          <w:tcPr>
            <w:tcW w:w="1418" w:type="dxa"/>
            <w:vAlign w:val="center"/>
          </w:tcPr>
          <w:p>
            <w:pPr>
              <w:snapToGrid w:val="0"/>
              <w:ind w:left="68" w:right="-88" w:hanging="139" w:leftChars="-34" w:rightChars="-42" w:hangingChars="66"/>
              <w:jc w:val="center"/>
              <w:rPr>
                <w:rFonts w:ascii="宋体" w:hAnsi="宋体"/>
              </w:rPr>
            </w:pPr>
            <w:r>
              <w:rPr>
                <w:rFonts w:ascii="宋体" w:hAnsi="宋体" w:hint="eastAsia"/>
              </w:rPr>
              <w:t>0.30∕1000</w:t>
            </w:r>
          </w:p>
        </w:tc>
        <w:tc>
          <w:tcPr>
            <w:tcW w:w="1417" w:type="dxa"/>
            <w:vAlign w:val="center"/>
          </w:tcPr>
          <w:p>
            <w:pPr>
              <w:snapToGrid w:val="0"/>
              <w:ind w:left="68" w:right="-88" w:hanging="139" w:leftChars="-34" w:rightChars="-42" w:hangingChars="66"/>
              <w:jc w:val="center"/>
              <w:rPr>
                <w:rFonts w:ascii="宋体" w:hAnsi="宋体"/>
              </w:rPr>
            </w:pPr>
            <w:r>
              <w:rPr>
                <w:rFonts w:ascii="宋体" w:hAnsi="宋体" w:hint="eastAsia"/>
              </w:rPr>
              <w:t>0.30∕1000</w:t>
            </w:r>
          </w:p>
        </w:tc>
        <w:tc>
          <w:tcPr>
            <w:tcW w:w="1843" w:type="dxa"/>
            <w:vAlign w:val="center"/>
          </w:tcPr>
          <w:p>
            <w:pPr>
              <w:snapToGrid w:val="0"/>
              <w:ind w:left="2" w:hanging="6" w:leftChars="-2" w:hangingChars="3"/>
              <w:rPr>
                <w:rFonts w:ascii="宋体" w:hAnsi="宋体"/>
              </w:rPr>
            </w:pPr>
            <w:r>
              <w:rPr>
                <w:rFonts w:ascii="宋体" w:hAnsi="宋体" w:hint="eastAsia"/>
              </w:rPr>
              <w:t>用内径千分尺检查</w:t>
            </w:r>
          </w:p>
        </w:tc>
      </w:tr>
      <w:tr>
        <w:tblPrEx>
          <w:tblW w:w="8140" w:type="dxa"/>
          <w:jc w:val="center"/>
          <w:tblLayout w:type="fixed"/>
          <w:tblCellMar>
            <w:top w:w="0" w:type="dxa"/>
            <w:left w:w="108" w:type="dxa"/>
            <w:bottom w:w="0" w:type="dxa"/>
            <w:right w:w="108" w:type="dxa"/>
          </w:tblCellMar>
        </w:tblPrEx>
        <w:trPr>
          <w:trHeight w:val="284"/>
          <w:jc w:val="center"/>
        </w:trPr>
        <w:tc>
          <w:tcPr>
            <w:tcW w:w="533" w:type="dxa"/>
            <w:vAlign w:val="center"/>
          </w:tcPr>
          <w:p>
            <w:pPr>
              <w:spacing w:line="300" w:lineRule="auto"/>
              <w:jc w:val="center"/>
              <w:rPr>
                <w:rFonts w:ascii="宋体" w:hAnsi="宋体"/>
              </w:rPr>
            </w:pPr>
            <w:r>
              <w:rPr>
                <w:rFonts w:ascii="宋体" w:hAnsi="宋体" w:hint="eastAsia"/>
              </w:rPr>
              <w:t>6</w:t>
            </w:r>
          </w:p>
        </w:tc>
        <w:tc>
          <w:tcPr>
            <w:tcW w:w="2929" w:type="dxa"/>
            <w:gridSpan w:val="2"/>
            <w:vAlign w:val="center"/>
          </w:tcPr>
          <w:p>
            <w:pPr>
              <w:snapToGrid w:val="0"/>
              <w:ind w:left="2" w:hanging="6" w:leftChars="-2" w:hangingChars="3"/>
              <w:rPr>
                <w:rFonts w:ascii="宋体" w:hAnsi="宋体"/>
              </w:rPr>
            </w:pPr>
            <w:r>
              <w:rPr>
                <w:rFonts w:ascii="宋体" w:hAnsi="宋体" w:hint="eastAsia"/>
              </w:rPr>
              <w:t>减速箱、分配箱水平度</w:t>
            </w:r>
          </w:p>
        </w:tc>
        <w:tc>
          <w:tcPr>
            <w:tcW w:w="1418" w:type="dxa"/>
            <w:vAlign w:val="center"/>
          </w:tcPr>
          <w:p>
            <w:pPr>
              <w:snapToGrid w:val="0"/>
              <w:ind w:left="68" w:right="-88" w:hanging="139" w:leftChars="-34" w:rightChars="-42" w:hangingChars="66"/>
              <w:jc w:val="center"/>
              <w:rPr>
                <w:rFonts w:ascii="宋体" w:hAnsi="宋体"/>
              </w:rPr>
            </w:pPr>
            <w:r>
              <w:rPr>
                <w:rFonts w:ascii="宋体" w:hAnsi="宋体" w:hint="eastAsia"/>
              </w:rPr>
              <w:t>0.15∕1000</w:t>
            </w:r>
          </w:p>
        </w:tc>
        <w:tc>
          <w:tcPr>
            <w:tcW w:w="1417" w:type="dxa"/>
            <w:vAlign w:val="center"/>
          </w:tcPr>
          <w:p>
            <w:pPr>
              <w:snapToGrid w:val="0"/>
              <w:ind w:left="68" w:right="-88" w:hanging="139" w:leftChars="-34" w:rightChars="-42" w:hangingChars="66"/>
              <w:jc w:val="center"/>
              <w:rPr>
                <w:rFonts w:ascii="宋体" w:hAnsi="宋体"/>
              </w:rPr>
            </w:pPr>
            <w:r>
              <w:rPr>
                <w:rFonts w:ascii="宋体" w:hAnsi="宋体" w:hint="eastAsia"/>
              </w:rPr>
              <w:t>0.20∕1000</w:t>
            </w:r>
          </w:p>
        </w:tc>
        <w:tc>
          <w:tcPr>
            <w:tcW w:w="1843" w:type="dxa"/>
            <w:vAlign w:val="center"/>
          </w:tcPr>
          <w:p>
            <w:pPr>
              <w:snapToGrid w:val="0"/>
              <w:ind w:left="2" w:hanging="6" w:leftChars="-2" w:hangingChars="3"/>
              <w:rPr>
                <w:rFonts w:ascii="宋体" w:hAnsi="宋体"/>
              </w:rPr>
            </w:pPr>
            <w:r>
              <w:rPr>
                <w:rFonts w:ascii="宋体" w:hAnsi="宋体" w:hint="eastAsia"/>
              </w:rPr>
              <w:t>用水平仪检查</w:t>
            </w:r>
          </w:p>
        </w:tc>
      </w:tr>
    </w:tbl>
    <w:p>
      <w:pPr>
        <w:autoSpaceDE w:val="0"/>
        <w:autoSpaceDN w:val="0"/>
        <w:spacing w:after="160" w:line="440" w:lineRule="exact"/>
        <w:jc w:val="left"/>
        <w:rPr>
          <w:rFonts w:ascii="宋体" w:hAnsi="宋体"/>
        </w:rPr>
        <w:sectPr>
          <w:footerReference w:type="default" r:id="rId42"/>
          <w:type w:val="nextPage"/>
          <w:pgSz w:w="11906" w:h="16838"/>
          <w:pgMar w:top="1440" w:right="1800" w:bottom="1440" w:left="1800" w:header="851" w:footer="992" w:gutter="0"/>
          <w:pgNumType w:start="19"/>
          <w:cols w:num="1" w:space="720"/>
          <w:titlePg w:val="0"/>
          <w:docGrid w:type="lines" w:linePitch="312" w:charSpace="0"/>
        </w:sectPr>
      </w:pPr>
    </w:p>
    <w:bookmarkEnd w:id="9"/>
    <w:bookmarkEnd w:id="10"/>
    <w:p>
      <w:pPr>
        <w:pStyle w:val="Heading1"/>
        <w:jc w:val="center"/>
        <w:rPr>
          <w:rFonts w:ascii="黑体" w:eastAsia="黑体" w:hAnsi="黑体"/>
          <w:b w:val="0"/>
          <w:sz w:val="21"/>
          <w:szCs w:val="21"/>
        </w:rPr>
      </w:pPr>
      <w:bookmarkStart w:id="21" w:name="_Toc518568133"/>
      <w:r>
        <w:rPr>
          <w:rFonts w:ascii="黑体" w:eastAsia="黑体" w:hAnsi="黑体"/>
          <w:b w:val="0"/>
          <w:sz w:val="21"/>
          <w:szCs w:val="21"/>
        </w:rPr>
        <w:t xml:space="preserve">7 </w:t>
      </w:r>
      <w:bookmarkStart w:id="22" w:name="_Toc385590172"/>
      <w:bookmarkStart w:id="23" w:name="_Toc385489953"/>
      <w:r>
        <w:rPr>
          <w:rFonts w:ascii="黑体" w:eastAsia="黑体" w:hAnsi="黑体"/>
          <w:b w:val="0"/>
          <w:sz w:val="21"/>
          <w:szCs w:val="21"/>
        </w:rPr>
        <w:t xml:space="preserve"> </w:t>
      </w:r>
      <w:r>
        <w:rPr>
          <w:rFonts w:ascii="黑体" w:eastAsia="黑体" w:hAnsi="黑体" w:hint="eastAsia"/>
          <w:b w:val="0"/>
          <w:sz w:val="21"/>
          <w:szCs w:val="21"/>
        </w:rPr>
        <w:t xml:space="preserve"> 电气设备工程</w:t>
      </w:r>
    </w:p>
    <w:p>
      <w:pPr>
        <w:pStyle w:val="Heading2"/>
        <w:jc w:val="center"/>
        <w:rPr>
          <w:rFonts w:ascii="黑体" w:eastAsia="黑体" w:hAnsi="黑体"/>
          <w:b w:val="0"/>
        </w:rPr>
      </w:pPr>
      <w:r>
        <w:rPr>
          <w:rFonts w:ascii="黑体" w:eastAsia="黑体" w:hAnsi="黑体"/>
          <w:b w:val="0"/>
          <w:sz w:val="21"/>
          <w:szCs w:val="21"/>
        </w:rPr>
        <w:t>7.1</w:t>
      </w:r>
      <w:r>
        <w:rPr>
          <w:rFonts w:ascii="黑体" w:eastAsia="黑体" w:hAnsi="黑体" w:hint="eastAsia"/>
          <w:b w:val="0"/>
          <w:sz w:val="21"/>
          <w:szCs w:val="21"/>
        </w:rPr>
        <w:t xml:space="preserve">   一般规定</w:t>
      </w:r>
    </w:p>
    <w:p>
      <w:pPr>
        <w:spacing w:line="360" w:lineRule="auto"/>
        <w:rPr>
          <w:rFonts w:ascii="宋体" w:hAnsi="宋体"/>
        </w:rPr>
      </w:pPr>
      <w:r>
        <w:rPr>
          <w:rFonts w:ascii="黑体" w:eastAsia="黑体" w:hAnsi="黑体"/>
        </w:rPr>
        <w:t>7.1.1</w:t>
      </w:r>
      <w:r>
        <w:rPr>
          <w:rFonts w:ascii="宋体" w:hAnsi="宋体" w:hint="eastAsia"/>
        </w:rPr>
        <w:t>利旧电气设备安装工程应编制施工技术方案，并报相关主管部门批准。应在施工前对施工人员进行技术交底。</w:t>
      </w:r>
    </w:p>
    <w:p>
      <w:pPr>
        <w:spacing w:line="360" w:lineRule="auto"/>
        <w:rPr>
          <w:rFonts w:ascii="宋体" w:hAnsi="宋体"/>
        </w:rPr>
      </w:pPr>
      <w:r>
        <w:rPr>
          <w:rFonts w:ascii="黑体" w:eastAsia="黑体" w:hAnsi="黑体"/>
        </w:rPr>
        <w:t>7.1.2</w:t>
      </w:r>
      <w:r>
        <w:rPr>
          <w:rFonts w:ascii="宋体" w:hAnsi="宋体" w:hint="eastAsia"/>
        </w:rPr>
        <w:t>电气设备搬迁工程中电工、焊工、起重吊装工和电气调试人员必须持证上岗。</w:t>
      </w:r>
    </w:p>
    <w:p>
      <w:pPr>
        <w:spacing w:line="360" w:lineRule="auto"/>
        <w:rPr>
          <w:rFonts w:ascii="宋体" w:hAnsi="宋体"/>
        </w:rPr>
      </w:pPr>
      <w:r>
        <w:rPr>
          <w:rFonts w:ascii="黑体" w:eastAsia="黑体" w:hAnsi="黑体"/>
        </w:rPr>
        <w:t>7.1.3</w:t>
      </w:r>
      <w:r>
        <w:rPr>
          <w:rFonts w:ascii="宋体" w:hAnsi="宋体" w:hint="eastAsia"/>
        </w:rPr>
        <w:t>利旧电气设备的交接试验应按现行国家标准《电气装置安装工程电气设备交接试验标准》GB 50150的规定及相关检修试验规程执行。</w:t>
      </w:r>
    </w:p>
    <w:p>
      <w:pPr>
        <w:spacing w:line="360" w:lineRule="auto"/>
        <w:rPr>
          <w:rFonts w:ascii="宋体" w:hAnsi="宋体"/>
        </w:rPr>
      </w:pPr>
      <w:r>
        <w:rPr>
          <w:rFonts w:ascii="黑体" w:eastAsia="黑体" w:hAnsi="黑体"/>
        </w:rPr>
        <w:t>7.1.4</w:t>
      </w:r>
      <w:r>
        <w:rPr>
          <w:rFonts w:ascii="宋体" w:hAnsi="宋体" w:hint="eastAsia"/>
        </w:rPr>
        <w:t>拆除、修整、安装和试验用各类计量器具，应检定合格，使用时间应在检定有效期内。</w:t>
      </w:r>
    </w:p>
    <w:p>
      <w:pPr>
        <w:spacing w:line="360" w:lineRule="auto"/>
        <w:rPr>
          <w:rFonts w:ascii="宋体" w:hAnsi="宋体"/>
        </w:rPr>
      </w:pPr>
      <w:r>
        <w:rPr>
          <w:rFonts w:ascii="黑体" w:eastAsia="黑体" w:hAnsi="黑体"/>
        </w:rPr>
        <w:t>7.1.5</w:t>
      </w:r>
      <w:r>
        <w:rPr>
          <w:rFonts w:ascii="宋体" w:hAnsi="宋体" w:hint="eastAsia"/>
        </w:rPr>
        <w:t>主要设备、材料、成品、半成品，应符合国家现行技术标准的规定，并应有合格证明文件，设备应有铭牌。进场检验应有记录。</w:t>
      </w:r>
    </w:p>
    <w:p>
      <w:pPr>
        <w:spacing w:line="360" w:lineRule="auto"/>
        <w:rPr>
          <w:rFonts w:ascii="宋体" w:hAnsi="宋体"/>
        </w:rPr>
      </w:pPr>
      <w:r>
        <w:rPr>
          <w:rFonts w:ascii="黑体" w:eastAsia="黑体" w:hAnsi="黑体"/>
        </w:rPr>
        <w:t>7.1.6</w:t>
      </w:r>
      <w:r>
        <w:rPr>
          <w:rFonts w:ascii="宋体" w:hAnsi="宋体" w:hint="eastAsia"/>
        </w:rPr>
        <w:t>本章适用于烧结，炼铁、炼钢、轧钢等冶金电气设备在利旧搬迁过程中，拆除，整修、安装和调试阶段的质量评定无法执行《冶金电气设备工程安装验收规范》GB 50397的规定的项目。</w:t>
      </w:r>
    </w:p>
    <w:p>
      <w:pPr>
        <w:spacing w:line="360" w:lineRule="auto"/>
        <w:rPr>
          <w:rFonts w:ascii="宋体" w:hAnsi="宋体"/>
        </w:rPr>
      </w:pPr>
    </w:p>
    <w:p>
      <w:pPr>
        <w:pStyle w:val="Heading2"/>
        <w:jc w:val="center"/>
        <w:rPr>
          <w:rFonts w:ascii="黑体" w:eastAsia="黑体" w:hAnsi="黑体"/>
          <w:b w:val="0"/>
        </w:rPr>
      </w:pPr>
      <w:r>
        <w:rPr>
          <w:rFonts w:ascii="黑体" w:eastAsia="黑体" w:hAnsi="黑体"/>
          <w:b w:val="0"/>
          <w:sz w:val="21"/>
          <w:szCs w:val="21"/>
        </w:rPr>
        <w:t>7.2</w:t>
      </w:r>
      <w:r>
        <w:rPr>
          <w:rFonts w:ascii="黑体" w:eastAsia="黑体" w:hAnsi="黑体" w:hint="eastAsia"/>
          <w:b w:val="0"/>
          <w:sz w:val="21"/>
          <w:szCs w:val="21"/>
        </w:rPr>
        <w:t xml:space="preserve">   电气设备工程的拆除</w:t>
      </w:r>
    </w:p>
    <w:p>
      <w:pPr>
        <w:spacing w:line="360" w:lineRule="auto"/>
        <w:rPr>
          <w:rFonts w:ascii="宋体" w:hAnsi="宋体"/>
        </w:rPr>
      </w:pPr>
      <w:r>
        <w:rPr>
          <w:rFonts w:ascii="黑体" w:eastAsia="黑体" w:hAnsi="黑体"/>
        </w:rPr>
        <w:t>7.2.1</w:t>
      </w:r>
      <w:r>
        <w:rPr>
          <w:rFonts w:ascii="宋体" w:hAnsi="宋体" w:hint="eastAsia"/>
        </w:rPr>
        <w:t>利旧电气设备拆除前应根据原设计图纸、资料逐一核对，留下影像资料。</w:t>
      </w:r>
    </w:p>
    <w:p>
      <w:pPr>
        <w:spacing w:line="360" w:lineRule="auto"/>
        <w:rPr>
          <w:rFonts w:ascii="宋体" w:hAnsi="宋体"/>
        </w:rPr>
      </w:pPr>
      <w:r>
        <w:rPr>
          <w:rFonts w:ascii="黑体" w:eastAsia="黑体" w:hAnsi="黑体"/>
        </w:rPr>
        <w:t>7.2.2</w:t>
      </w:r>
      <w:r>
        <w:rPr>
          <w:rFonts w:ascii="宋体" w:hAnsi="宋体" w:hint="eastAsia"/>
        </w:rPr>
        <w:t>利旧电气设备外部电缆已进行拆除、隔离，利旧电气设备及拆除的利旧电缆应采取保护措施。</w:t>
      </w:r>
    </w:p>
    <w:p>
      <w:pPr>
        <w:spacing w:line="360" w:lineRule="auto"/>
        <w:rPr>
          <w:rFonts w:ascii="宋体" w:hAnsi="宋体"/>
        </w:rPr>
      </w:pPr>
      <w:r>
        <w:rPr>
          <w:rFonts w:ascii="黑体" w:eastAsia="黑体" w:hAnsi="黑体"/>
        </w:rPr>
        <w:t>7.2.3</w:t>
      </w:r>
      <w:r>
        <w:rPr>
          <w:rFonts w:ascii="宋体" w:hAnsi="宋体"/>
          <w:b/>
        </w:rPr>
        <w:t xml:space="preserve"> </w:t>
      </w:r>
      <w:r>
        <w:rPr>
          <w:rFonts w:ascii="宋体" w:hAnsi="宋体" w:hint="eastAsia"/>
        </w:rPr>
        <w:t>利旧变压器拆除</w:t>
      </w:r>
    </w:p>
    <w:p>
      <w:pPr>
        <w:spacing w:line="360" w:lineRule="auto"/>
        <w:rPr>
          <w:rFonts w:ascii="宋体" w:hAnsi="宋体"/>
        </w:rPr>
      </w:pPr>
      <w:r>
        <w:rPr>
          <w:rFonts w:ascii="宋体" w:hAnsi="宋体" w:hint="eastAsia"/>
        </w:rPr>
        <w:t>1. 利旧变压器所有拆卸组件应标注对应产品编号，不得混淆；</w:t>
      </w:r>
    </w:p>
    <w:p>
      <w:pPr>
        <w:spacing w:line="360" w:lineRule="auto"/>
        <w:rPr>
          <w:rFonts w:ascii="宋体" w:hAnsi="宋体"/>
        </w:rPr>
      </w:pPr>
      <w:r>
        <w:rPr>
          <w:rFonts w:ascii="宋体" w:hAnsi="宋体" w:hint="eastAsia"/>
        </w:rPr>
        <w:t>2. 利旧变压器拆除应安装先上后下，先外后内的原则进场拆除，变压器套管拆除时应做好防护装置防止损坏；</w:t>
      </w:r>
    </w:p>
    <w:p>
      <w:pPr>
        <w:spacing w:line="360" w:lineRule="auto"/>
        <w:rPr>
          <w:rFonts w:ascii="宋体" w:hAnsi="宋体"/>
        </w:rPr>
      </w:pPr>
      <w:r>
        <w:rPr>
          <w:rFonts w:ascii="宋体" w:hAnsi="宋体" w:hint="eastAsia"/>
        </w:rPr>
        <w:t>3. 变压器储油柜拆卸后要对所有管口进行封板密封，油位表安装保护罩；</w:t>
      </w:r>
    </w:p>
    <w:p>
      <w:pPr>
        <w:spacing w:line="360" w:lineRule="auto"/>
        <w:rPr>
          <w:rFonts w:ascii="宋体" w:hAnsi="宋体"/>
        </w:rPr>
      </w:pPr>
      <w:r>
        <w:rPr>
          <w:rFonts w:ascii="宋体" w:hAnsi="宋体" w:hint="eastAsia"/>
        </w:rPr>
        <w:t>4. 利旧变压器运输宜采用分解后运输，运输过程中无剧烈振动，无紧急制动，无严重颠簸或冲击等情况。变压器运输宜安装三维记录仪，记录变压器运输状态。</w:t>
      </w:r>
    </w:p>
    <w:p>
      <w:pPr>
        <w:spacing w:line="360" w:lineRule="auto"/>
        <w:rPr>
          <w:rFonts w:ascii="宋体" w:hAnsi="宋体"/>
          <w:b/>
        </w:rPr>
      </w:pPr>
      <w:r>
        <w:rPr>
          <w:rFonts w:ascii="黑体" w:eastAsia="黑体" w:hAnsi="黑体"/>
        </w:rPr>
        <w:t xml:space="preserve">7.2.4 </w:t>
      </w:r>
      <w:r>
        <w:rPr>
          <w:rFonts w:ascii="宋体" w:hAnsi="宋体" w:hint="eastAsia"/>
        </w:rPr>
        <w:t>利旧电气配电盘、成套柜拆除</w:t>
      </w:r>
    </w:p>
    <w:p>
      <w:pPr>
        <w:spacing w:line="360" w:lineRule="auto"/>
        <w:rPr>
          <w:rFonts w:ascii="宋体" w:hAnsi="宋体"/>
        </w:rPr>
      </w:pPr>
      <w:r>
        <w:rPr>
          <w:rFonts w:ascii="宋体" w:hAnsi="宋体" w:hint="eastAsia"/>
        </w:rPr>
        <w:t>1. 电气盘柜拆除前要对其本体、内部的电器元件进行检查，记录时宜留下影视资料，以便安装时查证。</w:t>
      </w:r>
    </w:p>
    <w:p>
      <w:pPr>
        <w:spacing w:line="360" w:lineRule="auto"/>
        <w:rPr>
          <w:rFonts w:ascii="宋体" w:hAnsi="宋体"/>
        </w:rPr>
      </w:pPr>
      <w:r>
        <w:rPr>
          <w:rFonts w:ascii="宋体" w:hAnsi="宋体" w:hint="eastAsia"/>
        </w:rPr>
        <w:t>2. 盘柜拆除时盘柜底座宜用机械切割,禁止气焊切割。</w:t>
      </w:r>
    </w:p>
    <w:p>
      <w:pPr>
        <w:spacing w:line="360" w:lineRule="auto"/>
        <w:rPr>
          <w:rFonts w:ascii="宋体" w:hAnsi="宋体"/>
        </w:rPr>
        <w:sectPr>
          <w:footerReference w:type="default" r:id="rId43"/>
          <w:type w:val="nextPage"/>
          <w:pgSz w:w="11906" w:h="16838"/>
          <w:pgMar w:top="1440" w:right="1800" w:bottom="1440" w:left="1800" w:header="851" w:footer="992" w:gutter="0"/>
          <w:pgNumType w:start="20"/>
          <w:cols w:num="1" w:space="720"/>
          <w:titlePg w:val="0"/>
          <w:docGrid w:type="lines" w:linePitch="312" w:charSpace="0"/>
        </w:sectPr>
      </w:pPr>
      <w:r>
        <w:rPr>
          <w:rFonts w:ascii="宋体" w:hAnsi="宋体" w:hint="eastAsia"/>
        </w:rPr>
        <w:t>3. 盘柜拆除时前要对盘柜内的母线应根据盘柜编号、电压等级进行编号标识。</w:t>
      </w:r>
    </w:p>
    <w:p>
      <w:pPr>
        <w:spacing w:line="360" w:lineRule="auto"/>
        <w:rPr>
          <w:rFonts w:ascii="宋体" w:hAnsi="宋体"/>
        </w:rPr>
      </w:pPr>
      <w:r>
        <w:rPr>
          <w:rFonts w:ascii="黑体" w:eastAsia="黑体" w:hAnsi="黑体"/>
        </w:rPr>
        <w:t>7.2.5</w:t>
      </w:r>
      <w:r>
        <w:rPr>
          <w:rFonts w:ascii="宋体" w:hAnsi="宋体"/>
          <w:b/>
        </w:rPr>
        <w:t xml:space="preserve"> </w:t>
      </w:r>
      <w:r>
        <w:rPr>
          <w:rFonts w:ascii="宋体" w:hAnsi="宋体" w:hint="eastAsia"/>
        </w:rPr>
        <w:t>主传动电机拆除</w:t>
      </w:r>
    </w:p>
    <w:p>
      <w:pPr>
        <w:spacing w:line="360" w:lineRule="auto"/>
        <w:rPr>
          <w:rFonts w:ascii="宋体" w:hAnsi="宋体"/>
        </w:rPr>
      </w:pPr>
      <w:r>
        <w:rPr>
          <w:rFonts w:ascii="宋体" w:hAnsi="宋体" w:hint="eastAsia"/>
        </w:rPr>
        <w:t>1. 主传动电机的拆除应先电源断电，管道泄压；然后再拆保护罩，抽转子等，拆除主传动基础板；</w:t>
      </w:r>
    </w:p>
    <w:p>
      <w:pPr>
        <w:spacing w:line="360" w:lineRule="auto"/>
        <w:rPr>
          <w:rFonts w:ascii="宋体" w:hAnsi="宋体"/>
        </w:rPr>
      </w:pPr>
      <w:r>
        <w:rPr>
          <w:rFonts w:ascii="宋体" w:hAnsi="宋体" w:hint="eastAsia"/>
        </w:rPr>
        <w:t>2. 主传动电机抽芯宜采用厂家提供的穿芯工具，将转子从定子内抽出，再进行吊装；</w:t>
      </w:r>
    </w:p>
    <w:p>
      <w:pPr>
        <w:spacing w:line="360" w:lineRule="auto"/>
        <w:rPr>
          <w:rFonts w:ascii="宋体" w:hAnsi="宋体"/>
        </w:rPr>
      </w:pPr>
      <w:r>
        <w:rPr>
          <w:rFonts w:ascii="宋体" w:hAnsi="宋体" w:hint="eastAsia"/>
        </w:rPr>
        <w:t>3. 基础板四周的二次灌浆层可使用大型机械进行凿除，基础板底部及内部使用人工机械凿除，减少基础板变形，基础板吊装及存放时必须放置水平，支撑牢靠。</w:t>
      </w:r>
    </w:p>
    <w:p>
      <w:pPr>
        <w:spacing w:line="360" w:lineRule="auto"/>
        <w:rPr>
          <w:rFonts w:ascii="宋体" w:hAnsi="宋体"/>
        </w:rPr>
      </w:pPr>
      <w:r>
        <w:rPr>
          <w:rFonts w:ascii="黑体" w:eastAsia="黑体" w:hAnsi="黑体"/>
        </w:rPr>
        <w:t>7.2.6</w:t>
      </w:r>
      <w:r>
        <w:rPr>
          <w:rFonts w:ascii="宋体" w:hAnsi="宋体" w:hint="eastAsia"/>
        </w:rPr>
        <w:t>利旧滑触线和移动式软电缆拆除</w:t>
      </w:r>
    </w:p>
    <w:p>
      <w:pPr>
        <w:spacing w:line="360" w:lineRule="auto"/>
        <w:rPr>
          <w:rFonts w:ascii="宋体" w:hAnsi="宋体"/>
        </w:rPr>
      </w:pPr>
      <w:r>
        <w:rPr>
          <w:rFonts w:ascii="宋体" w:hAnsi="宋体" w:hint="eastAsia"/>
        </w:rPr>
        <w:t>1. 滑触线和移动式软电缆拆除前应先拆除进线电源；</w:t>
      </w:r>
    </w:p>
    <w:p>
      <w:pPr>
        <w:spacing w:line="360" w:lineRule="auto"/>
        <w:rPr>
          <w:rFonts w:ascii="宋体" w:hAnsi="宋体"/>
        </w:rPr>
      </w:pPr>
      <w:r>
        <w:rPr>
          <w:rFonts w:ascii="宋体" w:hAnsi="宋体" w:hint="eastAsia"/>
        </w:rPr>
        <w:t>2. 滑触线和移动式软电缆的拆除应使用松动剂或冷切割的方法拆卸锈蚀的连接螺栓；</w:t>
      </w:r>
    </w:p>
    <w:p>
      <w:pPr>
        <w:spacing w:line="360" w:lineRule="auto"/>
        <w:rPr>
          <w:rFonts w:ascii="宋体" w:hAnsi="宋体"/>
        </w:rPr>
      </w:pPr>
      <w:r>
        <w:rPr>
          <w:rFonts w:ascii="宋体" w:hAnsi="宋体" w:hint="eastAsia"/>
        </w:rPr>
        <w:t>3. 滑触线和移动式软电缆拆除时应对每种规格的滑触线和移动式软电缆及附件进行标注，分类保管；</w:t>
      </w:r>
    </w:p>
    <w:p>
      <w:pPr>
        <w:spacing w:line="360" w:lineRule="auto"/>
        <w:rPr>
          <w:rFonts w:ascii="宋体" w:hAnsi="宋体"/>
        </w:rPr>
      </w:pPr>
      <w:r>
        <w:rPr>
          <w:rFonts w:ascii="宋体" w:hAnsi="宋体" w:hint="eastAsia"/>
        </w:rPr>
        <w:t>4. 滑触线和移动式软电缆拆除后应使用麻绳放至地面，不应高空抛落。</w:t>
      </w:r>
    </w:p>
    <w:p>
      <w:pPr>
        <w:spacing w:line="360" w:lineRule="auto"/>
        <w:rPr>
          <w:rFonts w:ascii="宋体" w:hAnsi="宋体"/>
        </w:rPr>
      </w:pPr>
      <w:r>
        <w:rPr>
          <w:rFonts w:ascii="黑体" w:eastAsia="黑体" w:hAnsi="黑体"/>
        </w:rPr>
        <w:t>7.2.7</w:t>
      </w:r>
      <w:r>
        <w:rPr>
          <w:rFonts w:ascii="宋体" w:hAnsi="宋体" w:hint="eastAsia"/>
        </w:rPr>
        <w:t>利旧电缆桥架拆除</w:t>
      </w:r>
    </w:p>
    <w:p>
      <w:pPr>
        <w:spacing w:line="360" w:lineRule="auto"/>
        <w:rPr>
          <w:rFonts w:ascii="宋体" w:hAnsi="宋体"/>
        </w:rPr>
      </w:pPr>
      <w:r>
        <w:rPr>
          <w:rFonts w:ascii="宋体" w:hAnsi="宋体" w:hint="eastAsia"/>
        </w:rPr>
        <w:t>1. 电缆支架、桥架的拆除在电缆拆除施工完成之后进行，严禁在电缆拆除完成前拆除电缆支架、桥架；</w:t>
      </w:r>
    </w:p>
    <w:p>
      <w:pPr>
        <w:spacing w:line="360" w:lineRule="auto"/>
        <w:rPr>
          <w:rFonts w:ascii="宋体" w:hAnsi="宋体"/>
        </w:rPr>
      </w:pPr>
      <w:r>
        <w:rPr>
          <w:rFonts w:ascii="宋体" w:hAnsi="宋体" w:hint="eastAsia"/>
        </w:rPr>
        <w:t>2. 作为主要受力部分如立柱等只能利旧使用结构上未经过焊接的立柱，严禁利旧使用一次安装时经焊接等措施拼接在一起的材料；</w:t>
      </w:r>
    </w:p>
    <w:p>
      <w:pPr>
        <w:spacing w:line="360" w:lineRule="auto"/>
        <w:rPr>
          <w:rFonts w:ascii="宋体" w:hAnsi="宋体"/>
        </w:rPr>
      </w:pPr>
      <w:r>
        <w:rPr>
          <w:rFonts w:ascii="宋体" w:hAnsi="宋体" w:hint="eastAsia"/>
        </w:rPr>
        <w:t>3. 利旧电缆桥架拆除应使用松动剂拆卸锈蚀的连接螺栓，严禁使用气割拆除。</w:t>
      </w:r>
    </w:p>
    <w:p>
      <w:pPr>
        <w:spacing w:line="360" w:lineRule="auto"/>
        <w:rPr>
          <w:rFonts w:ascii="宋体" w:hAnsi="宋体"/>
        </w:rPr>
      </w:pPr>
      <w:r>
        <w:rPr>
          <w:rFonts w:ascii="黑体" w:eastAsia="黑体" w:hAnsi="黑体"/>
        </w:rPr>
        <w:t>7.2.8</w:t>
      </w:r>
      <w:r>
        <w:rPr>
          <w:rFonts w:ascii="宋体" w:hAnsi="宋体" w:hint="eastAsia"/>
        </w:rPr>
        <w:t>利旧电缆拆除</w:t>
      </w:r>
    </w:p>
    <w:p>
      <w:pPr>
        <w:spacing w:line="360" w:lineRule="auto"/>
        <w:rPr>
          <w:rFonts w:ascii="宋体" w:hAnsi="宋体"/>
        </w:rPr>
      </w:pPr>
      <w:r>
        <w:rPr>
          <w:rFonts w:ascii="宋体" w:hAnsi="宋体" w:hint="eastAsia"/>
        </w:rPr>
        <w:t>1. 在拆除电缆前必须根据图纸对配电盘柜进行断电，应做好拆除标识；</w:t>
      </w:r>
    </w:p>
    <w:p>
      <w:pPr>
        <w:spacing w:line="360" w:lineRule="auto"/>
        <w:rPr>
          <w:rFonts w:ascii="宋体" w:hAnsi="宋体"/>
        </w:rPr>
      </w:pPr>
      <w:r>
        <w:rPr>
          <w:rFonts w:ascii="宋体" w:hAnsi="宋体" w:hint="eastAsia"/>
        </w:rPr>
        <w:t>2. 电缆拆除前，变压器、配电柜和操作箱等带电设备必须悬挂“设备有电、禁止拆除”等标识牌，提示施工人员禁止对该设备的拆除和操作。</w:t>
      </w:r>
    </w:p>
    <w:p>
      <w:pPr>
        <w:spacing w:line="360" w:lineRule="auto"/>
        <w:rPr>
          <w:rFonts w:ascii="宋体" w:hAnsi="宋体"/>
        </w:rPr>
      </w:pPr>
      <w:r>
        <w:rPr>
          <w:rFonts w:ascii="宋体" w:hAnsi="宋体" w:hint="eastAsia"/>
        </w:rPr>
        <w:t>3. 若其他相邻开关的电缆带电，应由调试人员将带电电缆断电或采取防护隔离措施，确认安全后方可进行电缆头的拆除。</w:t>
      </w:r>
    </w:p>
    <w:p>
      <w:pPr>
        <w:spacing w:line="360" w:lineRule="auto"/>
        <w:rPr>
          <w:rFonts w:ascii="宋体" w:hAnsi="宋体"/>
        </w:rPr>
      </w:pPr>
      <w:r>
        <w:rPr>
          <w:rFonts w:ascii="宋体" w:hAnsi="宋体" w:hint="eastAsia"/>
        </w:rPr>
        <w:t>4. 电缆两端应做好标记宜采用逐根拆除的方法抽出，禁止强拉硬拽。</w:t>
      </w:r>
    </w:p>
    <w:p>
      <w:pPr>
        <w:spacing w:line="360" w:lineRule="auto"/>
        <w:rPr>
          <w:rFonts w:ascii="宋体" w:hAnsi="宋体"/>
        </w:rPr>
      </w:pPr>
      <w:r>
        <w:rPr>
          <w:rFonts w:ascii="宋体" w:hAnsi="宋体" w:hint="eastAsia"/>
        </w:rPr>
        <w:t>5. 电缆拆除后根据其规格型号、电缆外径及电缆长度选择电缆盘利旧及卷盘</w:t>
      </w:r>
    </w:p>
    <w:p>
      <w:pPr>
        <w:spacing w:line="360" w:lineRule="auto"/>
        <w:rPr>
          <w:rFonts w:ascii="宋体" w:hAnsi="宋体"/>
        </w:rPr>
        <w:sectPr>
          <w:footerReference w:type="default" r:id="rId44"/>
          <w:type w:val="nextPage"/>
          <w:pgSz w:w="11906" w:h="16838"/>
          <w:pgMar w:top="1440" w:right="1800" w:bottom="1440" w:left="1800" w:header="851" w:footer="992" w:gutter="0"/>
          <w:pgNumType w:start="21"/>
          <w:cols w:num="1" w:space="720"/>
          <w:titlePg w:val="0"/>
          <w:docGrid w:type="lines" w:linePitch="312" w:charSpace="0"/>
        </w:sectPr>
      </w:pPr>
    </w:p>
    <w:p>
      <w:pPr>
        <w:pStyle w:val="Heading2"/>
        <w:jc w:val="center"/>
        <w:rPr>
          <w:rFonts w:ascii="黑体" w:eastAsia="黑体" w:hAnsi="黑体"/>
          <w:b w:val="0"/>
        </w:rPr>
      </w:pPr>
      <w:r>
        <w:rPr>
          <w:rFonts w:ascii="黑体" w:eastAsia="黑体" w:hAnsi="黑体"/>
          <w:b w:val="0"/>
          <w:sz w:val="21"/>
          <w:szCs w:val="21"/>
        </w:rPr>
        <w:t>7.3</w:t>
      </w:r>
      <w:r>
        <w:rPr>
          <w:rFonts w:ascii="黑体" w:eastAsia="黑体" w:hAnsi="黑体" w:hint="eastAsia"/>
          <w:b w:val="0"/>
          <w:sz w:val="21"/>
          <w:szCs w:val="21"/>
        </w:rPr>
        <w:t>利旧电气设备的整修</w:t>
      </w:r>
    </w:p>
    <w:p>
      <w:pPr>
        <w:spacing w:line="360" w:lineRule="auto"/>
        <w:rPr>
          <w:rFonts w:ascii="宋体" w:hAnsi="宋体"/>
        </w:rPr>
      </w:pPr>
      <w:r>
        <w:rPr>
          <w:rFonts w:ascii="黑体" w:eastAsia="黑体" w:hAnsi="黑体"/>
        </w:rPr>
        <w:t>7.3.1</w:t>
      </w:r>
      <w:r>
        <w:rPr>
          <w:rFonts w:ascii="宋体" w:hAnsi="宋体" w:hint="eastAsia"/>
        </w:rPr>
        <w:t>拆除后的电气设备进行分类，由施工人员进行表面灰尘及污物清理、刷漆等质量观感修复，易损构件加以保护。</w:t>
      </w:r>
    </w:p>
    <w:p>
      <w:pPr>
        <w:spacing w:line="360" w:lineRule="auto"/>
        <w:rPr>
          <w:rFonts w:ascii="宋体" w:hAnsi="宋体"/>
        </w:rPr>
      </w:pPr>
      <w:r>
        <w:rPr>
          <w:rFonts w:ascii="黑体" w:eastAsia="黑体" w:hAnsi="黑体"/>
        </w:rPr>
        <w:t>7.3.2</w:t>
      </w:r>
      <w:r>
        <w:rPr>
          <w:rFonts w:ascii="宋体" w:hAnsi="宋体" w:hint="eastAsia"/>
        </w:rPr>
        <w:t>利旧变压器整修</w:t>
      </w:r>
    </w:p>
    <w:p>
      <w:pPr>
        <w:spacing w:line="360" w:lineRule="auto"/>
        <w:rPr>
          <w:rFonts w:ascii="宋体" w:hAnsi="宋体"/>
        </w:rPr>
      </w:pPr>
      <w:r>
        <w:rPr>
          <w:rFonts w:ascii="宋体" w:hAnsi="宋体" w:hint="eastAsia"/>
        </w:rPr>
        <w:t>1. 利旧变压器外观修复。</w:t>
      </w:r>
    </w:p>
    <w:p>
      <w:pPr>
        <w:spacing w:line="360" w:lineRule="auto"/>
        <w:rPr>
          <w:rFonts w:ascii="宋体" w:hAnsi="宋体"/>
        </w:rPr>
      </w:pPr>
      <w:r>
        <w:rPr>
          <w:rFonts w:ascii="宋体" w:hAnsi="宋体" w:hint="eastAsia"/>
        </w:rPr>
        <w:t>2. 拆除变压器本体密封胶垫等老化必须更换，对油位过低，须补充相同标号的油，同时变压器应进行相关检验，检验合格后方可使用。</w:t>
      </w:r>
    </w:p>
    <w:p>
      <w:pPr>
        <w:spacing w:line="360" w:lineRule="auto"/>
        <w:rPr>
          <w:rFonts w:ascii="宋体" w:hAnsi="宋体"/>
        </w:rPr>
      </w:pPr>
      <w:r>
        <w:rPr>
          <w:rFonts w:ascii="宋体" w:hAnsi="宋体" w:hint="eastAsia"/>
        </w:rPr>
        <w:t>3. 变压器油检验的取样，变压器安装前应了解天气，安装附件需要变压器本体露空时，环境相对湿度必须小于75%。</w:t>
      </w:r>
    </w:p>
    <w:p>
      <w:pPr>
        <w:spacing w:line="360" w:lineRule="auto"/>
        <w:rPr>
          <w:rFonts w:ascii="宋体" w:hAnsi="宋体"/>
        </w:rPr>
      </w:pPr>
      <w:r>
        <w:rPr>
          <w:rFonts w:ascii="宋体" w:hAnsi="宋体" w:hint="eastAsia"/>
        </w:rPr>
        <w:t>4. 利旧变压器由具有相应资质的单位对其进行交接试验并出具试验报告，交接试验应按国家标准《电气装置安装工程电气设备交接试验标准》GB 50150的规定及相关检修试验规程执行。</w:t>
      </w:r>
    </w:p>
    <w:p>
      <w:pPr>
        <w:spacing w:line="360" w:lineRule="auto"/>
        <w:rPr>
          <w:rFonts w:ascii="宋体" w:hAnsi="宋体"/>
        </w:rPr>
      </w:pPr>
      <w:r>
        <w:rPr>
          <w:rFonts w:ascii="黑体" w:eastAsia="黑体" w:hAnsi="黑体"/>
        </w:rPr>
        <w:t>7.3.3</w:t>
      </w:r>
      <w:r>
        <w:rPr>
          <w:rFonts w:ascii="宋体" w:hAnsi="宋体" w:hint="eastAsia"/>
        </w:rPr>
        <w:t>利旧电气配电盘、成套柜整修</w:t>
      </w:r>
    </w:p>
    <w:p>
      <w:pPr>
        <w:spacing w:line="360" w:lineRule="auto"/>
        <w:rPr>
          <w:rFonts w:ascii="宋体" w:hAnsi="宋体"/>
        </w:rPr>
      </w:pPr>
      <w:r>
        <w:rPr>
          <w:rFonts w:ascii="宋体" w:hAnsi="宋体" w:hint="eastAsia"/>
        </w:rPr>
        <w:t>1. 利旧电气配电盘柜外观修整。拆除后盘柜清理工作宜用气体吹扫后，再用抹布对其灰尘及油污进行清理；禁止铁丝、垫片等物品遗落在变频器等原件内。</w:t>
      </w:r>
    </w:p>
    <w:p>
      <w:pPr>
        <w:spacing w:line="360" w:lineRule="auto"/>
        <w:rPr>
          <w:rFonts w:ascii="宋体" w:hAnsi="宋体"/>
        </w:rPr>
      </w:pPr>
      <w:r>
        <w:rPr>
          <w:rFonts w:ascii="宋体" w:hAnsi="宋体" w:hint="eastAsia"/>
        </w:rPr>
        <w:t>2. 利旧电气配电盘柜内的元器件经过改动的应做好相关记录；应对柜内所有连接螺栓要进行紧固，检查操作机构灵活性，并记录电气测试情况。</w:t>
      </w:r>
    </w:p>
    <w:p>
      <w:pPr>
        <w:spacing w:line="360" w:lineRule="auto"/>
        <w:rPr>
          <w:rFonts w:ascii="宋体" w:hAnsi="宋体"/>
        </w:rPr>
      </w:pPr>
      <w:r>
        <w:rPr>
          <w:rFonts w:ascii="宋体" w:hAnsi="宋体" w:hint="eastAsia"/>
        </w:rPr>
        <w:t>3. 盘柜内断路器分、合闸线圈的绝缘电阻和直流电阻，绝缘电阻不应小于10MΩ，直流电阻值与产品出厂试验值相比应无明显差别。</w:t>
      </w:r>
    </w:p>
    <w:p>
      <w:pPr>
        <w:spacing w:line="360" w:lineRule="auto"/>
        <w:rPr>
          <w:rFonts w:ascii="宋体" w:hAnsi="宋体"/>
        </w:rPr>
      </w:pPr>
      <w:r>
        <w:rPr>
          <w:rFonts w:ascii="宋体" w:hAnsi="宋体" w:hint="eastAsia"/>
        </w:rPr>
        <w:t>4. 应对盘柜设备外壳及表面进行保护后再整体包装，分类整齐摆放。</w:t>
      </w:r>
    </w:p>
    <w:p>
      <w:pPr>
        <w:spacing w:line="360" w:lineRule="auto"/>
        <w:rPr>
          <w:rFonts w:ascii="宋体" w:hAnsi="宋体"/>
        </w:rPr>
      </w:pPr>
      <w:r>
        <w:rPr>
          <w:rFonts w:ascii="宋体" w:hAnsi="宋体" w:hint="eastAsia"/>
        </w:rPr>
        <w:t>5. 盘柜设备吊装宜用角钢或其他材料对其底部进行加固，兜底吊装。</w:t>
      </w:r>
    </w:p>
    <w:p>
      <w:pPr>
        <w:spacing w:line="360" w:lineRule="auto"/>
        <w:rPr>
          <w:rFonts w:ascii="宋体" w:hAnsi="宋体"/>
        </w:rPr>
      </w:pPr>
      <w:r>
        <w:rPr>
          <w:rFonts w:ascii="宋体" w:hAnsi="宋体" w:hint="eastAsia"/>
        </w:rPr>
        <w:t>6. 电气盘柜运输过程中，应做好密封处理、防雨、防潮、防晒、防震动等保护措施。</w:t>
      </w:r>
    </w:p>
    <w:p>
      <w:pPr>
        <w:spacing w:line="360" w:lineRule="auto"/>
        <w:rPr>
          <w:rFonts w:ascii="宋体" w:hAnsi="宋体"/>
        </w:rPr>
      </w:pPr>
      <w:r>
        <w:rPr>
          <w:rFonts w:ascii="黑体" w:eastAsia="黑体" w:hAnsi="黑体"/>
        </w:rPr>
        <w:t>7.3.4</w:t>
      </w:r>
      <w:r>
        <w:rPr>
          <w:rFonts w:ascii="宋体" w:hAnsi="宋体" w:hint="eastAsia"/>
        </w:rPr>
        <w:t>利旧主传动电机整修</w:t>
      </w:r>
    </w:p>
    <w:p>
      <w:pPr>
        <w:spacing w:line="360" w:lineRule="auto"/>
        <w:rPr>
          <w:rFonts w:ascii="宋体" w:hAnsi="宋体"/>
        </w:rPr>
      </w:pPr>
      <w:r>
        <w:rPr>
          <w:rFonts w:ascii="宋体" w:hAnsi="宋体" w:hint="eastAsia"/>
        </w:rPr>
        <w:t>1. 主传动电机基础板、轴承座等外观修整。</w:t>
      </w:r>
    </w:p>
    <w:p>
      <w:pPr>
        <w:spacing w:line="360" w:lineRule="auto"/>
        <w:rPr>
          <w:rFonts w:ascii="宋体" w:hAnsi="宋体"/>
        </w:rPr>
      </w:pPr>
      <w:r>
        <w:rPr>
          <w:rFonts w:ascii="宋体" w:hAnsi="宋体" w:hint="eastAsia"/>
        </w:rPr>
        <w:t>2. 转子、定子的整修时转子轴颈处严禁使用机械打磨。</w:t>
      </w:r>
    </w:p>
    <w:p>
      <w:pPr>
        <w:spacing w:line="360" w:lineRule="auto"/>
        <w:rPr>
          <w:rFonts w:ascii="宋体" w:hAnsi="宋体"/>
        </w:rPr>
      </w:pPr>
      <w:r>
        <w:rPr>
          <w:rFonts w:ascii="宋体" w:hAnsi="宋体" w:hint="eastAsia"/>
        </w:rPr>
        <w:t>3. 电机内部检查修整应无缺陷。</w:t>
      </w:r>
    </w:p>
    <w:p>
      <w:pPr>
        <w:spacing w:line="360" w:lineRule="auto"/>
        <w:rPr>
          <w:rFonts w:ascii="宋体" w:hAnsi="宋体"/>
        </w:rPr>
      </w:pPr>
      <w:r>
        <w:rPr>
          <w:rFonts w:ascii="宋体" w:hAnsi="宋体" w:hint="eastAsia"/>
        </w:rPr>
        <w:t>4. 转子平衡块固定牢固。集电环表面光滑无划痕。</w:t>
      </w:r>
    </w:p>
    <w:p>
      <w:pPr>
        <w:spacing w:line="360" w:lineRule="auto"/>
        <w:rPr>
          <w:rFonts w:ascii="宋体" w:hAnsi="宋体"/>
        </w:rPr>
      </w:pPr>
      <w:r>
        <w:rPr>
          <w:rFonts w:ascii="黑体" w:eastAsia="黑体" w:hAnsi="黑体"/>
        </w:rPr>
        <w:t>7.3.5</w:t>
      </w:r>
      <w:r>
        <w:rPr>
          <w:rFonts w:ascii="宋体" w:hAnsi="宋体" w:hint="eastAsia"/>
        </w:rPr>
        <w:t>利旧滑触线整修</w:t>
      </w:r>
    </w:p>
    <w:p>
      <w:pPr>
        <w:spacing w:line="360" w:lineRule="auto"/>
        <w:rPr>
          <w:rFonts w:ascii="宋体" w:hAnsi="宋体"/>
        </w:rPr>
        <w:sectPr>
          <w:footerReference w:type="default" r:id="rId45"/>
          <w:type w:val="nextPage"/>
          <w:pgSz w:w="11906" w:h="16838"/>
          <w:pgMar w:top="1440" w:right="1800" w:bottom="1440" w:left="1800" w:header="851" w:footer="992" w:gutter="0"/>
          <w:pgNumType w:start="22"/>
          <w:cols w:num="1" w:space="720"/>
          <w:titlePg w:val="0"/>
          <w:docGrid w:type="lines" w:linePitch="312" w:charSpace="0"/>
        </w:sectPr>
      </w:pPr>
      <w:r>
        <w:rPr>
          <w:rFonts w:ascii="宋体" w:hAnsi="宋体" w:hint="eastAsia"/>
        </w:rPr>
        <w:t>1. 滑触线外观修整校正；</w:t>
      </w:r>
    </w:p>
    <w:p>
      <w:pPr>
        <w:spacing w:line="360" w:lineRule="auto"/>
        <w:rPr>
          <w:rFonts w:ascii="宋体" w:hAnsi="宋体"/>
        </w:rPr>
      </w:pPr>
      <w:r>
        <w:rPr>
          <w:rFonts w:ascii="宋体" w:hAnsi="宋体" w:hint="eastAsia"/>
        </w:rPr>
        <w:t>2.每根滑触线直线度应不大于2mm/1000mm。</w:t>
      </w:r>
    </w:p>
    <w:p>
      <w:pPr>
        <w:spacing w:line="360" w:lineRule="auto"/>
        <w:rPr>
          <w:rFonts w:ascii="宋体" w:hAnsi="宋体"/>
        </w:rPr>
      </w:pPr>
      <w:r>
        <w:rPr>
          <w:rFonts w:ascii="宋体" w:hAnsi="宋体" w:hint="eastAsia"/>
        </w:rPr>
        <w:t>3.滑触线接触表面平整度小于1mm。</w:t>
      </w:r>
    </w:p>
    <w:p>
      <w:pPr>
        <w:spacing w:line="360" w:lineRule="auto"/>
        <w:rPr>
          <w:rFonts w:ascii="宋体" w:hAnsi="宋体"/>
        </w:rPr>
      </w:pPr>
      <w:r>
        <w:rPr>
          <w:rFonts w:ascii="宋体" w:hAnsi="宋体" w:hint="eastAsia"/>
        </w:rPr>
        <w:t>4.滑触线接头处光滑整齐、接触表面无放点烧灼痕迹。</w:t>
      </w:r>
    </w:p>
    <w:p>
      <w:pPr>
        <w:spacing w:line="360" w:lineRule="auto"/>
        <w:rPr>
          <w:rFonts w:ascii="宋体" w:hAnsi="宋体"/>
        </w:rPr>
      </w:pPr>
      <w:r>
        <w:rPr>
          <w:rFonts w:ascii="宋体" w:hAnsi="宋体" w:hint="eastAsia"/>
        </w:rPr>
        <w:t>5.移动式软电缆的橡胶护套表面无裂痕、软电缆无接头。</w:t>
      </w:r>
    </w:p>
    <w:p>
      <w:pPr>
        <w:spacing w:line="360" w:lineRule="auto"/>
        <w:rPr>
          <w:rFonts w:ascii="宋体" w:hAnsi="宋体"/>
        </w:rPr>
      </w:pPr>
      <w:r>
        <w:rPr>
          <w:rFonts w:ascii="宋体" w:hAnsi="宋体" w:hint="eastAsia"/>
        </w:rPr>
        <w:t>6. 滑触线和移动式软电缆绝缘电阻值应符合设计要求。</w:t>
      </w:r>
    </w:p>
    <w:p>
      <w:pPr>
        <w:spacing w:line="360" w:lineRule="auto"/>
        <w:rPr>
          <w:rFonts w:ascii="宋体" w:hAnsi="宋体"/>
        </w:rPr>
      </w:pPr>
      <w:r>
        <w:rPr>
          <w:rFonts w:ascii="宋体" w:hAnsi="宋体" w:hint="eastAsia"/>
        </w:rPr>
        <w:t>7. 滑触线支架切割处搭接面积应不小于型钢规格的2倍。</w:t>
      </w:r>
    </w:p>
    <w:p>
      <w:pPr>
        <w:spacing w:line="360" w:lineRule="auto"/>
        <w:rPr>
          <w:rFonts w:ascii="宋体" w:hAnsi="宋体"/>
        </w:rPr>
      </w:pPr>
      <w:r>
        <w:rPr>
          <w:rFonts w:ascii="黑体" w:eastAsia="黑体" w:hAnsi="黑体"/>
        </w:rPr>
        <w:t>7.3.6</w:t>
      </w:r>
      <w:r>
        <w:rPr>
          <w:rFonts w:ascii="宋体" w:hAnsi="宋体" w:hint="eastAsia"/>
        </w:rPr>
        <w:t>利旧电缆桥架整修</w:t>
      </w:r>
    </w:p>
    <w:p>
      <w:pPr>
        <w:spacing w:line="360" w:lineRule="auto"/>
        <w:rPr>
          <w:rFonts w:ascii="宋体" w:hAnsi="宋体"/>
        </w:rPr>
      </w:pPr>
      <w:r>
        <w:rPr>
          <w:rFonts w:ascii="宋体" w:hAnsi="宋体" w:hint="eastAsia"/>
        </w:rPr>
        <w:t>1. 电缆支架、桥架在拆除过程中应进行成品保护，降低电缆支架、桥架的外观整修量。</w:t>
      </w:r>
    </w:p>
    <w:p>
      <w:pPr>
        <w:spacing w:line="360" w:lineRule="auto"/>
        <w:rPr>
          <w:rFonts w:ascii="宋体" w:hAnsi="宋体"/>
        </w:rPr>
      </w:pPr>
      <w:r>
        <w:rPr>
          <w:rFonts w:ascii="宋体" w:hAnsi="宋体" w:hint="eastAsia"/>
        </w:rPr>
        <w:t>2. 拆除利旧的电缆支架、桥架安装在室内等对材料防腐要求低的空间。</w:t>
      </w:r>
    </w:p>
    <w:p>
      <w:pPr>
        <w:spacing w:line="360" w:lineRule="auto"/>
        <w:rPr>
          <w:rFonts w:ascii="宋体" w:hAnsi="宋体"/>
        </w:rPr>
      </w:pPr>
      <w:r>
        <w:rPr>
          <w:rFonts w:ascii="宋体" w:hAnsi="宋体" w:hint="eastAsia"/>
        </w:rPr>
        <w:t>3. 室外拆除的金属电缆桥架及其支架必须进行防腐处理措施以满足安装要求。</w:t>
      </w:r>
    </w:p>
    <w:p>
      <w:pPr>
        <w:spacing w:line="360" w:lineRule="auto"/>
        <w:rPr>
          <w:rFonts w:ascii="宋体" w:hAnsi="宋体"/>
        </w:rPr>
      </w:pPr>
      <w:r>
        <w:rPr>
          <w:rFonts w:ascii="宋体" w:hAnsi="宋体" w:hint="eastAsia"/>
        </w:rPr>
        <w:t>4. 桥架附件若不能满足安装要求必须进行替换。</w:t>
      </w:r>
    </w:p>
    <w:p>
      <w:pPr>
        <w:spacing w:line="360" w:lineRule="auto"/>
        <w:rPr>
          <w:rFonts w:ascii="宋体" w:hAnsi="宋体"/>
        </w:rPr>
      </w:pPr>
      <w:r>
        <w:rPr>
          <w:rFonts w:ascii="黑体" w:eastAsia="黑体" w:hAnsi="黑体"/>
        </w:rPr>
        <w:t>7.3.7</w:t>
      </w:r>
      <w:r>
        <w:rPr>
          <w:rFonts w:ascii="宋体" w:hAnsi="宋体" w:hint="eastAsia"/>
        </w:rPr>
        <w:t>利旧电缆检查并试验</w:t>
      </w:r>
    </w:p>
    <w:p>
      <w:pPr>
        <w:spacing w:line="360" w:lineRule="auto"/>
        <w:rPr>
          <w:rFonts w:ascii="宋体" w:hAnsi="宋体"/>
        </w:rPr>
      </w:pPr>
      <w:r>
        <w:rPr>
          <w:rFonts w:ascii="宋体" w:hAnsi="宋体" w:hint="eastAsia"/>
        </w:rPr>
        <w:t>1. 拆除利旧电缆应进行外观检查不应有明显划伤、裸铜现象。</w:t>
      </w:r>
    </w:p>
    <w:p>
      <w:pPr>
        <w:spacing w:line="360" w:lineRule="auto"/>
        <w:rPr>
          <w:rFonts w:ascii="宋体" w:hAnsi="宋体"/>
        </w:rPr>
      </w:pPr>
      <w:r>
        <w:rPr>
          <w:rFonts w:ascii="宋体" w:hAnsi="宋体" w:hint="eastAsia"/>
        </w:rPr>
        <w:t>2. 拆除利旧电缆应进行绝缘测试，不符合要求电缆严禁安装使用。</w:t>
      </w:r>
    </w:p>
    <w:p>
      <w:pPr>
        <w:spacing w:line="360" w:lineRule="auto"/>
        <w:rPr>
          <w:rFonts w:ascii="宋体" w:hAnsi="宋体"/>
        </w:rPr>
      </w:pPr>
    </w:p>
    <w:p>
      <w:pPr>
        <w:pStyle w:val="Heading2"/>
        <w:jc w:val="center"/>
        <w:rPr>
          <w:rFonts w:ascii="黑体" w:eastAsia="黑体" w:hAnsi="黑体"/>
          <w:b w:val="0"/>
        </w:rPr>
      </w:pPr>
      <w:r>
        <w:rPr>
          <w:rFonts w:ascii="黑体" w:eastAsia="黑体" w:hAnsi="黑体"/>
          <w:b w:val="0"/>
          <w:sz w:val="21"/>
          <w:szCs w:val="21"/>
        </w:rPr>
        <w:t>7.4</w:t>
      </w:r>
      <w:r>
        <w:rPr>
          <w:rFonts w:ascii="黑体" w:eastAsia="黑体" w:hAnsi="黑体" w:hint="eastAsia"/>
          <w:b w:val="0"/>
          <w:sz w:val="21"/>
          <w:szCs w:val="21"/>
        </w:rPr>
        <w:t>利旧电气设备的安装</w:t>
      </w:r>
    </w:p>
    <w:p>
      <w:pPr>
        <w:spacing w:line="360" w:lineRule="auto"/>
        <w:jc w:val="center"/>
        <w:rPr>
          <w:rFonts w:ascii="黑体" w:eastAsia="黑体" w:hAnsi="黑体"/>
        </w:rPr>
      </w:pPr>
      <w:r>
        <w:rPr>
          <w:rFonts w:ascii="黑体" w:eastAsia="黑体" w:hAnsi="黑体" w:hint="eastAsia"/>
        </w:rPr>
        <w:t>Ⅰ</w:t>
      </w:r>
      <w:r>
        <w:rPr>
          <w:rFonts w:ascii="黑体" w:eastAsia="黑体" w:hAnsi="黑体"/>
        </w:rPr>
        <w:t xml:space="preserve">  </w:t>
      </w:r>
      <w:r>
        <w:rPr>
          <w:rFonts w:ascii="黑体" w:eastAsia="黑体" w:hAnsi="黑体" w:hint="eastAsia"/>
        </w:rPr>
        <w:t>主控项目</w:t>
      </w:r>
    </w:p>
    <w:p>
      <w:pPr>
        <w:spacing w:line="360" w:lineRule="auto"/>
        <w:rPr>
          <w:rFonts w:ascii="宋体" w:hAnsi="宋体"/>
        </w:rPr>
      </w:pPr>
      <w:r>
        <w:rPr>
          <w:rFonts w:ascii="黑体" w:eastAsia="黑体" w:hAnsi="黑体"/>
        </w:rPr>
        <w:t>7.4.1</w:t>
      </w:r>
      <w:r>
        <w:rPr>
          <w:rFonts w:ascii="宋体" w:hAnsi="宋体" w:hint="eastAsia"/>
        </w:rPr>
        <w:t>利旧变压器安装</w:t>
      </w:r>
    </w:p>
    <w:p>
      <w:pPr>
        <w:spacing w:line="360" w:lineRule="auto"/>
        <w:rPr>
          <w:rFonts w:ascii="宋体" w:hAnsi="宋体"/>
        </w:rPr>
      </w:pPr>
      <w:r>
        <w:rPr>
          <w:rFonts w:ascii="宋体" w:hAnsi="宋体" w:hint="eastAsia"/>
        </w:rPr>
        <w:t>1. 变压器应按本规范第7.1.3条规定交接试验合格，油化验合格；</w:t>
      </w:r>
    </w:p>
    <w:p>
      <w:pPr>
        <w:spacing w:line="360" w:lineRule="auto"/>
        <w:rPr>
          <w:rFonts w:ascii="宋体" w:hAnsi="宋体"/>
        </w:rPr>
      </w:pPr>
      <w:r>
        <w:rPr>
          <w:rFonts w:ascii="黑体" w:eastAsia="黑体" w:hAnsi="黑体"/>
        </w:rPr>
        <w:t>7.4.2</w:t>
      </w:r>
      <w:r>
        <w:rPr>
          <w:rFonts w:ascii="宋体" w:hAnsi="宋体" w:hint="eastAsia"/>
        </w:rPr>
        <w:t>利旧电气配电盘、成套柜安装</w:t>
      </w:r>
    </w:p>
    <w:p>
      <w:pPr>
        <w:spacing w:line="360" w:lineRule="auto"/>
        <w:rPr>
          <w:rFonts w:ascii="宋体" w:hAnsi="宋体"/>
        </w:rPr>
      </w:pPr>
      <w:r>
        <w:rPr>
          <w:rFonts w:ascii="宋体" w:hAnsi="宋体" w:hint="eastAsia"/>
        </w:rPr>
        <w:t>1. 电气盘柜调整试验应按有关规定执行，操作及联动试验正确符合要求；互感器、电抗器、避雷器、电容器等电气元器件应按本规范第7.1.3条规定交接试验合格，调试记录完整；</w:t>
      </w:r>
    </w:p>
    <w:p>
      <w:pPr>
        <w:spacing w:line="360" w:lineRule="auto"/>
        <w:rPr>
          <w:rFonts w:ascii="宋体" w:hAnsi="宋体"/>
        </w:rPr>
      </w:pPr>
      <w:r>
        <w:rPr>
          <w:rFonts w:ascii="宋体" w:hAnsi="宋体" w:hint="eastAsia"/>
        </w:rPr>
        <w:t>2.</w:t>
      </w:r>
      <w:r>
        <w:rPr>
          <w:rFonts w:ascii="宋体" w:hAnsi="宋体" w:hint="eastAsia"/>
          <w:color w:val="000000"/>
        </w:rPr>
        <w:t>高压盘柜内断路器、隔离开关、</w:t>
      </w:r>
      <w:r>
        <w:rPr>
          <w:rFonts w:ascii="宋体" w:hAnsi="宋体" w:hint="eastAsia"/>
        </w:rPr>
        <w:t>高压母线绝缘子和高压穿墙套管交接试验合格；</w:t>
      </w:r>
    </w:p>
    <w:p>
      <w:pPr>
        <w:spacing w:line="360" w:lineRule="auto"/>
        <w:rPr>
          <w:rFonts w:ascii="宋体" w:hAnsi="宋体"/>
        </w:rPr>
      </w:pPr>
      <w:r>
        <w:rPr>
          <w:rFonts w:ascii="黑体" w:eastAsia="黑体" w:hAnsi="黑体"/>
        </w:rPr>
        <w:t>7.4.3</w:t>
      </w:r>
      <w:r>
        <w:rPr>
          <w:rFonts w:ascii="宋体" w:hAnsi="宋体" w:hint="eastAsia"/>
        </w:rPr>
        <w:t>利旧主传动电机安装</w:t>
      </w:r>
    </w:p>
    <w:p>
      <w:pPr>
        <w:spacing w:line="360" w:lineRule="auto"/>
        <w:rPr>
          <w:rFonts w:ascii="宋体" w:hAnsi="宋体"/>
        </w:rPr>
      </w:pPr>
      <w:r>
        <w:rPr>
          <w:rFonts w:ascii="宋体" w:hAnsi="宋体" w:hint="eastAsia"/>
        </w:rPr>
        <w:t>1. 主传动电机应按本规范第7.1.3条规定交接试验合格；</w:t>
      </w:r>
    </w:p>
    <w:p>
      <w:pPr>
        <w:spacing w:line="360" w:lineRule="auto"/>
        <w:rPr>
          <w:rFonts w:ascii="宋体" w:hAnsi="宋体"/>
        </w:rPr>
      </w:pPr>
      <w:r>
        <w:rPr>
          <w:rFonts w:ascii="宋体" w:hAnsi="宋体" w:hint="eastAsia"/>
        </w:rPr>
        <w:t>2. 主传动电机相间绝缘电阻值必须符合检修规程规定；</w:t>
      </w:r>
    </w:p>
    <w:p>
      <w:pPr>
        <w:spacing w:line="360" w:lineRule="auto"/>
        <w:rPr>
          <w:rFonts w:ascii="宋体" w:hAnsi="宋体"/>
        </w:rPr>
      </w:pPr>
      <w:r>
        <w:rPr>
          <w:rFonts w:ascii="黑体" w:eastAsia="黑体" w:hAnsi="黑体"/>
        </w:rPr>
        <w:t>7.4.4</w:t>
      </w:r>
      <w:r>
        <w:rPr>
          <w:rFonts w:ascii="宋体" w:hAnsi="宋体" w:hint="eastAsia"/>
        </w:rPr>
        <w:t>利旧滑触线和移动式软电缆安装</w:t>
      </w:r>
    </w:p>
    <w:p>
      <w:pPr>
        <w:spacing w:line="360" w:lineRule="auto"/>
        <w:rPr>
          <w:rFonts w:ascii="宋体" w:hAnsi="宋体"/>
        </w:rPr>
      </w:pPr>
      <w:r>
        <w:rPr>
          <w:rFonts w:ascii="宋体" w:hAnsi="宋体" w:hint="eastAsia"/>
        </w:rPr>
        <w:t>1.利旧滑触线相间或各相对地间绝缘电阻必须符合检修规程规定；</w:t>
      </w:r>
    </w:p>
    <w:p>
      <w:pPr>
        <w:spacing w:line="360" w:lineRule="auto"/>
        <w:rPr>
          <w:rFonts w:ascii="宋体" w:hAnsi="宋体"/>
        </w:rPr>
        <w:sectPr>
          <w:footerReference w:type="default" r:id="rId46"/>
          <w:type w:val="nextPage"/>
          <w:pgSz w:w="11906" w:h="16838"/>
          <w:pgMar w:top="1440" w:right="1800" w:bottom="1440" w:left="1800" w:header="851" w:footer="992" w:gutter="0"/>
          <w:pgNumType w:start="23"/>
          <w:cols w:num="1" w:space="720"/>
          <w:titlePg w:val="0"/>
          <w:docGrid w:type="lines" w:linePitch="312" w:charSpace="0"/>
        </w:sectPr>
      </w:pPr>
      <w:r>
        <w:rPr>
          <w:rFonts w:ascii="黑体" w:eastAsia="黑体" w:hAnsi="黑体"/>
        </w:rPr>
        <w:t>7.4.5</w:t>
      </w:r>
      <w:r>
        <w:rPr>
          <w:rFonts w:ascii="宋体" w:hAnsi="宋体" w:hint="eastAsia"/>
        </w:rPr>
        <w:t>利旧电缆敷设</w:t>
      </w:r>
    </w:p>
    <w:p>
      <w:pPr>
        <w:spacing w:line="360" w:lineRule="auto"/>
        <w:rPr>
          <w:rFonts w:ascii="宋体" w:hAnsi="宋体"/>
        </w:rPr>
      </w:pPr>
      <w:r>
        <w:rPr>
          <w:rFonts w:ascii="宋体" w:hAnsi="宋体" w:hint="eastAsia"/>
        </w:rPr>
        <w:t>1. 利旧高压电力电缆应按本规范第7.1.3条规定交接试验合格。</w:t>
      </w:r>
    </w:p>
    <w:p>
      <w:pPr>
        <w:spacing w:line="360" w:lineRule="auto"/>
        <w:rPr>
          <w:rFonts w:ascii="宋体" w:hAnsi="宋体"/>
        </w:rPr>
      </w:pPr>
      <w:r>
        <w:rPr>
          <w:rFonts w:ascii="宋体" w:hAnsi="宋体" w:hint="eastAsia"/>
        </w:rPr>
        <w:t>2. 利旧电缆绝缘电阻值必须符合检修规程规定。</w:t>
      </w:r>
    </w:p>
    <w:p>
      <w:pPr>
        <w:spacing w:line="360" w:lineRule="auto"/>
        <w:rPr>
          <w:rFonts w:ascii="宋体" w:hAnsi="宋体"/>
        </w:rPr>
      </w:pPr>
      <w:r>
        <w:rPr>
          <w:rFonts w:ascii="黑体" w:eastAsia="黑体" w:hAnsi="黑体"/>
        </w:rPr>
        <w:t>7.4.6</w:t>
      </w:r>
      <w:r>
        <w:rPr>
          <w:rFonts w:ascii="宋体" w:hAnsi="宋体" w:hint="eastAsia"/>
        </w:rPr>
        <w:t>所有利旧电气设备裸露且不带电的金属部分必须可靠接地。</w:t>
      </w:r>
    </w:p>
    <w:p>
      <w:pPr>
        <w:spacing w:line="360" w:lineRule="auto"/>
        <w:rPr>
          <w:rFonts w:ascii="宋体" w:hAnsi="宋体"/>
        </w:rPr>
      </w:pPr>
    </w:p>
    <w:p>
      <w:pPr>
        <w:spacing w:line="360" w:lineRule="auto"/>
        <w:jc w:val="center"/>
        <w:rPr>
          <w:rFonts w:ascii="宋体" w:hAnsi="宋体"/>
          <w:b/>
        </w:rPr>
      </w:pPr>
      <w:r>
        <w:rPr>
          <w:rFonts w:ascii="宋体" w:hAnsi="宋体" w:hint="eastAsia"/>
          <w:b/>
        </w:rPr>
        <w:t>Ⅱ  一般项目</w:t>
      </w:r>
    </w:p>
    <w:p>
      <w:pPr>
        <w:spacing w:line="360" w:lineRule="auto"/>
        <w:rPr>
          <w:rFonts w:ascii="宋体" w:hAnsi="宋体"/>
        </w:rPr>
      </w:pPr>
      <w:r>
        <w:rPr>
          <w:rFonts w:ascii="黑体" w:eastAsia="黑体" w:hAnsi="黑体"/>
        </w:rPr>
        <w:t>7.4.7</w:t>
      </w:r>
      <w:r>
        <w:rPr>
          <w:rFonts w:ascii="宋体" w:hAnsi="宋体" w:hint="eastAsia"/>
        </w:rPr>
        <w:t>利旧变压器安装</w:t>
      </w:r>
    </w:p>
    <w:p>
      <w:pPr>
        <w:spacing w:line="360" w:lineRule="auto"/>
        <w:rPr>
          <w:rFonts w:ascii="宋体" w:hAnsi="宋体"/>
        </w:rPr>
      </w:pPr>
      <w:r>
        <w:rPr>
          <w:rFonts w:ascii="宋体" w:hAnsi="宋体" w:hint="eastAsia"/>
        </w:rPr>
        <w:t>1. 利旧变压器器身无渗油现象，油位正常，高低压瓷瓶完好、无破损；利旧变压器本体外壳已整修，满足相关检修规程规定。</w:t>
      </w:r>
    </w:p>
    <w:p>
      <w:pPr>
        <w:spacing w:line="360" w:lineRule="auto"/>
        <w:rPr>
          <w:rFonts w:ascii="宋体" w:hAnsi="宋体"/>
        </w:rPr>
      </w:pPr>
      <w:r>
        <w:rPr>
          <w:rFonts w:ascii="宋体" w:hAnsi="宋体" w:hint="eastAsia"/>
        </w:rPr>
        <w:t>2. 利旧变压器位置应准确有滚轮的变压器就位后，应用制动装置将滚轮加以固定。</w:t>
      </w:r>
    </w:p>
    <w:p>
      <w:pPr>
        <w:spacing w:line="360" w:lineRule="auto"/>
        <w:rPr>
          <w:rFonts w:ascii="宋体" w:hAnsi="宋体"/>
        </w:rPr>
      </w:pPr>
      <w:r>
        <w:rPr>
          <w:rFonts w:ascii="宋体" w:hAnsi="宋体" w:hint="eastAsia"/>
        </w:rPr>
        <w:t>3. 利旧电气母线连接处宜打磨、涂抹导电膏，确保其导电性。</w:t>
      </w:r>
    </w:p>
    <w:p>
      <w:pPr>
        <w:spacing w:line="360" w:lineRule="auto"/>
        <w:rPr>
          <w:rFonts w:ascii="宋体" w:hAnsi="宋体"/>
        </w:rPr>
      </w:pPr>
      <w:r>
        <w:rPr>
          <w:rFonts w:ascii="黑体" w:eastAsia="黑体" w:hAnsi="黑体"/>
        </w:rPr>
        <w:t>7.4.8</w:t>
      </w:r>
      <w:r>
        <w:rPr>
          <w:rFonts w:ascii="宋体" w:hAnsi="宋体" w:hint="eastAsia"/>
        </w:rPr>
        <w:t>利旧电气配电盘、成套柜安装</w:t>
      </w:r>
    </w:p>
    <w:p>
      <w:pPr>
        <w:spacing w:line="360" w:lineRule="auto"/>
        <w:rPr>
          <w:rFonts w:ascii="宋体" w:hAnsi="宋体"/>
        </w:rPr>
      </w:pPr>
      <w:r>
        <w:rPr>
          <w:rFonts w:ascii="宋体" w:hAnsi="宋体" w:hint="eastAsia"/>
        </w:rPr>
        <w:t>1. 利旧电气盘柜内部电气原件检查，柜体变形检查。利旧盘柜已整修，满足相关检修规程规定。</w:t>
      </w:r>
    </w:p>
    <w:p>
      <w:pPr>
        <w:spacing w:line="360" w:lineRule="auto"/>
        <w:rPr>
          <w:rFonts w:ascii="宋体" w:hAnsi="宋体"/>
        </w:rPr>
      </w:pPr>
      <w:r>
        <w:rPr>
          <w:rFonts w:ascii="宋体" w:hAnsi="宋体" w:hint="eastAsia"/>
        </w:rPr>
        <w:t>2.利旧电气盘柜</w:t>
      </w:r>
      <w:r>
        <w:rPr>
          <w:rFonts w:ascii="宋体" w:hAnsi="宋体" w:hint="eastAsia"/>
          <w:color w:val="000000"/>
        </w:rPr>
        <w:t>单独或成列安装时，其垂直度、水平偏差，以及盘、柜面偏差和盘、柜间接缝的</w:t>
      </w:r>
      <w:r>
        <w:rPr>
          <w:rFonts w:ascii="宋体" w:hAnsi="宋体" w:hint="eastAsia"/>
        </w:rPr>
        <w:t>允许偏差符合表7.4.8规定</w:t>
      </w:r>
    </w:p>
    <w:p>
      <w:pPr>
        <w:spacing w:line="360" w:lineRule="auto"/>
        <w:jc w:val="center"/>
        <w:rPr>
          <w:rFonts w:ascii="黑体" w:eastAsia="黑体" w:hAnsi="黑体"/>
        </w:rPr>
      </w:pPr>
      <w:r>
        <w:rPr>
          <w:rFonts w:ascii="黑体" w:eastAsia="黑体" w:hAnsi="黑体" w:hint="eastAsia"/>
        </w:rPr>
        <w:t>表</w:t>
      </w:r>
      <w:r>
        <w:rPr>
          <w:rFonts w:ascii="黑体" w:eastAsia="黑体" w:hAnsi="黑体"/>
        </w:rPr>
        <w:t xml:space="preserve">7.4.8  </w:t>
      </w:r>
      <w:r>
        <w:rPr>
          <w:rFonts w:ascii="黑体" w:eastAsia="黑体" w:hAnsi="黑体" w:hint="eastAsia"/>
        </w:rPr>
        <w:t>盘、柜安装的允许偏差（</w:t>
      </w:r>
      <w:r>
        <w:rPr>
          <w:rFonts w:ascii="黑体" w:eastAsia="黑体" w:hAnsi="黑体"/>
        </w:rPr>
        <w:t>mm）</w:t>
      </w:r>
    </w:p>
    <w:tbl>
      <w:tblPr>
        <w:tblStyle w:val="TableNormal"/>
        <w:tblW w:w="0" w:type="auto"/>
        <w:jc w:val="center"/>
        <w:tblLayout w:type="fixed"/>
        <w:tblCellMar>
          <w:top w:w="0" w:type="dxa"/>
          <w:left w:w="0" w:type="dxa"/>
          <w:bottom w:w="0" w:type="dxa"/>
          <w:right w:w="0" w:type="dxa"/>
        </w:tblCellMar>
      </w:tblPr>
      <w:tblGrid>
        <w:gridCol w:w="1580"/>
        <w:gridCol w:w="1606"/>
        <w:gridCol w:w="2714"/>
      </w:tblGrid>
      <w:tr>
        <w:tblPrEx>
          <w:tblW w:w="0" w:type="auto"/>
          <w:jc w:val="center"/>
          <w:tblLayout w:type="fixed"/>
          <w:tblCellMar>
            <w:top w:w="0" w:type="dxa"/>
            <w:left w:w="0" w:type="dxa"/>
            <w:bottom w:w="0" w:type="dxa"/>
            <w:right w:w="0" w:type="dxa"/>
          </w:tblCellMar>
        </w:tblPrEx>
        <w:trPr>
          <w:trHeight w:val="298"/>
          <w:jc w:val="center"/>
        </w:trPr>
        <w:tc>
          <w:tcPr>
            <w:tcW w:w="3186" w:type="dxa"/>
            <w:gridSpan w:val="2"/>
            <w:tcBorders>
              <w:top w:val="single" w:sz="12" w:space="0" w:color="auto"/>
              <w:left w:val="single" w:sz="12" w:space="0" w:color="auto"/>
              <w:bottom w:val="single" w:sz="8" w:space="0" w:color="auto"/>
              <w:right w:val="single" w:sz="8" w:space="0" w:color="auto"/>
            </w:tcBorders>
          </w:tcPr>
          <w:p>
            <w:pPr>
              <w:autoSpaceDE w:val="0"/>
              <w:autoSpaceDN w:val="0"/>
              <w:jc w:val="center"/>
              <w:rPr>
                <w:rFonts w:ascii="宋体" w:cs="宋体"/>
                <w:color w:val="000000"/>
                <w:sz w:val="18"/>
                <w:szCs w:val="18"/>
              </w:rPr>
            </w:pPr>
            <w:r>
              <w:rPr>
                <w:rFonts w:ascii="宋体" w:cs="宋体" w:hint="eastAsia"/>
                <w:color w:val="000000"/>
                <w:sz w:val="18"/>
                <w:szCs w:val="18"/>
              </w:rPr>
              <w:t>项</w:t>
            </w:r>
            <w:r>
              <w:rPr>
                <w:rFonts w:ascii="宋体" w:cs="宋体"/>
                <w:color w:val="000000"/>
                <w:sz w:val="18"/>
                <w:szCs w:val="18"/>
              </w:rPr>
              <w:t xml:space="preserve">    </w:t>
            </w:r>
            <w:r>
              <w:rPr>
                <w:rFonts w:ascii="宋体" w:cs="宋体" w:hint="eastAsia"/>
                <w:color w:val="000000"/>
                <w:sz w:val="18"/>
                <w:szCs w:val="18"/>
              </w:rPr>
              <w:t>目</w:t>
            </w:r>
          </w:p>
        </w:tc>
        <w:tc>
          <w:tcPr>
            <w:tcW w:w="2714" w:type="dxa"/>
            <w:tcBorders>
              <w:top w:val="single" w:sz="12" w:space="0" w:color="auto"/>
              <w:left w:val="single" w:sz="8" w:space="0" w:color="auto"/>
              <w:bottom w:val="single" w:sz="8" w:space="0" w:color="auto"/>
              <w:right w:val="single" w:sz="12" w:space="0" w:color="auto"/>
            </w:tcBorders>
          </w:tcPr>
          <w:p>
            <w:pPr>
              <w:autoSpaceDE w:val="0"/>
              <w:autoSpaceDN w:val="0"/>
              <w:jc w:val="center"/>
              <w:rPr>
                <w:rFonts w:ascii="宋体" w:cs="宋体"/>
                <w:color w:val="000000"/>
                <w:sz w:val="18"/>
                <w:szCs w:val="18"/>
              </w:rPr>
            </w:pPr>
            <w:r>
              <w:rPr>
                <w:rFonts w:ascii="宋体" w:cs="宋体" w:hint="eastAsia"/>
                <w:color w:val="000000"/>
                <w:sz w:val="18"/>
                <w:szCs w:val="18"/>
              </w:rPr>
              <w:t>允许偏差</w:t>
            </w:r>
          </w:p>
        </w:tc>
      </w:tr>
      <w:tr>
        <w:tblPrEx>
          <w:tblW w:w="0" w:type="auto"/>
          <w:jc w:val="center"/>
          <w:tblLayout w:type="fixed"/>
          <w:tblCellMar>
            <w:top w:w="0" w:type="dxa"/>
            <w:left w:w="0" w:type="dxa"/>
            <w:bottom w:w="0" w:type="dxa"/>
            <w:right w:w="0" w:type="dxa"/>
          </w:tblCellMar>
        </w:tblPrEx>
        <w:trPr>
          <w:trHeight w:val="320"/>
          <w:jc w:val="center"/>
        </w:trPr>
        <w:tc>
          <w:tcPr>
            <w:tcW w:w="3186" w:type="dxa"/>
            <w:gridSpan w:val="2"/>
            <w:tcBorders>
              <w:top w:val="single" w:sz="8" w:space="0" w:color="auto"/>
              <w:left w:val="single" w:sz="12" w:space="0" w:color="auto"/>
              <w:bottom w:val="single" w:sz="8" w:space="0" w:color="auto"/>
              <w:right w:val="single" w:sz="8" w:space="0" w:color="auto"/>
            </w:tcBorders>
          </w:tcPr>
          <w:p>
            <w:pPr>
              <w:autoSpaceDE w:val="0"/>
              <w:autoSpaceDN w:val="0"/>
              <w:jc w:val="center"/>
              <w:rPr>
                <w:rFonts w:ascii="宋体" w:cs="宋体"/>
                <w:color w:val="000000"/>
                <w:sz w:val="18"/>
                <w:szCs w:val="18"/>
              </w:rPr>
            </w:pPr>
            <w:r>
              <w:rPr>
                <w:rFonts w:ascii="宋体" w:cs="宋体" w:hint="eastAsia"/>
                <w:color w:val="000000"/>
                <w:sz w:val="18"/>
                <w:szCs w:val="18"/>
              </w:rPr>
              <w:t>垂直度</w:t>
            </w:r>
            <w:r>
              <w:rPr>
                <w:rFonts w:ascii="宋体" w:cs="宋体"/>
                <w:color w:val="000000"/>
                <w:sz w:val="18"/>
                <w:szCs w:val="18"/>
              </w:rPr>
              <w:t>(</w:t>
            </w:r>
            <w:r>
              <w:rPr>
                <w:rFonts w:ascii="宋体" w:cs="宋体" w:hint="eastAsia"/>
                <w:color w:val="000000"/>
                <w:sz w:val="18"/>
                <w:szCs w:val="18"/>
              </w:rPr>
              <w:t>每米</w:t>
            </w:r>
            <w:r>
              <w:rPr>
                <w:rFonts w:ascii="宋体" w:cs="宋体"/>
                <w:color w:val="000000"/>
                <w:sz w:val="18"/>
                <w:szCs w:val="18"/>
              </w:rPr>
              <w:t>)</w:t>
            </w:r>
          </w:p>
        </w:tc>
        <w:tc>
          <w:tcPr>
            <w:tcW w:w="2714" w:type="dxa"/>
            <w:tcBorders>
              <w:top w:val="single" w:sz="8" w:space="0" w:color="auto"/>
              <w:left w:val="single" w:sz="8" w:space="0" w:color="auto"/>
              <w:bottom w:val="single" w:sz="8" w:space="0" w:color="auto"/>
              <w:right w:val="single" w:sz="12" w:space="0" w:color="auto"/>
            </w:tcBorders>
            <w:vAlign w:val="center"/>
          </w:tcPr>
          <w:p>
            <w:pPr>
              <w:autoSpaceDE w:val="0"/>
              <w:autoSpaceDN w:val="0"/>
              <w:jc w:val="center"/>
              <w:rPr>
                <w:rFonts w:ascii="宋体" w:cs="宋体"/>
                <w:color w:val="000000"/>
                <w:sz w:val="18"/>
                <w:szCs w:val="18"/>
              </w:rPr>
            </w:pPr>
            <w:r>
              <w:rPr>
                <w:rFonts w:ascii="宋体" w:cs="宋体"/>
                <w:color w:val="000000"/>
                <w:sz w:val="18"/>
                <w:szCs w:val="18"/>
              </w:rPr>
              <w:t>3</w:t>
            </w:r>
          </w:p>
        </w:tc>
      </w:tr>
      <w:tr>
        <w:tblPrEx>
          <w:tblW w:w="0" w:type="auto"/>
          <w:jc w:val="center"/>
          <w:tblLayout w:type="fixed"/>
          <w:tblCellMar>
            <w:top w:w="0" w:type="dxa"/>
            <w:left w:w="0" w:type="dxa"/>
            <w:bottom w:w="0" w:type="dxa"/>
            <w:right w:w="0" w:type="dxa"/>
          </w:tblCellMar>
        </w:tblPrEx>
        <w:trPr>
          <w:trHeight w:val="320"/>
          <w:jc w:val="center"/>
        </w:trPr>
        <w:tc>
          <w:tcPr>
            <w:tcW w:w="3186" w:type="dxa"/>
            <w:gridSpan w:val="2"/>
            <w:tcBorders>
              <w:top w:val="single" w:sz="8" w:space="0" w:color="auto"/>
              <w:left w:val="single" w:sz="12" w:space="0" w:color="auto"/>
              <w:bottom w:val="single" w:sz="8" w:space="0" w:color="auto"/>
              <w:right w:val="single" w:sz="8" w:space="0" w:color="auto"/>
            </w:tcBorders>
          </w:tcPr>
          <w:p>
            <w:pPr>
              <w:autoSpaceDE w:val="0"/>
              <w:autoSpaceDN w:val="0"/>
              <w:jc w:val="center"/>
              <w:rPr>
                <w:rFonts w:ascii="宋体" w:cs="宋体"/>
                <w:color w:val="000000"/>
                <w:sz w:val="18"/>
                <w:szCs w:val="18"/>
              </w:rPr>
            </w:pPr>
            <w:r>
              <w:rPr>
                <w:rFonts w:ascii="宋体" w:cs="宋体" w:hint="eastAsia"/>
                <w:color w:val="000000"/>
                <w:sz w:val="18"/>
                <w:szCs w:val="18"/>
              </w:rPr>
              <w:t>盘间接缝</w:t>
            </w:r>
          </w:p>
        </w:tc>
        <w:tc>
          <w:tcPr>
            <w:tcW w:w="2714" w:type="dxa"/>
            <w:tcBorders>
              <w:top w:val="single" w:sz="8" w:space="0" w:color="auto"/>
              <w:left w:val="single" w:sz="8" w:space="0" w:color="auto"/>
              <w:bottom w:val="single" w:sz="8" w:space="0" w:color="auto"/>
              <w:right w:val="single" w:sz="12" w:space="0" w:color="auto"/>
            </w:tcBorders>
            <w:vAlign w:val="center"/>
          </w:tcPr>
          <w:p>
            <w:pPr>
              <w:autoSpaceDE w:val="0"/>
              <w:autoSpaceDN w:val="0"/>
              <w:jc w:val="center"/>
              <w:rPr>
                <w:rFonts w:ascii="宋体" w:cs="宋体"/>
                <w:color w:val="000000"/>
                <w:sz w:val="18"/>
                <w:szCs w:val="18"/>
              </w:rPr>
            </w:pPr>
            <w:r>
              <w:rPr>
                <w:rFonts w:ascii="宋体" w:cs="宋体"/>
                <w:color w:val="000000"/>
                <w:sz w:val="18"/>
                <w:szCs w:val="18"/>
              </w:rPr>
              <w:t>4</w:t>
            </w:r>
          </w:p>
        </w:tc>
      </w:tr>
      <w:tr>
        <w:tblPrEx>
          <w:tblW w:w="0" w:type="auto"/>
          <w:jc w:val="center"/>
          <w:tblLayout w:type="fixed"/>
          <w:tblCellMar>
            <w:top w:w="0" w:type="dxa"/>
            <w:left w:w="0" w:type="dxa"/>
            <w:bottom w:w="0" w:type="dxa"/>
            <w:right w:w="0" w:type="dxa"/>
          </w:tblCellMar>
        </w:tblPrEx>
        <w:trPr>
          <w:trHeight w:val="327"/>
          <w:jc w:val="center"/>
        </w:trPr>
        <w:tc>
          <w:tcPr>
            <w:tcW w:w="1580" w:type="dxa"/>
            <w:vMerge w:val="restart"/>
            <w:tcBorders>
              <w:top w:val="single" w:sz="8" w:space="0" w:color="auto"/>
              <w:left w:val="single" w:sz="12" w:space="0" w:color="auto"/>
              <w:right w:val="single" w:sz="8" w:space="0" w:color="auto"/>
            </w:tcBorders>
            <w:vAlign w:val="center"/>
          </w:tcPr>
          <w:p>
            <w:pPr>
              <w:autoSpaceDE w:val="0"/>
              <w:autoSpaceDN w:val="0"/>
              <w:jc w:val="center"/>
              <w:rPr>
                <w:rFonts w:ascii="宋体" w:cs="宋体"/>
                <w:color w:val="000000"/>
                <w:sz w:val="18"/>
                <w:szCs w:val="18"/>
              </w:rPr>
            </w:pPr>
            <w:r>
              <w:rPr>
                <w:rFonts w:ascii="宋体" w:cs="宋体" w:hint="eastAsia"/>
                <w:color w:val="000000"/>
                <w:sz w:val="18"/>
                <w:szCs w:val="18"/>
              </w:rPr>
              <w:t>盘面偏差</w:t>
            </w:r>
          </w:p>
        </w:tc>
        <w:tc>
          <w:tcPr>
            <w:tcW w:w="1606" w:type="dxa"/>
            <w:tcBorders>
              <w:top w:val="single" w:sz="8" w:space="0" w:color="auto"/>
              <w:left w:val="single" w:sz="8" w:space="0" w:color="auto"/>
              <w:bottom w:val="single" w:sz="8" w:space="0" w:color="auto"/>
              <w:right w:val="single" w:sz="8" w:space="0" w:color="auto"/>
            </w:tcBorders>
          </w:tcPr>
          <w:p>
            <w:pPr>
              <w:autoSpaceDE w:val="0"/>
              <w:autoSpaceDN w:val="0"/>
              <w:jc w:val="center"/>
              <w:rPr>
                <w:rFonts w:ascii="宋体" w:cs="宋体"/>
                <w:color w:val="000000"/>
                <w:sz w:val="18"/>
                <w:szCs w:val="18"/>
              </w:rPr>
            </w:pPr>
            <w:r>
              <w:rPr>
                <w:rFonts w:ascii="宋体" w:cs="宋体" w:hint="eastAsia"/>
                <w:color w:val="000000"/>
                <w:sz w:val="18"/>
                <w:szCs w:val="18"/>
              </w:rPr>
              <w:t>相邻两盘</w:t>
            </w:r>
          </w:p>
        </w:tc>
        <w:tc>
          <w:tcPr>
            <w:tcW w:w="2714" w:type="dxa"/>
            <w:tcBorders>
              <w:top w:val="single" w:sz="8" w:space="0" w:color="auto"/>
              <w:left w:val="single" w:sz="8" w:space="0" w:color="auto"/>
              <w:bottom w:val="single" w:sz="8" w:space="0" w:color="auto"/>
              <w:right w:val="single" w:sz="12" w:space="0" w:color="auto"/>
            </w:tcBorders>
            <w:vAlign w:val="center"/>
          </w:tcPr>
          <w:p>
            <w:pPr>
              <w:autoSpaceDE w:val="0"/>
              <w:autoSpaceDN w:val="0"/>
              <w:jc w:val="center"/>
              <w:rPr>
                <w:rFonts w:ascii="宋体" w:cs="宋体"/>
                <w:color w:val="000000"/>
                <w:sz w:val="18"/>
                <w:szCs w:val="18"/>
              </w:rPr>
            </w:pPr>
            <w:r>
              <w:rPr>
                <w:rFonts w:ascii="宋体" w:cs="宋体"/>
                <w:color w:val="000000"/>
                <w:sz w:val="18"/>
                <w:szCs w:val="18"/>
              </w:rPr>
              <w:t>2</w:t>
            </w:r>
          </w:p>
        </w:tc>
      </w:tr>
      <w:tr>
        <w:tblPrEx>
          <w:tblW w:w="0" w:type="auto"/>
          <w:jc w:val="center"/>
          <w:tblLayout w:type="fixed"/>
          <w:tblCellMar>
            <w:top w:w="0" w:type="dxa"/>
            <w:left w:w="0" w:type="dxa"/>
            <w:bottom w:w="0" w:type="dxa"/>
            <w:right w:w="0" w:type="dxa"/>
          </w:tblCellMar>
        </w:tblPrEx>
        <w:trPr>
          <w:trHeight w:val="302"/>
          <w:jc w:val="center"/>
        </w:trPr>
        <w:tc>
          <w:tcPr>
            <w:tcW w:w="1580" w:type="dxa"/>
            <w:vMerge/>
            <w:tcBorders>
              <w:left w:val="single" w:sz="12" w:space="0" w:color="auto"/>
              <w:bottom w:val="single" w:sz="12" w:space="0" w:color="auto"/>
              <w:right w:val="single" w:sz="8" w:space="0" w:color="auto"/>
            </w:tcBorders>
          </w:tcPr>
          <w:p>
            <w:pPr>
              <w:autoSpaceDE w:val="0"/>
              <w:autoSpaceDN w:val="0"/>
              <w:jc w:val="center"/>
              <w:rPr>
                <w:rFonts w:ascii="宋体" w:cs="宋体"/>
                <w:color w:val="000000"/>
                <w:sz w:val="18"/>
                <w:szCs w:val="18"/>
              </w:rPr>
            </w:pPr>
          </w:p>
        </w:tc>
        <w:tc>
          <w:tcPr>
            <w:tcW w:w="1606" w:type="dxa"/>
            <w:tcBorders>
              <w:top w:val="single" w:sz="8" w:space="0" w:color="auto"/>
              <w:left w:val="single" w:sz="8" w:space="0" w:color="auto"/>
              <w:bottom w:val="single" w:sz="12" w:space="0" w:color="auto"/>
              <w:right w:val="single" w:sz="8" w:space="0" w:color="auto"/>
            </w:tcBorders>
            <w:vAlign w:val="center"/>
          </w:tcPr>
          <w:p>
            <w:pPr>
              <w:autoSpaceDE w:val="0"/>
              <w:autoSpaceDN w:val="0"/>
              <w:jc w:val="center"/>
              <w:rPr>
                <w:rFonts w:ascii="宋体" w:cs="宋体"/>
                <w:color w:val="000000"/>
                <w:sz w:val="18"/>
                <w:szCs w:val="18"/>
              </w:rPr>
            </w:pPr>
            <w:r>
              <w:rPr>
                <w:rFonts w:ascii="宋体" w:cs="宋体" w:hint="eastAsia"/>
                <w:color w:val="000000"/>
                <w:sz w:val="18"/>
                <w:szCs w:val="18"/>
              </w:rPr>
              <w:t>成列盘面</w:t>
            </w:r>
          </w:p>
        </w:tc>
        <w:tc>
          <w:tcPr>
            <w:tcW w:w="2714" w:type="dxa"/>
            <w:tcBorders>
              <w:top w:val="single" w:sz="8" w:space="0" w:color="auto"/>
              <w:left w:val="single" w:sz="8" w:space="0" w:color="auto"/>
              <w:bottom w:val="single" w:sz="12" w:space="0" w:color="auto"/>
              <w:right w:val="single" w:sz="12" w:space="0" w:color="auto"/>
            </w:tcBorders>
            <w:vAlign w:val="center"/>
          </w:tcPr>
          <w:p>
            <w:pPr>
              <w:autoSpaceDE w:val="0"/>
              <w:autoSpaceDN w:val="0"/>
              <w:jc w:val="center"/>
              <w:rPr>
                <w:rFonts w:ascii="宋体" w:cs="宋体"/>
                <w:color w:val="000000"/>
                <w:sz w:val="18"/>
                <w:szCs w:val="18"/>
              </w:rPr>
            </w:pPr>
            <w:r>
              <w:rPr>
                <w:rFonts w:ascii="宋体" w:cs="宋体"/>
                <w:color w:val="000000"/>
                <w:sz w:val="18"/>
                <w:szCs w:val="18"/>
              </w:rPr>
              <w:t>10</w:t>
            </w:r>
          </w:p>
        </w:tc>
      </w:tr>
    </w:tbl>
    <w:p>
      <w:pPr>
        <w:spacing w:line="360" w:lineRule="auto"/>
        <w:rPr>
          <w:rFonts w:ascii="宋体" w:hAnsi="宋体"/>
        </w:rPr>
      </w:pPr>
      <w:r>
        <w:rPr>
          <w:rFonts w:ascii="黑体" w:eastAsia="黑体" w:hAnsi="黑体"/>
        </w:rPr>
        <w:t>7.4.9</w:t>
      </w:r>
      <w:r>
        <w:rPr>
          <w:rFonts w:ascii="宋体" w:hAnsi="宋体" w:hint="eastAsia"/>
        </w:rPr>
        <w:t>利旧主传动电机安装</w:t>
      </w:r>
    </w:p>
    <w:p>
      <w:pPr>
        <w:spacing w:line="360" w:lineRule="auto"/>
        <w:rPr>
          <w:rFonts w:ascii="宋体" w:hAnsi="宋体"/>
        </w:rPr>
      </w:pPr>
      <w:r>
        <w:rPr>
          <w:rFonts w:ascii="宋体" w:hAnsi="宋体" w:hint="eastAsia"/>
        </w:rPr>
        <w:t>1. 利旧电机外壳无破损，基座平整，利旧电机外壳及底座已整修，满足相关检修规程规定。</w:t>
      </w:r>
    </w:p>
    <w:p>
      <w:pPr>
        <w:spacing w:line="360" w:lineRule="auto"/>
        <w:rPr>
          <w:rFonts w:ascii="宋体" w:hAnsi="宋体"/>
        </w:rPr>
      </w:pPr>
      <w:r>
        <w:rPr>
          <w:rFonts w:ascii="宋体" w:hAnsi="宋体"/>
        </w:rPr>
        <w:t xml:space="preserve">2. </w:t>
      </w:r>
      <w:r>
        <w:rPr>
          <w:rFonts w:ascii="宋体" w:hAnsi="宋体" w:hint="eastAsia"/>
        </w:rPr>
        <w:t>利旧电机安装应保证电机轴面间隙及轴心度，可适当降低电机基础偏差如下：</w:t>
      </w:r>
    </w:p>
    <w:p>
      <w:pPr>
        <w:spacing w:line="360" w:lineRule="auto"/>
        <w:rPr>
          <w:rFonts w:ascii="宋体" w:hAnsi="宋体"/>
        </w:rPr>
      </w:pPr>
      <w:r>
        <w:rPr>
          <w:rFonts w:ascii="宋体" w:hAnsi="宋体"/>
        </w:rPr>
        <w:t>a.基础板纵横中心线的偏差应小于2mm。</w:t>
      </w:r>
    </w:p>
    <w:p>
      <w:pPr>
        <w:spacing w:line="360" w:lineRule="auto"/>
        <w:rPr>
          <w:rFonts w:ascii="宋体" w:hAnsi="宋体"/>
        </w:rPr>
      </w:pPr>
      <w:r>
        <w:rPr>
          <w:rFonts w:ascii="宋体" w:hAnsi="宋体"/>
        </w:rPr>
        <w:t>b.基础板标高误差应小于2ram。</w:t>
      </w:r>
    </w:p>
    <w:p>
      <w:pPr>
        <w:spacing w:line="360" w:lineRule="auto"/>
        <w:rPr>
          <w:rFonts w:ascii="宋体" w:hAnsi="宋体"/>
        </w:rPr>
      </w:pPr>
      <w:r>
        <w:rPr>
          <w:rFonts w:ascii="宋体" w:hAnsi="宋体"/>
        </w:rPr>
        <w:t>c.基础螺栓拧紧后，基础板的水平误差每米不大于0．3mm。</w:t>
      </w:r>
    </w:p>
    <w:p>
      <w:pPr>
        <w:spacing w:line="360" w:lineRule="auto"/>
        <w:rPr>
          <w:rFonts w:ascii="宋体" w:hAnsi="宋体"/>
        </w:rPr>
      </w:pPr>
      <w:r>
        <w:rPr>
          <w:rFonts w:ascii="黑体" w:eastAsia="黑体" w:hAnsi="黑体"/>
        </w:rPr>
        <w:t>7.4.10</w:t>
      </w:r>
      <w:r>
        <w:rPr>
          <w:rFonts w:ascii="宋体" w:hAnsi="宋体" w:hint="eastAsia"/>
        </w:rPr>
        <w:t>利旧滑触线和移动式软电缆安装</w:t>
      </w:r>
    </w:p>
    <w:p>
      <w:pPr>
        <w:spacing w:line="360" w:lineRule="auto"/>
        <w:rPr>
          <w:rFonts w:ascii="宋体" w:hAnsi="宋体"/>
        </w:rPr>
        <w:sectPr>
          <w:footerReference w:type="default" r:id="rId47"/>
          <w:type w:val="nextPage"/>
          <w:pgSz w:w="11906" w:h="16838"/>
          <w:pgMar w:top="1440" w:right="1800" w:bottom="1440" w:left="1800" w:header="851" w:footer="992" w:gutter="0"/>
          <w:pgNumType w:start="24"/>
          <w:cols w:num="1" w:space="720"/>
          <w:titlePg w:val="0"/>
          <w:docGrid w:type="lines" w:linePitch="312" w:charSpace="0"/>
        </w:sectPr>
      </w:pPr>
      <w:r>
        <w:rPr>
          <w:rFonts w:ascii="宋体" w:hAnsi="宋体"/>
        </w:rPr>
        <w:t xml:space="preserve">1. </w:t>
      </w:r>
      <w:r>
        <w:rPr>
          <w:rFonts w:ascii="宋体" w:hAnsi="宋体" w:hint="eastAsia"/>
        </w:rPr>
        <w:t>利旧滑触线已校正，整修完毕，满足规范要求。</w:t>
      </w:r>
    </w:p>
    <w:p>
      <w:pPr>
        <w:spacing w:line="360" w:lineRule="auto"/>
        <w:rPr>
          <w:rFonts w:ascii="宋体" w:hAnsi="宋体"/>
          <w:color w:val="000000"/>
        </w:rPr>
      </w:pPr>
      <w:r>
        <w:rPr>
          <w:rFonts w:ascii="宋体" w:hAnsi="宋体"/>
        </w:rPr>
        <w:t xml:space="preserve">2. </w:t>
      </w:r>
      <w:r>
        <w:rPr>
          <w:rFonts w:ascii="宋体" w:hAnsi="宋体"/>
          <w:color w:val="000000"/>
        </w:rPr>
        <w:t>滑触线安装后应平直。滑触线之间的距离应一致，</w:t>
      </w:r>
      <w:r>
        <w:rPr>
          <w:rFonts w:ascii="宋体" w:hAnsi="宋体" w:hint="eastAsia"/>
          <w:color w:val="000000"/>
        </w:rPr>
        <w:t>滑触线必须与行车轨道一致</w:t>
      </w:r>
      <w:r>
        <w:rPr>
          <w:rFonts w:ascii="宋体" w:hAnsi="宋体"/>
          <w:color w:val="000000"/>
        </w:rPr>
        <w:t>，其偏差应小于2Omm；滑触线之间的水平偏差或垂直偏差应小于2Omm。</w:t>
      </w:r>
    </w:p>
    <w:p>
      <w:pPr>
        <w:spacing w:line="360" w:lineRule="auto"/>
        <w:rPr>
          <w:rFonts w:ascii="宋体" w:hAnsi="宋体"/>
        </w:rPr>
      </w:pPr>
      <w:r>
        <w:rPr>
          <w:rFonts w:ascii="黑体" w:eastAsia="黑体" w:hAnsi="黑体"/>
        </w:rPr>
        <w:t>7.4.11</w:t>
      </w:r>
      <w:r>
        <w:rPr>
          <w:rFonts w:ascii="宋体" w:hAnsi="宋体" w:hint="eastAsia"/>
        </w:rPr>
        <w:t>利旧电缆桥架安装</w:t>
      </w:r>
    </w:p>
    <w:p>
      <w:pPr>
        <w:spacing w:line="360" w:lineRule="auto"/>
        <w:rPr>
          <w:rFonts w:ascii="宋体" w:hAnsi="宋体"/>
        </w:rPr>
      </w:pPr>
      <w:r>
        <w:rPr>
          <w:rFonts w:ascii="宋体" w:hAnsi="宋体" w:hint="eastAsia"/>
        </w:rPr>
        <w:t>1. 桥架之间、桥架与托臂之间，以及托臂与立柱之间的固定不宜使用电焊或气焊。桥架在托臂上应固定牢固、平直，不得有明显的扭曲或倾斜，同一直线段上的电缆桥架中心线左右偏差不得大于±</w:t>
      </w:r>
      <w:r>
        <w:rPr>
          <w:rFonts w:ascii="宋体" w:hAnsi="宋体"/>
        </w:rPr>
        <w:t>20mm，高低偏差不得大于±10mm。</w:t>
      </w:r>
    </w:p>
    <w:p>
      <w:pPr>
        <w:spacing w:line="360" w:lineRule="auto"/>
        <w:rPr>
          <w:rFonts w:ascii="宋体" w:hAnsi="宋体"/>
        </w:rPr>
      </w:pPr>
      <w:r>
        <w:rPr>
          <w:rFonts w:ascii="宋体" w:hAnsi="宋体"/>
        </w:rPr>
        <w:t xml:space="preserve">2. </w:t>
      </w:r>
      <w:r>
        <w:rPr>
          <w:rFonts w:ascii="宋体" w:hAnsi="宋体" w:hint="eastAsia"/>
        </w:rPr>
        <w:t>安装完的桥架应防腐层完好，无毛刺棱角，接口处平整，无明显凸起或扭曲现象。</w:t>
      </w:r>
    </w:p>
    <w:p>
      <w:pPr>
        <w:spacing w:line="360" w:lineRule="auto"/>
        <w:rPr>
          <w:rFonts w:ascii="宋体" w:hAnsi="宋体"/>
        </w:rPr>
      </w:pPr>
      <w:r>
        <w:rPr>
          <w:rFonts w:ascii="黑体" w:eastAsia="黑体" w:hAnsi="黑体"/>
        </w:rPr>
        <w:t>7.4.12</w:t>
      </w:r>
      <w:r>
        <w:rPr>
          <w:rFonts w:ascii="宋体" w:hAnsi="宋体" w:hint="eastAsia"/>
        </w:rPr>
        <w:t>利旧电缆敷设</w:t>
      </w:r>
    </w:p>
    <w:p>
      <w:pPr>
        <w:spacing w:line="360" w:lineRule="auto"/>
        <w:rPr>
          <w:rFonts w:ascii="宋体" w:hAnsi="宋体"/>
        </w:rPr>
      </w:pPr>
      <w:r>
        <w:rPr>
          <w:rFonts w:ascii="宋体" w:hAnsi="宋体" w:hint="eastAsia"/>
        </w:rPr>
        <w:t>1. 利旧电缆外观无绞拧，无铠装压扁，无护层断裂、无表面严重划痕等缺陷，可满足检修工程使用。</w:t>
      </w:r>
    </w:p>
    <w:p>
      <w:pPr>
        <w:spacing w:line="360" w:lineRule="auto"/>
        <w:rPr>
          <w:rFonts w:ascii="宋体" w:hAnsi="宋体"/>
        </w:rPr>
      </w:pPr>
      <w:r>
        <w:rPr>
          <w:rFonts w:ascii="宋体" w:hAnsi="宋体" w:hint="eastAsia"/>
        </w:rPr>
        <w:t>2. 利旧电缆敷设在桥架转弯处的弯曲半径，不应小于桥架内电缆最小允许弯曲半径。电缆最小弯曲半径见表7.4.12。</w:t>
      </w:r>
    </w:p>
    <w:p>
      <w:pPr>
        <w:spacing w:line="360" w:lineRule="auto"/>
        <w:jc w:val="center"/>
        <w:rPr>
          <w:rFonts w:ascii="黑体" w:eastAsia="黑体" w:hAnsi="黑体"/>
        </w:rPr>
      </w:pPr>
      <w:r>
        <w:rPr>
          <w:rFonts w:ascii="黑体" w:eastAsia="黑体" w:hAnsi="黑体" w:hint="eastAsia"/>
        </w:rPr>
        <w:t>表</w:t>
      </w:r>
      <w:r>
        <w:rPr>
          <w:rFonts w:ascii="黑体" w:eastAsia="黑体" w:hAnsi="黑体"/>
        </w:rPr>
        <w:t>7.4.12电缆最小弯曲半径</w:t>
      </w:r>
    </w:p>
    <w:tbl>
      <w:tblPr>
        <w:tblStyle w:val="TableNormal"/>
        <w:tblW w:w="0" w:type="auto"/>
        <w:tblInd w:w="0"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top w:w="0" w:type="dxa"/>
          <w:left w:w="108" w:type="dxa"/>
          <w:bottom w:w="0" w:type="dxa"/>
          <w:right w:w="108" w:type="dxa"/>
        </w:tblCellMar>
      </w:tblPr>
      <w:tblGrid>
        <w:gridCol w:w="2660"/>
        <w:gridCol w:w="2835"/>
        <w:gridCol w:w="1513"/>
        <w:gridCol w:w="1514"/>
      </w:tblGrid>
      <w:tr>
        <w:tblPrEx>
          <w:tblW w:w="0" w:type="auto"/>
          <w:tblInd w:w="0"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top w:w="0" w:type="dxa"/>
            <w:left w:w="108" w:type="dxa"/>
            <w:bottom w:w="0" w:type="dxa"/>
            <w:right w:w="108" w:type="dxa"/>
          </w:tblCellMar>
        </w:tblPrEx>
        <w:tc>
          <w:tcPr>
            <w:tcW w:w="5495" w:type="dxa"/>
            <w:gridSpan w:val="2"/>
            <w:vAlign w:val="center"/>
          </w:tcPr>
          <w:p>
            <w:pPr>
              <w:spacing w:line="360" w:lineRule="auto"/>
              <w:jc w:val="center"/>
              <w:rPr>
                <w:rFonts w:ascii="宋体" w:hAnsi="宋体"/>
                <w:sz w:val="18"/>
                <w:szCs w:val="18"/>
              </w:rPr>
            </w:pPr>
            <w:r>
              <w:rPr>
                <w:rFonts w:ascii="宋体" w:hAnsi="宋体" w:hint="eastAsia"/>
                <w:sz w:val="18"/>
                <w:szCs w:val="18"/>
              </w:rPr>
              <w:t>电缆型式</w:t>
            </w:r>
          </w:p>
        </w:tc>
        <w:tc>
          <w:tcPr>
            <w:tcW w:w="1513" w:type="dxa"/>
            <w:vAlign w:val="center"/>
          </w:tcPr>
          <w:p>
            <w:pPr>
              <w:spacing w:line="360" w:lineRule="auto"/>
              <w:jc w:val="center"/>
              <w:rPr>
                <w:rFonts w:ascii="宋体" w:hAnsi="宋体"/>
                <w:sz w:val="18"/>
                <w:szCs w:val="18"/>
              </w:rPr>
            </w:pPr>
            <w:r>
              <w:rPr>
                <w:rFonts w:ascii="宋体" w:hAnsi="宋体" w:hint="eastAsia"/>
                <w:sz w:val="18"/>
                <w:szCs w:val="18"/>
              </w:rPr>
              <w:t>多芯</w:t>
            </w:r>
          </w:p>
        </w:tc>
        <w:tc>
          <w:tcPr>
            <w:tcW w:w="1514" w:type="dxa"/>
            <w:vAlign w:val="center"/>
          </w:tcPr>
          <w:p>
            <w:pPr>
              <w:spacing w:line="360" w:lineRule="auto"/>
              <w:jc w:val="center"/>
              <w:rPr>
                <w:rFonts w:ascii="宋体" w:hAnsi="宋体"/>
                <w:sz w:val="18"/>
                <w:szCs w:val="18"/>
              </w:rPr>
            </w:pPr>
            <w:r>
              <w:rPr>
                <w:rFonts w:ascii="宋体" w:hAnsi="宋体" w:hint="eastAsia"/>
                <w:sz w:val="18"/>
                <w:szCs w:val="18"/>
              </w:rPr>
              <w:t>单芯</w:t>
            </w:r>
          </w:p>
        </w:tc>
      </w:tr>
      <w:tr>
        <w:tblPrEx>
          <w:tblW w:w="0" w:type="auto"/>
          <w:tblInd w:w="0" w:type="dxa"/>
          <w:tblCellMar>
            <w:top w:w="0" w:type="dxa"/>
            <w:left w:w="108" w:type="dxa"/>
            <w:bottom w:w="0" w:type="dxa"/>
            <w:right w:w="108" w:type="dxa"/>
          </w:tblCellMar>
        </w:tblPrEx>
        <w:tc>
          <w:tcPr>
            <w:tcW w:w="5495" w:type="dxa"/>
            <w:gridSpan w:val="2"/>
            <w:vAlign w:val="center"/>
          </w:tcPr>
          <w:p>
            <w:pPr>
              <w:spacing w:line="360" w:lineRule="auto"/>
              <w:jc w:val="center"/>
              <w:rPr>
                <w:rFonts w:ascii="宋体" w:hAnsi="宋体"/>
                <w:sz w:val="18"/>
                <w:szCs w:val="18"/>
              </w:rPr>
            </w:pPr>
            <w:r>
              <w:rPr>
                <w:rFonts w:ascii="宋体" w:hAnsi="宋体" w:hint="eastAsia"/>
                <w:sz w:val="18"/>
                <w:szCs w:val="18"/>
              </w:rPr>
              <w:t>控制电缆</w:t>
            </w:r>
          </w:p>
        </w:tc>
        <w:tc>
          <w:tcPr>
            <w:tcW w:w="1513" w:type="dxa"/>
            <w:vAlign w:val="center"/>
          </w:tcPr>
          <w:p>
            <w:pPr>
              <w:spacing w:line="360" w:lineRule="auto"/>
              <w:jc w:val="center"/>
              <w:rPr>
                <w:rFonts w:ascii="宋体" w:hAnsi="宋体"/>
                <w:sz w:val="18"/>
                <w:szCs w:val="18"/>
                <w:highlight w:val="yellow"/>
              </w:rPr>
            </w:pPr>
            <w:r>
              <w:rPr>
                <w:rFonts w:ascii="宋体" w:hAnsi="宋体"/>
                <w:sz w:val="18"/>
                <w:szCs w:val="18"/>
              </w:rPr>
              <w:t>20D</w:t>
            </w:r>
          </w:p>
        </w:tc>
        <w:tc>
          <w:tcPr>
            <w:tcW w:w="1514" w:type="dxa"/>
            <w:vAlign w:val="center"/>
          </w:tcPr>
          <w:p>
            <w:pPr>
              <w:spacing w:line="360" w:lineRule="auto"/>
              <w:jc w:val="center"/>
              <w:rPr>
                <w:rFonts w:ascii="宋体" w:hAnsi="宋体"/>
                <w:sz w:val="18"/>
                <w:szCs w:val="18"/>
              </w:rPr>
            </w:pPr>
            <w:r>
              <w:rPr>
                <w:rFonts w:ascii="宋体" w:hAnsi="宋体"/>
                <w:sz w:val="18"/>
                <w:szCs w:val="18"/>
              </w:rPr>
              <w:t>--</w:t>
            </w:r>
          </w:p>
        </w:tc>
      </w:tr>
      <w:tr>
        <w:tblPrEx>
          <w:tblW w:w="0" w:type="auto"/>
          <w:tblInd w:w="0" w:type="dxa"/>
          <w:tblCellMar>
            <w:top w:w="0" w:type="dxa"/>
            <w:left w:w="108" w:type="dxa"/>
            <w:bottom w:w="0" w:type="dxa"/>
            <w:right w:w="108" w:type="dxa"/>
          </w:tblCellMar>
        </w:tblPrEx>
        <w:tc>
          <w:tcPr>
            <w:tcW w:w="2660" w:type="dxa"/>
            <w:vMerge w:val="restart"/>
            <w:vAlign w:val="center"/>
          </w:tcPr>
          <w:p>
            <w:pPr>
              <w:spacing w:line="360" w:lineRule="auto"/>
              <w:jc w:val="center"/>
              <w:rPr>
                <w:rFonts w:ascii="宋体" w:hAnsi="宋体"/>
                <w:sz w:val="18"/>
                <w:szCs w:val="18"/>
              </w:rPr>
            </w:pPr>
            <w:r>
              <w:rPr>
                <w:rFonts w:ascii="宋体" w:hAnsi="宋体" w:hint="eastAsia"/>
                <w:sz w:val="18"/>
                <w:szCs w:val="18"/>
              </w:rPr>
              <w:t>橡皮绝缘电力电缆</w:t>
            </w:r>
          </w:p>
        </w:tc>
        <w:tc>
          <w:tcPr>
            <w:tcW w:w="2835" w:type="dxa"/>
            <w:vAlign w:val="center"/>
          </w:tcPr>
          <w:p>
            <w:pPr>
              <w:spacing w:line="360" w:lineRule="auto"/>
              <w:jc w:val="center"/>
              <w:rPr>
                <w:rFonts w:ascii="宋体" w:hAnsi="宋体"/>
                <w:sz w:val="18"/>
                <w:szCs w:val="18"/>
              </w:rPr>
            </w:pPr>
            <w:r>
              <w:rPr>
                <w:rFonts w:ascii="宋体" w:hAnsi="宋体" w:hint="eastAsia"/>
                <w:sz w:val="18"/>
                <w:szCs w:val="18"/>
              </w:rPr>
              <w:t>无铅包、钢铠电缆</w:t>
            </w:r>
          </w:p>
        </w:tc>
        <w:tc>
          <w:tcPr>
            <w:tcW w:w="3027" w:type="dxa"/>
            <w:gridSpan w:val="2"/>
            <w:vAlign w:val="center"/>
          </w:tcPr>
          <w:p>
            <w:pPr>
              <w:spacing w:line="360" w:lineRule="auto"/>
              <w:jc w:val="center"/>
              <w:rPr>
                <w:rFonts w:ascii="宋体" w:hAnsi="宋体"/>
                <w:sz w:val="18"/>
                <w:szCs w:val="18"/>
                <w:highlight w:val="yellow"/>
              </w:rPr>
            </w:pPr>
            <w:r>
              <w:rPr>
                <w:rFonts w:ascii="宋体" w:hAnsi="宋体"/>
                <w:sz w:val="18"/>
                <w:szCs w:val="18"/>
              </w:rPr>
              <w:t>20D</w:t>
            </w:r>
          </w:p>
        </w:tc>
      </w:tr>
      <w:tr>
        <w:tblPrEx>
          <w:tblW w:w="0" w:type="auto"/>
          <w:tblInd w:w="0" w:type="dxa"/>
          <w:tblCellMar>
            <w:top w:w="0" w:type="dxa"/>
            <w:left w:w="108" w:type="dxa"/>
            <w:bottom w:w="0" w:type="dxa"/>
            <w:right w:w="108" w:type="dxa"/>
          </w:tblCellMar>
        </w:tblPrEx>
        <w:tc>
          <w:tcPr>
            <w:tcW w:w="2660" w:type="dxa"/>
            <w:vMerge/>
            <w:vAlign w:val="center"/>
          </w:tcPr>
          <w:p>
            <w:pPr>
              <w:spacing w:line="360" w:lineRule="auto"/>
              <w:jc w:val="center"/>
              <w:rPr>
                <w:rFonts w:ascii="宋体" w:hAnsi="宋体"/>
                <w:sz w:val="18"/>
                <w:szCs w:val="18"/>
              </w:rPr>
            </w:pPr>
          </w:p>
        </w:tc>
        <w:tc>
          <w:tcPr>
            <w:tcW w:w="2835" w:type="dxa"/>
            <w:vAlign w:val="center"/>
          </w:tcPr>
          <w:p>
            <w:pPr>
              <w:spacing w:line="360" w:lineRule="auto"/>
              <w:jc w:val="center"/>
              <w:rPr>
                <w:rFonts w:ascii="宋体" w:hAnsi="宋体"/>
                <w:sz w:val="18"/>
                <w:szCs w:val="18"/>
              </w:rPr>
            </w:pPr>
            <w:r>
              <w:rPr>
                <w:rFonts w:ascii="宋体" w:hAnsi="宋体" w:hint="eastAsia"/>
                <w:sz w:val="18"/>
                <w:szCs w:val="18"/>
              </w:rPr>
              <w:t>铠装护套</w:t>
            </w:r>
          </w:p>
        </w:tc>
        <w:tc>
          <w:tcPr>
            <w:tcW w:w="3027" w:type="dxa"/>
            <w:gridSpan w:val="2"/>
            <w:vAlign w:val="center"/>
          </w:tcPr>
          <w:p>
            <w:pPr>
              <w:spacing w:line="360" w:lineRule="auto"/>
              <w:jc w:val="center"/>
              <w:rPr>
                <w:rFonts w:ascii="宋体" w:hAnsi="宋体"/>
                <w:sz w:val="18"/>
                <w:szCs w:val="18"/>
                <w:highlight w:val="yellow"/>
              </w:rPr>
            </w:pPr>
            <w:r>
              <w:rPr>
                <w:rFonts w:ascii="宋体" w:hAnsi="宋体"/>
                <w:sz w:val="18"/>
                <w:szCs w:val="18"/>
              </w:rPr>
              <w:t>40D</w:t>
            </w:r>
          </w:p>
        </w:tc>
      </w:tr>
      <w:tr>
        <w:tblPrEx>
          <w:tblW w:w="0" w:type="auto"/>
          <w:tblInd w:w="0" w:type="dxa"/>
          <w:tblCellMar>
            <w:top w:w="0" w:type="dxa"/>
            <w:left w:w="108" w:type="dxa"/>
            <w:bottom w:w="0" w:type="dxa"/>
            <w:right w:w="108" w:type="dxa"/>
          </w:tblCellMar>
        </w:tblPrEx>
        <w:tc>
          <w:tcPr>
            <w:tcW w:w="5495" w:type="dxa"/>
            <w:gridSpan w:val="2"/>
            <w:vAlign w:val="center"/>
          </w:tcPr>
          <w:p>
            <w:pPr>
              <w:spacing w:line="360" w:lineRule="auto"/>
              <w:jc w:val="center"/>
              <w:rPr>
                <w:rFonts w:ascii="宋体" w:hAnsi="宋体"/>
                <w:sz w:val="18"/>
                <w:szCs w:val="18"/>
              </w:rPr>
            </w:pPr>
            <w:r>
              <w:rPr>
                <w:rFonts w:ascii="宋体" w:hAnsi="宋体" w:hint="eastAsia"/>
                <w:sz w:val="18"/>
                <w:szCs w:val="18"/>
              </w:rPr>
              <w:t>聚氯乙烯绝缘电力电缆</w:t>
            </w:r>
          </w:p>
        </w:tc>
        <w:tc>
          <w:tcPr>
            <w:tcW w:w="3027" w:type="dxa"/>
            <w:gridSpan w:val="2"/>
            <w:vAlign w:val="center"/>
          </w:tcPr>
          <w:p>
            <w:pPr>
              <w:spacing w:line="360" w:lineRule="auto"/>
              <w:jc w:val="center"/>
              <w:rPr>
                <w:rFonts w:ascii="宋体" w:hAnsi="宋体"/>
                <w:sz w:val="18"/>
                <w:szCs w:val="18"/>
              </w:rPr>
            </w:pPr>
            <w:r>
              <w:rPr>
                <w:rFonts w:ascii="宋体" w:hAnsi="宋体"/>
                <w:sz w:val="18"/>
                <w:szCs w:val="18"/>
              </w:rPr>
              <w:t>20D</w:t>
            </w:r>
          </w:p>
        </w:tc>
      </w:tr>
      <w:tr>
        <w:tblPrEx>
          <w:tblW w:w="0" w:type="auto"/>
          <w:tblInd w:w="0" w:type="dxa"/>
          <w:tblCellMar>
            <w:top w:w="0" w:type="dxa"/>
            <w:left w:w="108" w:type="dxa"/>
            <w:bottom w:w="0" w:type="dxa"/>
            <w:right w:w="108" w:type="dxa"/>
          </w:tblCellMar>
        </w:tblPrEx>
        <w:tc>
          <w:tcPr>
            <w:tcW w:w="5495" w:type="dxa"/>
            <w:gridSpan w:val="2"/>
            <w:vAlign w:val="center"/>
          </w:tcPr>
          <w:p>
            <w:pPr>
              <w:spacing w:line="360" w:lineRule="auto"/>
              <w:jc w:val="center"/>
              <w:rPr>
                <w:rFonts w:ascii="宋体" w:hAnsi="宋体"/>
                <w:sz w:val="18"/>
                <w:szCs w:val="18"/>
              </w:rPr>
            </w:pPr>
            <w:r>
              <w:rPr>
                <w:rFonts w:ascii="宋体" w:hAnsi="宋体" w:hint="eastAsia"/>
                <w:sz w:val="18"/>
                <w:szCs w:val="18"/>
              </w:rPr>
              <w:t>交联聚氯乙烯绝缘电力电缆</w:t>
            </w:r>
          </w:p>
        </w:tc>
        <w:tc>
          <w:tcPr>
            <w:tcW w:w="1513" w:type="dxa"/>
            <w:vAlign w:val="center"/>
          </w:tcPr>
          <w:p>
            <w:pPr>
              <w:spacing w:line="360" w:lineRule="auto"/>
              <w:jc w:val="center"/>
              <w:rPr>
                <w:rFonts w:ascii="宋体" w:hAnsi="宋体"/>
                <w:sz w:val="18"/>
                <w:szCs w:val="18"/>
              </w:rPr>
            </w:pPr>
            <w:r>
              <w:rPr>
                <w:rFonts w:ascii="宋体" w:hAnsi="宋体"/>
                <w:sz w:val="18"/>
                <w:szCs w:val="18"/>
              </w:rPr>
              <w:t>30D</w:t>
            </w:r>
          </w:p>
        </w:tc>
        <w:tc>
          <w:tcPr>
            <w:tcW w:w="1514" w:type="dxa"/>
            <w:vAlign w:val="center"/>
          </w:tcPr>
          <w:p>
            <w:pPr>
              <w:spacing w:line="360" w:lineRule="auto"/>
              <w:jc w:val="center"/>
              <w:rPr>
                <w:rFonts w:ascii="宋体" w:hAnsi="宋体"/>
                <w:sz w:val="18"/>
                <w:szCs w:val="18"/>
              </w:rPr>
            </w:pPr>
            <w:r>
              <w:rPr>
                <w:rFonts w:ascii="宋体" w:hAnsi="宋体"/>
                <w:sz w:val="18"/>
                <w:szCs w:val="18"/>
              </w:rPr>
              <w:t>40D</w:t>
            </w:r>
          </w:p>
        </w:tc>
      </w:tr>
      <w:tr>
        <w:tblPrEx>
          <w:tblW w:w="0" w:type="auto"/>
          <w:tblInd w:w="0" w:type="dxa"/>
          <w:tblCellMar>
            <w:top w:w="0" w:type="dxa"/>
            <w:left w:w="108" w:type="dxa"/>
            <w:bottom w:w="0" w:type="dxa"/>
            <w:right w:w="108" w:type="dxa"/>
          </w:tblCellMar>
        </w:tblPrEx>
        <w:tc>
          <w:tcPr>
            <w:tcW w:w="5495" w:type="dxa"/>
            <w:gridSpan w:val="2"/>
            <w:vAlign w:val="center"/>
          </w:tcPr>
          <w:p>
            <w:pPr>
              <w:spacing w:line="360" w:lineRule="auto"/>
              <w:jc w:val="center"/>
              <w:rPr>
                <w:rFonts w:ascii="宋体" w:hAnsi="宋体"/>
                <w:sz w:val="18"/>
                <w:szCs w:val="18"/>
              </w:rPr>
            </w:pPr>
            <w:r>
              <w:rPr>
                <w:rFonts w:ascii="宋体" w:hAnsi="宋体" w:hint="eastAsia"/>
                <w:sz w:val="18"/>
                <w:szCs w:val="18"/>
              </w:rPr>
              <w:t>自容式充油（铅包）电缆</w:t>
            </w:r>
          </w:p>
        </w:tc>
        <w:tc>
          <w:tcPr>
            <w:tcW w:w="1513" w:type="dxa"/>
            <w:vAlign w:val="center"/>
          </w:tcPr>
          <w:p>
            <w:pPr>
              <w:spacing w:line="360" w:lineRule="auto"/>
              <w:jc w:val="center"/>
              <w:rPr>
                <w:rFonts w:ascii="宋体" w:hAnsi="宋体"/>
                <w:sz w:val="18"/>
                <w:szCs w:val="18"/>
              </w:rPr>
            </w:pPr>
            <w:r>
              <w:rPr>
                <w:rFonts w:ascii="宋体" w:hAnsi="宋体"/>
                <w:sz w:val="18"/>
                <w:szCs w:val="18"/>
              </w:rPr>
              <w:t>--</w:t>
            </w:r>
          </w:p>
        </w:tc>
        <w:tc>
          <w:tcPr>
            <w:tcW w:w="1514" w:type="dxa"/>
            <w:vAlign w:val="center"/>
          </w:tcPr>
          <w:p>
            <w:pPr>
              <w:spacing w:line="360" w:lineRule="auto"/>
              <w:jc w:val="center"/>
              <w:rPr>
                <w:rFonts w:ascii="宋体" w:hAnsi="宋体"/>
                <w:sz w:val="18"/>
                <w:szCs w:val="18"/>
              </w:rPr>
            </w:pPr>
            <w:r>
              <w:rPr>
                <w:rFonts w:ascii="宋体" w:hAnsi="宋体"/>
                <w:sz w:val="18"/>
                <w:szCs w:val="18"/>
              </w:rPr>
              <w:t>40D</w:t>
            </w:r>
          </w:p>
        </w:tc>
      </w:tr>
    </w:tbl>
    <w:p>
      <w:pPr>
        <w:spacing w:line="360" w:lineRule="auto"/>
        <w:rPr>
          <w:rFonts w:ascii="宋体" w:hAnsi="宋体"/>
          <w:b/>
        </w:rPr>
      </w:pPr>
      <w:r>
        <w:rPr>
          <w:rFonts w:ascii="宋体" w:hAnsi="宋体"/>
          <w:b/>
        </w:rPr>
        <w:br/>
      </w:r>
      <w:r>
        <w:rPr>
          <w:rFonts w:ascii="宋体" w:hAnsi="宋体"/>
          <w:b/>
        </w:rPr>
        <w:br/>
      </w:r>
    </w:p>
    <w:p>
      <w:pPr>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8" w:history="1">
        <w:r>
          <w:rPr>
            <w:rFonts w:ascii="SimSun" w:eastAsia="SimSun" w:hAnsi="SimSun" w:cs="SimSun"/>
            <w:b/>
            <w:bCs/>
            <w:color w:val="0000EE"/>
            <w:sz w:val="30"/>
            <w:szCs w:val="30"/>
            <w:u w:val="single" w:color="0000EE"/>
          </w:rPr>
          <w:t>https://d.book118.com/075230231000011114</w:t>
        </w:r>
      </w:hyperlink>
    </w:p>
    <w:bookmarkEnd w:id="21"/>
    <w:bookmarkEnd w:id="22"/>
    <w:bookmarkEnd w:id="23"/>
    <w:p>
      <w:pPr>
        <w:spacing w:line="360" w:lineRule="auto"/>
        <w:rPr>
          <w:rFonts w:ascii="宋体" w:hAnsi="宋体"/>
          <w:b/>
        </w:rPr>
      </w:pPr>
    </w:p>
    <w:sectPr>
      <w:footerReference w:type="default" r:id="rId49"/>
      <w:type w:val="nextPage"/>
      <w:pgSz w:w="11906" w:h="16838"/>
      <w:pgMar w:top="1440" w:right="1800" w:bottom="1440" w:left="1800" w:header="851" w:footer="992" w:gutter="0"/>
      <w:pgNumType w:start="2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HiddenHorzOCR">
    <w:altName w:val="MS Gothic"/>
    <w:panose1 w:val="00000000000000000000"/>
    <w:charset w:val="80"/>
    <w:family w:val="auto"/>
    <w:pitch w:val="default"/>
    <w:sig w:usb0="00000000" w:usb1="00000000" w:usb2="00000010" w:usb3="00000000" w:csb0="0002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w:t>
    </w:r>
    <w:r>
      <w:rPr>
        <w:rFonts w:hAnsi="宋体"/>
      </w:rPr>
      <w:fldChar w:fldCharType="end"/>
    </w:r>
  </w:p>
  <w:p>
    <w:pPr>
      <w:pStyle w:val="Footer"/>
      <w:snapToGrid w:val="0"/>
      <w:spacing w:after="160"/>
      <w:jc w:val="left"/>
      <w:rPr>
        <w:rFonts w:hAnsi="宋体"/>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2</w:t>
    </w:r>
    <w:r>
      <w:rPr>
        <w:rFonts w:hAnsi="宋体"/>
      </w:rPr>
      <w:fldChar w:fldCharType="end"/>
    </w:r>
  </w:p>
  <w:p>
    <w:pPr>
      <w:pStyle w:val="Footer"/>
      <w:snapToGrid w:val="0"/>
      <w:spacing w:after="160"/>
      <w:jc w:val="left"/>
      <w:rPr>
        <w:rFonts w:hAnsi="宋体"/>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3</w:t>
    </w:r>
    <w:r>
      <w:rPr>
        <w:rFonts w:hAnsi="宋体"/>
      </w:rPr>
      <w:fldChar w:fldCharType="end"/>
    </w:r>
  </w:p>
  <w:p>
    <w:pPr>
      <w:pStyle w:val="Footer"/>
      <w:snapToGrid w:val="0"/>
      <w:spacing w:after="160"/>
      <w:jc w:val="left"/>
      <w:rPr>
        <w:rFonts w:hAnsi="宋体"/>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4</w:t>
    </w:r>
    <w:r>
      <w:rPr>
        <w:rFonts w:hAnsi="宋体"/>
      </w:rPr>
      <w:fldChar w:fldCharType="end"/>
    </w:r>
  </w:p>
  <w:p>
    <w:pPr>
      <w:pStyle w:val="Footer"/>
      <w:snapToGrid w:val="0"/>
      <w:spacing w:after="160"/>
      <w:jc w:val="left"/>
      <w:rPr>
        <w:rFonts w:hAnsi="宋体"/>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5</w:t>
    </w:r>
    <w:r>
      <w:rPr>
        <w:rFonts w:hAnsi="宋体"/>
      </w:rPr>
      <w:fldChar w:fldCharType="end"/>
    </w:r>
  </w:p>
  <w:p>
    <w:pPr>
      <w:pStyle w:val="Footer"/>
      <w:snapToGrid w:val="0"/>
      <w:spacing w:after="160"/>
      <w:jc w:val="left"/>
      <w:rPr>
        <w:rFonts w:hAnsi="宋体"/>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6</w:t>
    </w:r>
    <w:r>
      <w:rPr>
        <w:rFonts w:hAnsi="宋体"/>
      </w:rPr>
      <w:fldChar w:fldCharType="end"/>
    </w:r>
  </w:p>
  <w:p>
    <w:pPr>
      <w:pStyle w:val="Footer"/>
      <w:snapToGrid w:val="0"/>
      <w:spacing w:after="160"/>
      <w:jc w:val="left"/>
      <w:rPr>
        <w:rFonts w:hAnsi="宋体"/>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7</w:t>
    </w:r>
    <w:r>
      <w:rPr>
        <w:rFonts w:hAnsi="宋体"/>
      </w:rPr>
      <w:fldChar w:fldCharType="end"/>
    </w:r>
  </w:p>
  <w:p>
    <w:pPr>
      <w:pStyle w:val="Footer"/>
      <w:snapToGrid w:val="0"/>
      <w:spacing w:after="160"/>
      <w:jc w:val="left"/>
      <w:rPr>
        <w:rFonts w:hAnsi="宋体"/>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8</w:t>
    </w:r>
    <w:r>
      <w:rPr>
        <w:rFonts w:hAnsi="宋体"/>
      </w:rPr>
      <w:fldChar w:fldCharType="end"/>
    </w:r>
  </w:p>
  <w:p>
    <w:pPr>
      <w:pStyle w:val="Footer"/>
      <w:snapToGrid w:val="0"/>
      <w:spacing w:after="160"/>
      <w:jc w:val="left"/>
      <w:rPr>
        <w:rFonts w:hAnsi="宋体"/>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9</w:t>
    </w:r>
    <w:r>
      <w:rPr>
        <w:rFonts w:hAnsi="宋体"/>
      </w:rPr>
      <w:fldChar w:fldCharType="end"/>
    </w:r>
  </w:p>
  <w:p>
    <w:pPr>
      <w:pStyle w:val="Footer"/>
      <w:snapToGrid w:val="0"/>
      <w:spacing w:after="160"/>
      <w:jc w:val="left"/>
      <w:rPr>
        <w:rFonts w:hAnsi="宋体"/>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10</w:t>
    </w:r>
    <w:r>
      <w:rPr>
        <w:rFonts w:hAnsi="宋体"/>
      </w:rPr>
      <w:fldChar w:fldCharType="end"/>
    </w:r>
  </w:p>
  <w:p>
    <w:pPr>
      <w:pStyle w:val="Footer"/>
      <w:snapToGrid w:val="0"/>
      <w:spacing w:after="160"/>
      <w:jc w:val="left"/>
      <w:rPr>
        <w:rFonts w:hAnsi="宋体"/>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11</w:t>
    </w:r>
    <w:r>
      <w:rPr>
        <w:rFonts w:hAnsi="宋体"/>
      </w:rPr>
      <w:fldChar w:fldCharType="end"/>
    </w:r>
  </w:p>
  <w:p>
    <w:pPr>
      <w:pStyle w:val="Footer"/>
      <w:snapToGrid w:val="0"/>
      <w:spacing w:after="160"/>
      <w:jc w:val="left"/>
      <w:rPr>
        <w:rFonts w:hAnsi="宋体"/>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12</w:t>
    </w:r>
    <w:r>
      <w:rPr>
        <w:rFonts w:hAnsi="宋体"/>
      </w:rPr>
      <w:fldChar w:fldCharType="end"/>
    </w:r>
  </w:p>
  <w:p>
    <w:pPr>
      <w:pStyle w:val="Footer"/>
      <w:snapToGrid w:val="0"/>
      <w:spacing w:after="160"/>
      <w:jc w:val="left"/>
      <w:rPr>
        <w:rFonts w:hAnsi="宋体"/>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13</w:t>
    </w:r>
    <w:r>
      <w:rPr>
        <w:rFonts w:hAnsi="宋体"/>
      </w:rPr>
      <w:fldChar w:fldCharType="end"/>
    </w:r>
  </w:p>
  <w:p>
    <w:pPr>
      <w:pStyle w:val="Footer"/>
      <w:snapToGrid w:val="0"/>
      <w:spacing w:after="160"/>
      <w:jc w:val="left"/>
      <w:rPr>
        <w:rFonts w:hAnsi="宋体"/>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14</w:t>
    </w:r>
    <w:r>
      <w:rPr>
        <w:rFonts w:hAnsi="宋体"/>
      </w:rPr>
      <w:fldChar w:fldCharType="end"/>
    </w:r>
  </w:p>
  <w:p>
    <w:pPr>
      <w:pStyle w:val="Footer"/>
      <w:snapToGrid w:val="0"/>
      <w:spacing w:after="160"/>
      <w:jc w:val="left"/>
      <w:rPr>
        <w:rFonts w:hAnsi="宋体"/>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15</w:t>
    </w:r>
    <w:r>
      <w:rPr>
        <w:rFonts w:hAnsi="宋体"/>
      </w:rPr>
      <w:fldChar w:fldCharType="end"/>
    </w:r>
  </w:p>
  <w:p>
    <w:pPr>
      <w:pStyle w:val="Footer"/>
      <w:snapToGrid w:val="0"/>
      <w:spacing w:after="160"/>
      <w:jc w:val="left"/>
      <w:rPr>
        <w:rFonts w:hAnsi="宋体"/>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16</w:t>
    </w:r>
    <w:r>
      <w:rPr>
        <w:rFonts w:hAnsi="宋体"/>
      </w:rPr>
      <w:fldChar w:fldCharType="end"/>
    </w:r>
  </w:p>
  <w:p>
    <w:pPr>
      <w:pStyle w:val="Footer"/>
      <w:snapToGrid w:val="0"/>
      <w:spacing w:after="160"/>
      <w:jc w:val="left"/>
      <w:rPr>
        <w:rFonts w:hAnsi="宋体"/>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17</w:t>
    </w:r>
    <w:r>
      <w:rPr>
        <w:rFonts w:hAnsi="宋体"/>
      </w:rPr>
      <w:fldChar w:fldCharType="end"/>
    </w:r>
  </w:p>
  <w:p>
    <w:pPr>
      <w:pStyle w:val="Footer"/>
      <w:snapToGrid w:val="0"/>
      <w:spacing w:after="160"/>
      <w:jc w:val="left"/>
      <w:rPr>
        <w:rFonts w:hAnsi="宋体"/>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18</w:t>
    </w:r>
    <w:r>
      <w:rPr>
        <w:rFonts w:hAnsi="宋体"/>
      </w:rPr>
      <w:fldChar w:fldCharType="end"/>
    </w:r>
  </w:p>
  <w:p>
    <w:pPr>
      <w:pStyle w:val="Footer"/>
      <w:snapToGrid w:val="0"/>
      <w:spacing w:after="160"/>
      <w:jc w:val="left"/>
      <w:rPr>
        <w:rFonts w:hAnsi="宋体"/>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19</w:t>
    </w:r>
    <w:r>
      <w:rPr>
        <w:rFonts w:hAnsi="宋体"/>
      </w:rPr>
      <w:fldChar w:fldCharType="end"/>
    </w:r>
  </w:p>
  <w:p>
    <w:pPr>
      <w:pStyle w:val="Footer"/>
      <w:snapToGrid w:val="0"/>
      <w:spacing w:after="160"/>
      <w:jc w:val="left"/>
      <w:rPr>
        <w:rFonts w:hAnsi="宋体"/>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20</w:t>
    </w:r>
    <w:r>
      <w:rPr>
        <w:rFonts w:hAnsi="宋体"/>
      </w:rPr>
      <w:fldChar w:fldCharType="end"/>
    </w:r>
  </w:p>
  <w:p>
    <w:pPr>
      <w:pStyle w:val="Footer"/>
      <w:snapToGrid w:val="0"/>
      <w:spacing w:after="160"/>
      <w:jc w:val="left"/>
      <w:rPr>
        <w:rFonts w:hAnsi="宋体"/>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21</w:t>
    </w:r>
    <w:r>
      <w:rPr>
        <w:rFonts w:hAnsi="宋体"/>
      </w:rPr>
      <w:fldChar w:fldCharType="end"/>
    </w:r>
  </w:p>
  <w:p>
    <w:pPr>
      <w:pStyle w:val="Footer"/>
      <w:snapToGrid w:val="0"/>
      <w:spacing w:after="160"/>
      <w:jc w:val="left"/>
      <w:rPr>
        <w:rFonts w:hAnsi="宋体"/>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22</w:t>
    </w:r>
    <w:r>
      <w:rPr>
        <w:rFonts w:hAnsi="宋体"/>
      </w:rPr>
      <w:fldChar w:fldCharType="end"/>
    </w:r>
  </w:p>
  <w:p>
    <w:pPr>
      <w:pStyle w:val="Footer"/>
      <w:snapToGrid w:val="0"/>
      <w:spacing w:after="160"/>
      <w:jc w:val="left"/>
      <w:rPr>
        <w:rFonts w:hAnsi="宋体"/>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23</w:t>
    </w:r>
    <w:r>
      <w:rPr>
        <w:rFonts w:hAnsi="宋体"/>
      </w:rPr>
      <w:fldChar w:fldCharType="end"/>
    </w:r>
  </w:p>
  <w:p>
    <w:pPr>
      <w:pStyle w:val="Footer"/>
      <w:snapToGrid w:val="0"/>
      <w:spacing w:after="160"/>
      <w:jc w:val="left"/>
      <w:rPr>
        <w:rFonts w:hAnsi="宋体"/>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24</w:t>
    </w:r>
    <w:r>
      <w:rPr>
        <w:rFonts w:hAnsi="宋体"/>
      </w:rPr>
      <w:fldChar w:fldCharType="end"/>
    </w:r>
  </w:p>
  <w:p>
    <w:pPr>
      <w:pStyle w:val="Footer"/>
      <w:snapToGrid w:val="0"/>
      <w:spacing w:after="160"/>
      <w:jc w:val="left"/>
      <w:rPr>
        <w:rFonts w:hAnsi="宋体"/>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spacing w:after="160"/>
      <w:jc w:val="center"/>
      <w:rPr>
        <w:rFonts w:hAnsi="宋体"/>
      </w:rPr>
    </w:pPr>
    <w:r>
      <w:rPr>
        <w:rFonts w:hAnsi="宋体"/>
      </w:rPr>
      <w:fldChar w:fldCharType="begin"/>
    </w:r>
    <w:r>
      <w:instrText>PAGE  \* MERGEFORMAT</w:instrText>
    </w:r>
    <w:r>
      <w:fldChar w:fldCharType="separate"/>
    </w:r>
    <w:r>
      <w:rPr>
        <w:rFonts w:hAnsi="宋体"/>
      </w:rPr>
      <w:t>25</w:t>
    </w:r>
    <w:r>
      <w:rPr>
        <w:rFonts w:hAnsi="宋体"/>
      </w:rPr>
      <w:fldChar w:fldCharType="end"/>
    </w:r>
  </w:p>
  <w:p>
    <w:pPr>
      <w:pStyle w:val="Footer"/>
      <w:snapToGrid w:val="0"/>
      <w:spacing w:after="160"/>
      <w:jc w:val="left"/>
      <w:rPr>
        <w:rFonts w:hAnsi="宋体"/>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9D43DB3"/>
    <w:multiLevelType w:val="multilevel"/>
    <w:tmpl w:val="69D43DB3"/>
    <w:lvl w:ilvl="0">
      <w:start w:val="1"/>
      <w:numFmt w:val="decimal"/>
      <w:lvlText w:val="%1"/>
      <w:lvlJc w:val="left"/>
      <w:pPr>
        <w:ind w:left="360" w:hanging="360"/>
      </w:pPr>
      <w:rPr>
        <w:rFonts w:hint="default"/>
      </w:rPr>
    </w:lvl>
    <w:lvl w:ilvl="1">
      <w:start w:val="0"/>
      <w:numFmt w:val="decimal"/>
      <w:isLgl/>
      <w:lvlText w:val="%1.%2"/>
      <w:lvlJc w:val="left"/>
      <w:pPr>
        <w:ind w:left="525" w:hanging="525"/>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isplayHorizontalDrawingGridEvery w:val="0"/>
  <w:displayVerticalDrawingGridEvery w:val="2"/>
  <w:characterSpacingControl w:val="compressPunctuation"/>
  <w:compat>
    <w:balanceSingleByteDoubleByteWidth/>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752"/>
    <w:rsid w:val="0000510B"/>
    <w:rsid w:val="00005787"/>
    <w:rsid w:val="00017E2C"/>
    <w:rsid w:val="000335AD"/>
    <w:rsid w:val="000357A9"/>
    <w:rsid w:val="000566BE"/>
    <w:rsid w:val="00065FA6"/>
    <w:rsid w:val="000806D9"/>
    <w:rsid w:val="00092444"/>
    <w:rsid w:val="000A4CE2"/>
    <w:rsid w:val="000E4513"/>
    <w:rsid w:val="000F13C6"/>
    <w:rsid w:val="00110BFE"/>
    <w:rsid w:val="001130AC"/>
    <w:rsid w:val="001413F1"/>
    <w:rsid w:val="00145F03"/>
    <w:rsid w:val="001558F9"/>
    <w:rsid w:val="00171EDD"/>
    <w:rsid w:val="00176D68"/>
    <w:rsid w:val="001A2B67"/>
    <w:rsid w:val="001A66CE"/>
    <w:rsid w:val="001B6BAE"/>
    <w:rsid w:val="001E5655"/>
    <w:rsid w:val="001E7459"/>
    <w:rsid w:val="001E7D63"/>
    <w:rsid w:val="001F0636"/>
    <w:rsid w:val="00210945"/>
    <w:rsid w:val="002307BC"/>
    <w:rsid w:val="0023237E"/>
    <w:rsid w:val="00233D97"/>
    <w:rsid w:val="0023597C"/>
    <w:rsid w:val="00235BF7"/>
    <w:rsid w:val="002773E2"/>
    <w:rsid w:val="002854DE"/>
    <w:rsid w:val="002B489B"/>
    <w:rsid w:val="002C5A81"/>
    <w:rsid w:val="003021CC"/>
    <w:rsid w:val="00304C08"/>
    <w:rsid w:val="00317D2A"/>
    <w:rsid w:val="003273DC"/>
    <w:rsid w:val="003511FC"/>
    <w:rsid w:val="00351F09"/>
    <w:rsid w:val="00360E0B"/>
    <w:rsid w:val="00363DCB"/>
    <w:rsid w:val="003670C4"/>
    <w:rsid w:val="00371040"/>
    <w:rsid w:val="00371720"/>
    <w:rsid w:val="00375A09"/>
    <w:rsid w:val="00395862"/>
    <w:rsid w:val="003B4EE0"/>
    <w:rsid w:val="003C4E40"/>
    <w:rsid w:val="003C676E"/>
    <w:rsid w:val="003C6C7E"/>
    <w:rsid w:val="003D6401"/>
    <w:rsid w:val="003E3363"/>
    <w:rsid w:val="003F252F"/>
    <w:rsid w:val="003F77D5"/>
    <w:rsid w:val="00405361"/>
    <w:rsid w:val="00410E06"/>
    <w:rsid w:val="00411A80"/>
    <w:rsid w:val="00414EE5"/>
    <w:rsid w:val="00415B4E"/>
    <w:rsid w:val="00430516"/>
    <w:rsid w:val="0044242B"/>
    <w:rsid w:val="00445065"/>
    <w:rsid w:val="00452761"/>
    <w:rsid w:val="00456232"/>
    <w:rsid w:val="004704CA"/>
    <w:rsid w:val="00475422"/>
    <w:rsid w:val="00477C44"/>
    <w:rsid w:val="00482365"/>
    <w:rsid w:val="004960C2"/>
    <w:rsid w:val="004B3368"/>
    <w:rsid w:val="004C1F9D"/>
    <w:rsid w:val="004C250C"/>
    <w:rsid w:val="004E6D3F"/>
    <w:rsid w:val="00507B53"/>
    <w:rsid w:val="00567C38"/>
    <w:rsid w:val="005941B7"/>
    <w:rsid w:val="005A5C10"/>
    <w:rsid w:val="005B3CAA"/>
    <w:rsid w:val="005E0561"/>
    <w:rsid w:val="005E7C7D"/>
    <w:rsid w:val="00613349"/>
    <w:rsid w:val="006141D0"/>
    <w:rsid w:val="006255C3"/>
    <w:rsid w:val="00633CFA"/>
    <w:rsid w:val="00670497"/>
    <w:rsid w:val="006864F2"/>
    <w:rsid w:val="006A0F04"/>
    <w:rsid w:val="006C1877"/>
    <w:rsid w:val="006C5AAC"/>
    <w:rsid w:val="006E1514"/>
    <w:rsid w:val="006F24F2"/>
    <w:rsid w:val="00716A11"/>
    <w:rsid w:val="0072130B"/>
    <w:rsid w:val="00732752"/>
    <w:rsid w:val="0075714A"/>
    <w:rsid w:val="00760934"/>
    <w:rsid w:val="00767056"/>
    <w:rsid w:val="00772621"/>
    <w:rsid w:val="007803BE"/>
    <w:rsid w:val="00782740"/>
    <w:rsid w:val="00786A97"/>
    <w:rsid w:val="007A3C00"/>
    <w:rsid w:val="007B3450"/>
    <w:rsid w:val="007C00A4"/>
    <w:rsid w:val="007C32EF"/>
    <w:rsid w:val="007D1FBD"/>
    <w:rsid w:val="007D221B"/>
    <w:rsid w:val="00801756"/>
    <w:rsid w:val="00806554"/>
    <w:rsid w:val="0081192B"/>
    <w:rsid w:val="0081766A"/>
    <w:rsid w:val="00846F0F"/>
    <w:rsid w:val="00851C15"/>
    <w:rsid w:val="008638DE"/>
    <w:rsid w:val="008908AC"/>
    <w:rsid w:val="008968BE"/>
    <w:rsid w:val="008B2B21"/>
    <w:rsid w:val="008B73DA"/>
    <w:rsid w:val="008E5CCB"/>
    <w:rsid w:val="009001D9"/>
    <w:rsid w:val="00911DB9"/>
    <w:rsid w:val="0092032A"/>
    <w:rsid w:val="0092425F"/>
    <w:rsid w:val="009247BF"/>
    <w:rsid w:val="009264A5"/>
    <w:rsid w:val="00935FD4"/>
    <w:rsid w:val="00943799"/>
    <w:rsid w:val="009519E2"/>
    <w:rsid w:val="00957BAC"/>
    <w:rsid w:val="00965358"/>
    <w:rsid w:val="0096725C"/>
    <w:rsid w:val="009814C1"/>
    <w:rsid w:val="009902EB"/>
    <w:rsid w:val="009A419E"/>
    <w:rsid w:val="009A4736"/>
    <w:rsid w:val="009C4831"/>
    <w:rsid w:val="009C4C8A"/>
    <w:rsid w:val="009D0516"/>
    <w:rsid w:val="009E27A5"/>
    <w:rsid w:val="009E57AE"/>
    <w:rsid w:val="009F7E9C"/>
    <w:rsid w:val="00A12621"/>
    <w:rsid w:val="00A14D78"/>
    <w:rsid w:val="00A46492"/>
    <w:rsid w:val="00A4719D"/>
    <w:rsid w:val="00A62994"/>
    <w:rsid w:val="00A64B4F"/>
    <w:rsid w:val="00A65BAF"/>
    <w:rsid w:val="00A660B2"/>
    <w:rsid w:val="00A83586"/>
    <w:rsid w:val="00A86726"/>
    <w:rsid w:val="00A9422B"/>
    <w:rsid w:val="00AA253F"/>
    <w:rsid w:val="00AB507C"/>
    <w:rsid w:val="00AD08A5"/>
    <w:rsid w:val="00AE16A0"/>
    <w:rsid w:val="00AF1AED"/>
    <w:rsid w:val="00B13C28"/>
    <w:rsid w:val="00B20E65"/>
    <w:rsid w:val="00B332FE"/>
    <w:rsid w:val="00B418E5"/>
    <w:rsid w:val="00B57A90"/>
    <w:rsid w:val="00B731BB"/>
    <w:rsid w:val="00B81603"/>
    <w:rsid w:val="00B82E03"/>
    <w:rsid w:val="00B97BA2"/>
    <w:rsid w:val="00BB067C"/>
    <w:rsid w:val="00BD648B"/>
    <w:rsid w:val="00BF2F30"/>
    <w:rsid w:val="00C229A6"/>
    <w:rsid w:val="00C242F1"/>
    <w:rsid w:val="00C2719C"/>
    <w:rsid w:val="00C3028A"/>
    <w:rsid w:val="00C45702"/>
    <w:rsid w:val="00C51720"/>
    <w:rsid w:val="00C54C29"/>
    <w:rsid w:val="00C63CBC"/>
    <w:rsid w:val="00C82BAD"/>
    <w:rsid w:val="00C86DF9"/>
    <w:rsid w:val="00C96D17"/>
    <w:rsid w:val="00CA5890"/>
    <w:rsid w:val="00CC32C9"/>
    <w:rsid w:val="00CD57E7"/>
    <w:rsid w:val="00CE18CE"/>
    <w:rsid w:val="00D1349E"/>
    <w:rsid w:val="00D17086"/>
    <w:rsid w:val="00D20E9B"/>
    <w:rsid w:val="00D35315"/>
    <w:rsid w:val="00D44D4E"/>
    <w:rsid w:val="00D564D9"/>
    <w:rsid w:val="00D677EA"/>
    <w:rsid w:val="00DD7737"/>
    <w:rsid w:val="00DE0872"/>
    <w:rsid w:val="00DE1447"/>
    <w:rsid w:val="00DE7943"/>
    <w:rsid w:val="00DF159A"/>
    <w:rsid w:val="00E00629"/>
    <w:rsid w:val="00E13EE3"/>
    <w:rsid w:val="00E21115"/>
    <w:rsid w:val="00E22A15"/>
    <w:rsid w:val="00E43E20"/>
    <w:rsid w:val="00E510DD"/>
    <w:rsid w:val="00E51EE4"/>
    <w:rsid w:val="00E630A6"/>
    <w:rsid w:val="00E670C2"/>
    <w:rsid w:val="00E749E9"/>
    <w:rsid w:val="00E7592F"/>
    <w:rsid w:val="00E86209"/>
    <w:rsid w:val="00E91DF4"/>
    <w:rsid w:val="00E957CA"/>
    <w:rsid w:val="00EA4AA2"/>
    <w:rsid w:val="00EA5B70"/>
    <w:rsid w:val="00EA7B5A"/>
    <w:rsid w:val="00EC7074"/>
    <w:rsid w:val="00ED3FAF"/>
    <w:rsid w:val="00EF0B01"/>
    <w:rsid w:val="00F17C45"/>
    <w:rsid w:val="00F203CE"/>
    <w:rsid w:val="00F20400"/>
    <w:rsid w:val="00F23153"/>
    <w:rsid w:val="00F24C18"/>
    <w:rsid w:val="00F42E92"/>
    <w:rsid w:val="00F45C7F"/>
    <w:rsid w:val="00F530D1"/>
    <w:rsid w:val="00F7284D"/>
    <w:rsid w:val="00F82C4E"/>
    <w:rsid w:val="00FB494E"/>
    <w:rsid w:val="00FB727C"/>
    <w:rsid w:val="00FC1814"/>
    <w:rsid w:val="00FC3B40"/>
    <w:rsid w:val="00FC5B3F"/>
    <w:rsid w:val="00FC72AE"/>
    <w:rsid w:val="4B7B3B85"/>
  </w:rsids>
  <w:docVars>
    <w:docVar w:name="commondata" w:val="eyJoZGlkIjoiNzgyYjI0MGRkMmY4NDE0YjgxYzdjMzBiNDQ0OTk1MmMifQ=="/>
  </w:docVars>
  <m:mathPr>
    <m:mathFont m:val="Cambria Math"/>
    <m:smallFrac/>
    <m:lMargin m:val="1440"/>
    <m:rMargin m:val="1440"/>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7" w:unhideWhenUsed="0" w:qFormat="1"/>
    <w:lsdException w:name="heading 2" w:semiHidden="0" w:uiPriority="8" w:qFormat="1"/>
    <w:lsdException w:name="heading 3" w:uiPriority="9" w:qFormat="1"/>
    <w:lsdException w:name="heading 4" w:semiHidden="0" w:uiPriority="10" w:unhideWhenUsed="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Normal Indent"/>
    <w:lsdException w:name="footnote text"/>
    <w:lsdException w:name="annotation text" w:semiHidden="0" w:uiPriority="0" w:qFormat="1"/>
    <w:lsdException w:name="header" w:semiHidden="0" w:uiPriority="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6" w:unhideWhenUsed="0" w:qFormat="1"/>
    <w:lsdException w:name="Closing"/>
    <w:lsdException w:name="Signature"/>
    <w:lsdException w:name="Default Paragraph Font" w:uiPriority="1"/>
    <w:lsdException w:name="Body Text" w:uiPriority="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6" w:unhideWhenUsed="0" w:qFormat="1"/>
    <w:lsdException w:name="Salutation"/>
    <w:lsdException w:name="Date" w:uiPriority="0" w:qFormat="1"/>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qFormat="1"/>
    <w:lsdException w:name="FollowedHyperlink"/>
    <w:lsdException w:name="Strong" w:semiHidden="0" w:uiPriority="20" w:unhideWhenUsed="0" w:qFormat="1"/>
    <w:lsdException w:name="Emphasis" w:semiHidden="0" w:uiPriority="18"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qFormat="1"/>
    <w:lsdException w:name="Table Grid" w:semiHidden="0" w:uiPriority="37" w:unhideWhenUsed="0" w:qFormat="1"/>
    <w:lsdException w:name="Table Theme"/>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jc w:val="both"/>
    </w:pPr>
    <w:rPr>
      <w:rFonts w:ascii="Calibri" w:eastAsia="宋体" w:hAnsi="Calibri" w:cs="Times New Roman"/>
      <w:sz w:val="21"/>
      <w:szCs w:val="21"/>
      <w:lang w:val="en-US" w:eastAsia="zh-CN" w:bidi="ar-SA"/>
    </w:rPr>
  </w:style>
  <w:style w:type="paragraph" w:styleId="Heading1">
    <w:name w:val="heading 1"/>
    <w:basedOn w:val="Normal"/>
    <w:next w:val="Normal"/>
    <w:link w:val="1Char"/>
    <w:uiPriority w:val="7"/>
    <w:qFormat/>
    <w:pPr>
      <w:keepNext/>
      <w:keepLines/>
      <w:outlineLvl w:val="0"/>
    </w:pPr>
    <w:rPr>
      <w:b/>
      <w:sz w:val="44"/>
      <w:szCs w:val="44"/>
    </w:rPr>
  </w:style>
  <w:style w:type="paragraph" w:styleId="Heading2">
    <w:name w:val="heading 2"/>
    <w:basedOn w:val="Normal"/>
    <w:next w:val="Normal"/>
    <w:link w:val="2Char"/>
    <w:uiPriority w:val="8"/>
    <w:unhideWhenUsed/>
    <w:qFormat/>
    <w:pPr>
      <w:keepNext/>
      <w:keepLines/>
      <w:outlineLvl w:val="1"/>
    </w:pPr>
    <w:rPr>
      <w:rFonts w:ascii="Cambria" w:hAnsi="Cambria"/>
      <w:b/>
      <w:sz w:val="32"/>
      <w:szCs w:val="32"/>
    </w:rPr>
  </w:style>
  <w:style w:type="paragraph" w:styleId="Heading3">
    <w:name w:val="heading 3"/>
    <w:basedOn w:val="Normal"/>
    <w:next w:val="Normal"/>
    <w:link w:val="3Char"/>
    <w:uiPriority w:val="9"/>
    <w:semiHidden/>
    <w:unhideWhenUsed/>
    <w:qFormat/>
    <w:pPr>
      <w:keepNext/>
      <w:keepLines/>
      <w:outlineLvl w:val="2"/>
    </w:pPr>
    <w:rPr>
      <w:b/>
      <w:sz w:val="32"/>
      <w:szCs w:val="32"/>
    </w:rPr>
  </w:style>
  <w:style w:type="paragraph" w:styleId="Heading4">
    <w:name w:val="heading 4"/>
    <w:uiPriority w:val="10"/>
    <w:qFormat/>
    <w:pPr>
      <w:ind w:left="1200" w:hanging="400"/>
      <w:jc w:val="both"/>
      <w:outlineLvl w:val="3"/>
    </w:pPr>
    <w:rPr>
      <w:rFonts w:ascii="Calibri" w:eastAsia="宋体" w:hAnsi="Calibri" w:cs="Times New Roman"/>
      <w:b/>
      <w:sz w:val="21"/>
      <w:szCs w:val="21"/>
      <w:lang w:val="en-US" w:eastAsia="zh-CN" w:bidi="ar-SA"/>
    </w:rPr>
  </w:style>
  <w:style w:type="paragraph" w:styleId="Heading5">
    <w:name w:val="heading 5"/>
    <w:uiPriority w:val="11"/>
    <w:qFormat/>
    <w:pPr>
      <w:ind w:left="1400" w:hanging="400"/>
      <w:jc w:val="both"/>
      <w:outlineLvl w:val="4"/>
    </w:pPr>
    <w:rPr>
      <w:rFonts w:ascii="Calibri" w:eastAsia="宋体" w:hAnsi="Calibri" w:cs="Times New Roman"/>
      <w:sz w:val="21"/>
      <w:szCs w:val="21"/>
      <w:lang w:val="en-US" w:eastAsia="zh-CN" w:bidi="ar-SA"/>
    </w:rPr>
  </w:style>
  <w:style w:type="paragraph" w:styleId="Heading6">
    <w:name w:val="heading 6"/>
    <w:uiPriority w:val="12"/>
    <w:qFormat/>
    <w:pPr>
      <w:ind w:left="1600" w:hanging="400"/>
      <w:jc w:val="both"/>
      <w:outlineLvl w:val="5"/>
    </w:pPr>
    <w:rPr>
      <w:rFonts w:ascii="Calibri" w:eastAsia="宋体" w:hAnsi="Calibri" w:cs="Times New Roman"/>
      <w:b/>
      <w:sz w:val="21"/>
      <w:szCs w:val="21"/>
      <w:lang w:val="en-US" w:eastAsia="zh-CN" w:bidi="ar-SA"/>
    </w:rPr>
  </w:style>
  <w:style w:type="paragraph" w:styleId="Heading7">
    <w:name w:val="heading 7"/>
    <w:uiPriority w:val="13"/>
    <w:qFormat/>
    <w:pPr>
      <w:ind w:left="1800" w:hanging="400"/>
      <w:jc w:val="both"/>
      <w:outlineLvl w:val="6"/>
    </w:pPr>
    <w:rPr>
      <w:rFonts w:ascii="Calibri" w:eastAsia="宋体" w:hAnsi="Calibri" w:cs="Times New Roman"/>
      <w:sz w:val="21"/>
      <w:szCs w:val="21"/>
      <w:lang w:val="en-US" w:eastAsia="zh-CN" w:bidi="ar-SA"/>
    </w:rPr>
  </w:style>
  <w:style w:type="paragraph" w:styleId="Heading8">
    <w:name w:val="heading 8"/>
    <w:uiPriority w:val="14"/>
    <w:qFormat/>
    <w:pPr>
      <w:ind w:left="2000" w:hanging="400"/>
      <w:jc w:val="both"/>
      <w:outlineLvl w:val="7"/>
    </w:pPr>
    <w:rPr>
      <w:rFonts w:ascii="Calibri" w:eastAsia="宋体" w:hAnsi="Calibri" w:cs="Times New Roman"/>
      <w:sz w:val="21"/>
      <w:szCs w:val="21"/>
      <w:lang w:val="en-US" w:eastAsia="zh-CN" w:bidi="ar-SA"/>
    </w:rPr>
  </w:style>
  <w:style w:type="paragraph" w:styleId="Heading9">
    <w:name w:val="heading 9"/>
    <w:uiPriority w:val="15"/>
    <w:qFormat/>
    <w:pPr>
      <w:ind w:left="2200" w:hanging="400"/>
      <w:jc w:val="both"/>
      <w:outlineLvl w:val="8"/>
    </w:pPr>
    <w:rPr>
      <w:rFonts w:ascii="Calibri" w:eastAsia="宋体" w:hAnsi="Calibri" w:cs="Times New Roman"/>
      <w:sz w:val="21"/>
      <w:szCs w:val="21"/>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uiPriority w:val="34"/>
    <w:unhideWhenUsed/>
    <w:qFormat/>
    <w:pPr>
      <w:ind w:left="2550"/>
      <w:jc w:val="both"/>
    </w:pPr>
    <w:rPr>
      <w:rFonts w:ascii="Calibri" w:eastAsia="宋体" w:hAnsi="Calibri" w:cs="Times New Roman"/>
      <w:sz w:val="21"/>
      <w:szCs w:val="21"/>
      <w:lang w:val="en-US" w:eastAsia="zh-CN" w:bidi="ar-SA"/>
    </w:rPr>
  </w:style>
  <w:style w:type="paragraph" w:styleId="CommentText">
    <w:name w:val="annotation text"/>
    <w:basedOn w:val="Normal"/>
    <w:link w:val="Char5"/>
    <w:autoRedefine/>
    <w:unhideWhenUsed/>
    <w:qFormat/>
  </w:style>
  <w:style w:type="paragraph" w:styleId="BodyText">
    <w:name w:val="Body Text"/>
    <w:basedOn w:val="Normal"/>
    <w:link w:val="Char4"/>
    <w:autoRedefine/>
    <w:semiHidden/>
    <w:unhideWhenUsed/>
    <w:qFormat/>
  </w:style>
  <w:style w:type="paragraph" w:styleId="TOC5">
    <w:name w:val="toc 5"/>
    <w:uiPriority w:val="32"/>
    <w:unhideWhenUsed/>
    <w:qFormat/>
    <w:pPr>
      <w:ind w:left="1700"/>
      <w:jc w:val="both"/>
    </w:pPr>
    <w:rPr>
      <w:rFonts w:ascii="Calibri" w:eastAsia="宋体" w:hAnsi="Calibri" w:cs="Times New Roman"/>
      <w:sz w:val="21"/>
      <w:szCs w:val="21"/>
      <w:lang w:val="en-US" w:eastAsia="zh-CN" w:bidi="ar-SA"/>
    </w:rPr>
  </w:style>
  <w:style w:type="paragraph" w:styleId="TOC3">
    <w:name w:val="toc 3"/>
    <w:uiPriority w:val="30"/>
    <w:unhideWhenUsed/>
    <w:qFormat/>
    <w:pPr>
      <w:ind w:left="850"/>
      <w:jc w:val="both"/>
    </w:pPr>
    <w:rPr>
      <w:rFonts w:ascii="Calibri" w:eastAsia="宋体" w:hAnsi="Calibri" w:cs="Times New Roman"/>
      <w:sz w:val="21"/>
      <w:szCs w:val="21"/>
      <w:lang w:val="en-US" w:eastAsia="zh-CN" w:bidi="ar-SA"/>
    </w:rPr>
  </w:style>
  <w:style w:type="paragraph" w:styleId="TOC8">
    <w:name w:val="toc 8"/>
    <w:autoRedefine/>
    <w:uiPriority w:val="35"/>
    <w:unhideWhenUsed/>
    <w:qFormat/>
    <w:pPr>
      <w:ind w:left="2975"/>
      <w:jc w:val="both"/>
    </w:pPr>
    <w:rPr>
      <w:rFonts w:ascii="Calibri" w:eastAsia="宋体" w:hAnsi="Calibri" w:cs="Times New Roman"/>
      <w:sz w:val="21"/>
      <w:szCs w:val="21"/>
      <w:lang w:val="en-US" w:eastAsia="zh-CN" w:bidi="ar-SA"/>
    </w:rPr>
  </w:style>
  <w:style w:type="paragraph" w:styleId="Date">
    <w:name w:val="Date"/>
    <w:basedOn w:val="Normal"/>
    <w:next w:val="Normal"/>
    <w:link w:val="Char2"/>
    <w:autoRedefine/>
    <w:semiHidden/>
    <w:unhideWhenUsed/>
    <w:qFormat/>
    <w:pPr>
      <w:ind w:left="100"/>
    </w:pPr>
  </w:style>
  <w:style w:type="paragraph" w:styleId="BalloonText">
    <w:name w:val="Balloon Text"/>
    <w:basedOn w:val="Normal"/>
    <w:link w:val="Char"/>
    <w:autoRedefine/>
    <w:semiHidden/>
    <w:unhideWhenUsed/>
    <w:qFormat/>
    <w:rPr>
      <w:sz w:val="18"/>
      <w:szCs w:val="18"/>
    </w:rPr>
  </w:style>
  <w:style w:type="paragraph" w:styleId="Footer">
    <w:name w:val="footer"/>
    <w:basedOn w:val="Normal"/>
    <w:link w:val="Char1"/>
    <w:autoRedefine/>
    <w:unhideWhenUsed/>
    <w:qFormat/>
    <w:pPr>
      <w:tabs>
        <w:tab w:val="center" w:pos="4153"/>
        <w:tab w:val="right" w:pos="8306"/>
      </w:tabs>
    </w:pPr>
    <w:rPr>
      <w:sz w:val="18"/>
      <w:szCs w:val="18"/>
    </w:rPr>
  </w:style>
  <w:style w:type="paragraph" w:styleId="Header">
    <w:name w:val="header"/>
    <w:basedOn w:val="Normal"/>
    <w:link w:val="Char0"/>
    <w:autoRedefine/>
    <w:unhideWhenUsed/>
    <w:qFormat/>
    <w:pPr>
      <w:tabs>
        <w:tab w:val="center" w:pos="4153"/>
        <w:tab w:val="right" w:pos="8306"/>
      </w:tabs>
      <w:jc w:val="center"/>
    </w:pPr>
    <w:rPr>
      <w:sz w:val="18"/>
      <w:szCs w:val="18"/>
    </w:rPr>
  </w:style>
  <w:style w:type="paragraph" w:styleId="TOC1">
    <w:name w:val="toc 1"/>
    <w:basedOn w:val="Normal"/>
    <w:next w:val="Normal"/>
    <w:autoRedefine/>
    <w:uiPriority w:val="39"/>
    <w:unhideWhenUsed/>
  </w:style>
  <w:style w:type="paragraph" w:styleId="TOC4">
    <w:name w:val="toc 4"/>
    <w:uiPriority w:val="31"/>
    <w:unhideWhenUsed/>
    <w:qFormat/>
    <w:pPr>
      <w:ind w:left="1275"/>
      <w:jc w:val="both"/>
    </w:pPr>
    <w:rPr>
      <w:rFonts w:ascii="Calibri" w:eastAsia="宋体" w:hAnsi="Calibri" w:cs="Times New Roman"/>
      <w:sz w:val="21"/>
      <w:szCs w:val="21"/>
      <w:lang w:val="en-US" w:eastAsia="zh-CN" w:bidi="ar-SA"/>
    </w:rPr>
  </w:style>
  <w:style w:type="paragraph" w:styleId="Subtitle">
    <w:name w:val="Subtitle"/>
    <w:uiPriority w:val="16"/>
    <w:qFormat/>
    <w:pPr>
      <w:jc w:val="center"/>
    </w:pPr>
    <w:rPr>
      <w:rFonts w:ascii="Calibri" w:eastAsia="宋体" w:hAnsi="Calibri" w:cs="Times New Roman"/>
      <w:sz w:val="24"/>
      <w:szCs w:val="24"/>
      <w:lang w:val="en-US" w:eastAsia="zh-CN" w:bidi="ar-SA"/>
    </w:rPr>
  </w:style>
  <w:style w:type="paragraph" w:styleId="TOC6">
    <w:name w:val="toc 6"/>
    <w:uiPriority w:val="33"/>
    <w:unhideWhenUsed/>
    <w:qFormat/>
    <w:pPr>
      <w:ind w:left="2125"/>
      <w:jc w:val="both"/>
    </w:pPr>
    <w:rPr>
      <w:rFonts w:ascii="Calibri" w:eastAsia="宋体" w:hAnsi="Calibri" w:cs="Times New Roman"/>
      <w:sz w:val="21"/>
      <w:szCs w:val="21"/>
      <w:lang w:val="en-US" w:eastAsia="zh-CN" w:bidi="ar-SA"/>
    </w:rPr>
  </w:style>
  <w:style w:type="paragraph" w:styleId="TOC2">
    <w:name w:val="toc 2"/>
    <w:basedOn w:val="Normal"/>
    <w:next w:val="Normal"/>
    <w:autoRedefine/>
    <w:uiPriority w:val="39"/>
    <w:unhideWhenUsed/>
    <w:qFormat/>
    <w:pPr>
      <w:ind w:left="420"/>
    </w:pPr>
  </w:style>
  <w:style w:type="paragraph" w:styleId="TOC9">
    <w:name w:val="toc 9"/>
    <w:autoRedefine/>
    <w:uiPriority w:val="36"/>
    <w:unhideWhenUsed/>
    <w:qFormat/>
    <w:pPr>
      <w:ind w:left="3400"/>
      <w:jc w:val="both"/>
    </w:pPr>
    <w:rPr>
      <w:rFonts w:ascii="Calibri" w:eastAsia="宋体" w:hAnsi="Calibri" w:cs="Times New Roman"/>
      <w:sz w:val="21"/>
      <w:szCs w:val="21"/>
      <w:lang w:val="en-US" w:eastAsia="zh-CN" w:bidi="ar-SA"/>
    </w:rPr>
  </w:style>
  <w:style w:type="paragraph" w:styleId="NormalWeb">
    <w:name w:val="Normal (Web)"/>
    <w:basedOn w:val="Normal"/>
    <w:autoRedefine/>
    <w:semiHidden/>
    <w:unhideWhenUsed/>
    <w:qFormat/>
    <w:rPr>
      <w:rFonts w:ascii="宋体" w:eastAsia="Times New Roman" w:hAnsi="宋体"/>
      <w:sz w:val="22"/>
      <w:szCs w:val="22"/>
    </w:rPr>
  </w:style>
  <w:style w:type="paragraph" w:styleId="Title">
    <w:name w:val="Title"/>
    <w:autoRedefine/>
    <w:uiPriority w:val="6"/>
    <w:qFormat/>
    <w:pPr>
      <w:jc w:val="center"/>
    </w:pPr>
    <w:rPr>
      <w:rFonts w:ascii="Calibri" w:eastAsia="宋体" w:hAnsi="Calibri" w:cs="Times New Roman"/>
      <w:b/>
      <w:sz w:val="32"/>
      <w:szCs w:val="32"/>
      <w:lang w:val="en-US" w:eastAsia="zh-CN" w:bidi="ar-SA"/>
    </w:rPr>
  </w:style>
  <w:style w:type="paragraph" w:styleId="CommentSubject">
    <w:name w:val="annotation subject"/>
    <w:basedOn w:val="CommentText"/>
    <w:next w:val="CommentText"/>
    <w:link w:val="Char6"/>
    <w:autoRedefine/>
    <w:uiPriority w:val="99"/>
    <w:semiHidden/>
    <w:unhideWhenUsed/>
    <w:qFormat/>
    <w:pPr>
      <w:jc w:val="left"/>
    </w:pPr>
    <w:rPr>
      <w:b/>
      <w:bCs/>
    </w:rPr>
  </w:style>
  <w:style w:type="paragraph" w:styleId="BodyTextFirstIndent">
    <w:name w:val="Body Text First Indent"/>
    <w:basedOn w:val="Normal"/>
    <w:link w:val="Char3"/>
    <w:autoRedefine/>
    <w:qFormat/>
    <w:pPr>
      <w:ind w:firstLine="567"/>
      <w:textAlignment w:val="baseline"/>
    </w:pPr>
    <w:rPr>
      <w:rFonts w:ascii="Arial" w:eastAsia="楷体_GB2312" w:hAnsi="Arial"/>
      <w:sz w:val="28"/>
      <w:szCs w:val="28"/>
    </w:rPr>
  </w:style>
  <w:style w:type="table" w:styleId="TableGrid">
    <w:name w:val="Table Grid"/>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0"/>
    <w:qFormat/>
    <w:rPr>
      <w:b/>
      <w:w w:val="100"/>
      <w:sz w:val="21"/>
      <w:szCs w:val="21"/>
      <w:shd w:val="clear" w:color="auto" w:fill="auto"/>
    </w:rPr>
  </w:style>
  <w:style w:type="character" w:styleId="Emphasis">
    <w:name w:val="Emphasis"/>
    <w:uiPriority w:val="18"/>
    <w:qFormat/>
    <w:rPr>
      <w:i/>
      <w:w w:val="100"/>
      <w:sz w:val="21"/>
      <w:szCs w:val="21"/>
      <w:shd w:val="clear" w:color="auto" w:fill="auto"/>
    </w:rPr>
  </w:style>
  <w:style w:type="character" w:styleId="Hyperlink">
    <w:name w:val="Hyperlink"/>
    <w:basedOn w:val="DefaultParagraphFont"/>
    <w:autoRedefine/>
    <w:unhideWhenUsed/>
    <w:qFormat/>
    <w:rPr>
      <w:color w:val="0000FF" w:themeColor="hyperlink"/>
      <w:w w:val="100"/>
      <w:sz w:val="20"/>
      <w:szCs w:val="20"/>
      <w:u w:val="single"/>
      <w:shd w:val="clear" w:color="auto" w:fill="auto"/>
    </w:rPr>
  </w:style>
  <w:style w:type="character" w:styleId="CommentReference">
    <w:name w:val="annotation reference"/>
    <w:basedOn w:val="DefaultParagraphFont"/>
    <w:autoRedefine/>
    <w:uiPriority w:val="99"/>
    <w:semiHidden/>
    <w:unhideWhenUsed/>
    <w:qFormat/>
    <w:rPr>
      <w:sz w:val="21"/>
      <w:szCs w:val="21"/>
    </w:rPr>
  </w:style>
  <w:style w:type="paragraph" w:styleId="NoSpacing">
    <w:name w:val="No Spacing"/>
    <w:autoRedefine/>
    <w:uiPriority w:val="5"/>
    <w:qFormat/>
    <w:pPr>
      <w:jc w:val="both"/>
    </w:pPr>
    <w:rPr>
      <w:rFonts w:ascii="Calibri" w:eastAsia="宋体" w:hAnsi="Calibri" w:cs="Times New Roman"/>
      <w:sz w:val="21"/>
      <w:szCs w:val="21"/>
      <w:lang w:val="en-US" w:eastAsia="zh-CN" w:bidi="ar-SA"/>
    </w:rPr>
  </w:style>
  <w:style w:type="character" w:customStyle="1" w:styleId="SubtleEmphasis">
    <w:name w:val="Subtle Emphasis"/>
    <w:autoRedefine/>
    <w:uiPriority w:val="17"/>
    <w:qFormat/>
    <w:rPr>
      <w:i/>
      <w:color w:val="404040"/>
      <w:w w:val="100"/>
      <w:sz w:val="21"/>
      <w:szCs w:val="21"/>
      <w:shd w:val="clear" w:color="auto" w:fill="auto"/>
    </w:rPr>
  </w:style>
  <w:style w:type="character" w:customStyle="1" w:styleId="IntenseEmphasis">
    <w:name w:val="Intense Emphasis"/>
    <w:uiPriority w:val="19"/>
    <w:qFormat/>
    <w:rPr>
      <w:i/>
      <w:color w:val="5B9BD5"/>
      <w:w w:val="100"/>
      <w:sz w:val="21"/>
      <w:szCs w:val="21"/>
      <w:shd w:val="clear" w:color="auto" w:fill="auto"/>
    </w:rPr>
  </w:style>
  <w:style w:type="paragraph" w:styleId="Quote">
    <w:name w:val="Quote"/>
    <w:autoRedefine/>
    <w:uiPriority w:val="21"/>
    <w:qFormat/>
    <w:pPr>
      <w:ind w:left="864" w:right="864"/>
      <w:jc w:val="center"/>
    </w:pPr>
    <w:rPr>
      <w:rFonts w:ascii="Calibri" w:eastAsia="宋体" w:hAnsi="Calibri" w:cs="Times New Roman"/>
      <w:i/>
      <w:color w:val="404040"/>
      <w:sz w:val="21"/>
      <w:szCs w:val="21"/>
      <w:lang w:val="en-US" w:eastAsia="zh-CN" w:bidi="ar-SA"/>
    </w:rPr>
  </w:style>
  <w:style w:type="paragraph" w:styleId="IntenseQuote">
    <w:name w:val="Intense Quote"/>
    <w:uiPriority w:val="22"/>
    <w:qFormat/>
    <w:pPr>
      <w:ind w:left="950" w:right="950"/>
      <w:jc w:val="center"/>
    </w:pPr>
    <w:rPr>
      <w:rFonts w:ascii="Calibri" w:eastAsia="宋体" w:hAnsi="Calibri" w:cs="Times New Roman"/>
      <w:i/>
      <w:color w:val="5B9BD5"/>
      <w:sz w:val="21"/>
      <w:szCs w:val="21"/>
      <w:lang w:val="en-US" w:eastAsia="zh-CN" w:bidi="ar-SA"/>
    </w:rPr>
  </w:style>
  <w:style w:type="character" w:customStyle="1" w:styleId="SubtleReference">
    <w:name w:val="Subtle Reference"/>
    <w:uiPriority w:val="23"/>
    <w:qFormat/>
    <w:rPr>
      <w:smallCaps/>
      <w:color w:val="5A5A5A"/>
      <w:w w:val="100"/>
      <w:sz w:val="21"/>
      <w:szCs w:val="21"/>
      <w:shd w:val="clear" w:color="auto" w:fill="auto"/>
    </w:rPr>
  </w:style>
  <w:style w:type="character" w:customStyle="1" w:styleId="IntenseReference">
    <w:name w:val="Intense Reference"/>
    <w:autoRedefine/>
    <w:uiPriority w:val="24"/>
    <w:qFormat/>
    <w:rPr>
      <w:b/>
      <w:smallCaps/>
      <w:color w:val="5B9BD5"/>
      <w:w w:val="100"/>
      <w:sz w:val="21"/>
      <w:szCs w:val="21"/>
      <w:shd w:val="clear" w:color="auto" w:fill="auto"/>
    </w:rPr>
  </w:style>
  <w:style w:type="character" w:customStyle="1" w:styleId="BookTitle">
    <w:name w:val="Book Title"/>
    <w:autoRedefine/>
    <w:uiPriority w:val="25"/>
    <w:qFormat/>
    <w:rPr>
      <w:b/>
      <w:i/>
      <w:w w:val="100"/>
      <w:sz w:val="21"/>
      <w:szCs w:val="21"/>
      <w:shd w:val="clear" w:color="auto" w:fill="auto"/>
    </w:rPr>
  </w:style>
  <w:style w:type="paragraph" w:styleId="ListParagraph">
    <w:name w:val="List Paragraph"/>
    <w:basedOn w:val="Normal"/>
    <w:autoRedefine/>
    <w:uiPriority w:val="26"/>
    <w:qFormat/>
    <w:pPr>
      <w:ind w:firstLine="420"/>
    </w:pPr>
  </w:style>
  <w:style w:type="paragraph" w:customStyle="1" w:styleId="TOC10">
    <w:name w:val="TOC 标题1"/>
    <w:basedOn w:val="Heading1"/>
    <w:next w:val="Normal"/>
    <w:uiPriority w:val="27"/>
    <w:semiHidden/>
    <w:unhideWhenUsed/>
    <w:qFormat/>
    <w:rPr>
      <w:rFonts w:ascii="Cambria" w:hAnsi="Cambria"/>
      <w:color w:val="366091" w:themeColor="accent1" w:themeShade="BF"/>
      <w:sz w:val="28"/>
      <w:szCs w:val="28"/>
    </w:rPr>
  </w:style>
  <w:style w:type="character" w:customStyle="1" w:styleId="Char">
    <w:name w:val="批注框文本 Char"/>
    <w:basedOn w:val="DefaultParagraphFont"/>
    <w:link w:val="BalloonText"/>
    <w:autoRedefine/>
    <w:semiHidden/>
    <w:qFormat/>
    <w:rPr>
      <w:w w:val="100"/>
      <w:sz w:val="18"/>
      <w:szCs w:val="18"/>
      <w:shd w:val="clear" w:color="auto" w:fill="auto"/>
    </w:rPr>
  </w:style>
  <w:style w:type="character" w:customStyle="1" w:styleId="Char0">
    <w:name w:val="页眉 Char"/>
    <w:basedOn w:val="DefaultParagraphFont"/>
    <w:link w:val="Header"/>
    <w:autoRedefine/>
    <w:qFormat/>
    <w:rPr>
      <w:w w:val="100"/>
      <w:sz w:val="18"/>
      <w:szCs w:val="18"/>
      <w:shd w:val="clear" w:color="auto" w:fill="auto"/>
    </w:rPr>
  </w:style>
  <w:style w:type="character" w:customStyle="1" w:styleId="Char1">
    <w:name w:val="页脚 Char"/>
    <w:basedOn w:val="DefaultParagraphFont"/>
    <w:link w:val="Footer"/>
    <w:autoRedefine/>
    <w:qFormat/>
    <w:rPr>
      <w:w w:val="100"/>
      <w:sz w:val="18"/>
      <w:szCs w:val="18"/>
      <w:shd w:val="clear" w:color="auto" w:fill="auto"/>
    </w:rPr>
  </w:style>
  <w:style w:type="character" w:customStyle="1" w:styleId="Char2">
    <w:name w:val="日期 Char"/>
    <w:basedOn w:val="DefaultParagraphFont"/>
    <w:link w:val="Date"/>
    <w:autoRedefine/>
    <w:semiHidden/>
    <w:qFormat/>
  </w:style>
  <w:style w:type="paragraph" w:customStyle="1" w:styleId="reader-word-layer">
    <w:name w:val="reader-word-layer"/>
    <w:basedOn w:val="Normal"/>
    <w:autoRedefine/>
    <w:qFormat/>
    <w:rPr>
      <w:rFonts w:ascii="宋体" w:hAnsi="宋体"/>
      <w:sz w:val="24"/>
      <w:szCs w:val="24"/>
    </w:rPr>
  </w:style>
  <w:style w:type="character" w:customStyle="1" w:styleId="1Char">
    <w:name w:val="标题 1 Char"/>
    <w:basedOn w:val="DefaultParagraphFont"/>
    <w:link w:val="Heading1"/>
    <w:autoRedefine/>
    <w:qFormat/>
    <w:rPr>
      <w:b/>
      <w:w w:val="100"/>
      <w:sz w:val="44"/>
      <w:szCs w:val="44"/>
      <w:shd w:val="clear" w:color="auto" w:fill="auto"/>
    </w:rPr>
  </w:style>
  <w:style w:type="character" w:customStyle="1" w:styleId="2Char">
    <w:name w:val="标题 2 Char"/>
    <w:basedOn w:val="DefaultParagraphFont"/>
    <w:link w:val="Heading2"/>
    <w:autoRedefine/>
    <w:uiPriority w:val="8"/>
    <w:qFormat/>
    <w:rPr>
      <w:rFonts w:ascii="Cambria" w:eastAsia="宋体" w:hAnsi="Cambria"/>
      <w:b/>
      <w:w w:val="100"/>
      <w:sz w:val="32"/>
      <w:szCs w:val="32"/>
      <w:shd w:val="clear" w:color="auto" w:fill="auto"/>
    </w:rPr>
  </w:style>
  <w:style w:type="character" w:customStyle="1" w:styleId="Char3">
    <w:name w:val="正文首行缩进 Char"/>
    <w:basedOn w:val="DefaultParagraphFont"/>
    <w:link w:val="BodyTextFirstIndent"/>
    <w:autoRedefine/>
    <w:qFormat/>
    <w:rPr>
      <w:rFonts w:ascii="Arial" w:eastAsia="楷体_GB2312" w:hAnsi="Arial"/>
      <w:w w:val="100"/>
      <w:sz w:val="28"/>
      <w:szCs w:val="28"/>
      <w:shd w:val="clear" w:color="auto" w:fill="auto"/>
    </w:rPr>
  </w:style>
  <w:style w:type="character" w:customStyle="1" w:styleId="Char4">
    <w:name w:val="正文文本 Char"/>
    <w:basedOn w:val="DefaultParagraphFont"/>
    <w:link w:val="BodyText"/>
    <w:autoRedefine/>
    <w:semiHidden/>
    <w:qFormat/>
  </w:style>
  <w:style w:type="character" w:customStyle="1" w:styleId="Char10">
    <w:name w:val="正文首行缩进 Char1"/>
    <w:basedOn w:val="Char4"/>
    <w:autoRedefine/>
    <w:semiHidden/>
    <w:qFormat/>
  </w:style>
  <w:style w:type="paragraph" w:customStyle="1" w:styleId="1">
    <w:name w:val="列出段落1"/>
    <w:basedOn w:val="Normal"/>
    <w:autoRedefine/>
    <w:qFormat/>
    <w:pPr>
      <w:ind w:firstLine="420"/>
    </w:pPr>
  </w:style>
  <w:style w:type="character" w:customStyle="1" w:styleId="3Char">
    <w:name w:val="标题 3 Char"/>
    <w:basedOn w:val="DefaultParagraphFont"/>
    <w:link w:val="Heading3"/>
    <w:autoRedefine/>
    <w:semiHidden/>
    <w:qFormat/>
    <w:rPr>
      <w:b/>
      <w:w w:val="100"/>
      <w:sz w:val="32"/>
      <w:szCs w:val="32"/>
      <w:shd w:val="clear" w:color="auto" w:fill="auto"/>
    </w:rPr>
  </w:style>
  <w:style w:type="character" w:customStyle="1" w:styleId="Char5">
    <w:name w:val="批注文字 Char"/>
    <w:basedOn w:val="DefaultParagraphFont"/>
    <w:link w:val="CommentText"/>
    <w:autoRedefine/>
    <w:qFormat/>
  </w:style>
  <w:style w:type="character" w:customStyle="1" w:styleId="Char6">
    <w:name w:val="批注主题 Char"/>
    <w:basedOn w:val="Char5"/>
    <w:link w:val="CommentSubject"/>
    <w:autoRedefine/>
    <w:uiPriority w:val="99"/>
    <w:semiHidden/>
    <w:qFormat/>
    <w:rPr>
      <w:b/>
      <w:bCs/>
      <w:sz w:val="21"/>
      <w:szCs w:val="21"/>
    </w:rPr>
  </w:style>
  <w:style w:type="table" w:customStyle="1" w:styleId="TableGrid0">
    <w:name w:val="Table Grid_0"/>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autoRedefine/>
    <w:uiPriority w:val="3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footer" Target="footer7.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footer" Target="footer9.xml"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footer" Target="footer10.xml" /><Relationship Id="rId33" Type="http://schemas.openxmlformats.org/officeDocument/2006/relationships/footer" Target="footer11.xml" /><Relationship Id="rId34" Type="http://schemas.openxmlformats.org/officeDocument/2006/relationships/footer" Target="footer12.xml" /><Relationship Id="rId35" Type="http://schemas.openxmlformats.org/officeDocument/2006/relationships/image" Target="media/image18.png"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footer" Target="footer21.xml" /><Relationship Id="rId45" Type="http://schemas.openxmlformats.org/officeDocument/2006/relationships/footer" Target="footer22.xml" /><Relationship Id="rId46" Type="http://schemas.openxmlformats.org/officeDocument/2006/relationships/footer" Target="footer23.xml" /><Relationship Id="rId47" Type="http://schemas.openxmlformats.org/officeDocument/2006/relationships/footer" Target="footer24.xml" /><Relationship Id="rId48" Type="http://schemas.openxmlformats.org/officeDocument/2006/relationships/hyperlink" Target="https://d.book118.com/075230231000011114" TargetMode="External" /><Relationship Id="rId49" Type="http://schemas.openxmlformats.org/officeDocument/2006/relationships/footer" Target="footer25.xml" /><Relationship Id="rId5" Type="http://schemas.openxmlformats.org/officeDocument/2006/relationships/customXml" Target="../customXml/item2.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319E82-A115-4FF1-9A3D-CD27239A00D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6216</Words>
  <Characters>35437</Characters>
  <Application>Microsoft Office Word</Application>
  <DocSecurity>0</DocSecurity>
  <Lines>295</Lines>
  <Paragraphs>83</Paragraphs>
  <ScaleCrop>false</ScaleCrop>
  <Company>MCC20</Company>
  <LinksUpToDate>false</LinksUpToDate>
  <CharactersWithSpaces>41570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yangyong</dc:creator>
  <cp:lastModifiedBy>xwbjl</cp:lastModifiedBy>
  <cp:revision>3</cp:revision>
  <cp:lastPrinted>2018-08-21T00:44:00Z</cp:lastPrinted>
  <dcterms:created xsi:type="dcterms:W3CDTF">2019-01-07T06:05:00Z</dcterms:created>
  <dcterms:modified xsi:type="dcterms:W3CDTF">2024-02-18T06:50:48Z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30B3A643053648E6817396582264DE12_12</vt:lpwstr>
  </property>
  <property fmtid="{D5CDD505-2E9C-101B-9397-08002B2CF9AE}" pid="3" name="KSOProductBuildVer">
    <vt:lpwstr>2052-12.1.0.16120</vt:lpwstr>
  </property>
</Properties>
</file>