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2D2487" w:rsidP="002D2487" w14:paraId="7F8706C9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2D2487">
        <w:rPr>
          <w:rFonts w:ascii="华文中宋" w:eastAsia="华文中宋" w:hAnsi="华文中宋"/>
          <w:b/>
          <w:sz w:val="30"/>
        </w:rPr>
        <w:t>2024</w:t>
      </w:r>
      <w:r w:rsidRPr="002D2487">
        <w:rPr>
          <w:rFonts w:ascii="华文中宋" w:eastAsia="华文中宋" w:hAnsi="华文中宋"/>
          <w:b/>
          <w:sz w:val="30"/>
        </w:rPr>
        <w:t>年沈阳创业投资管理集团有限公司人员招聘考试题库及答案解析</w:t>
      </w:r>
    </w:p>
    <w:p w:rsidR="00A77B3E" w14:paraId="7A1C47E6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29FF3E90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3F588C" w14:paraId="400FE57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元朝继承了唐宋对外开放的政策，在政治上加强与海外诸国的联系，在经济上积极开展海外贸易，与元朝有联系的国家和地区在</w:t>
      </w:r>
      <w:r w:rsidRPr="003F588C">
        <w:rPr>
          <w:rFonts w:ascii="Times New Roman" w:eastAsia="微软雅黑" w:hAnsi="微软雅黑" w:cs="宋体" w:hint="eastAsia"/>
          <w:szCs w:val="18"/>
        </w:rPr>
        <w:t>200</w:t>
      </w:r>
      <w:r w:rsidRPr="003F588C">
        <w:rPr>
          <w:rFonts w:ascii="Times New Roman" w:eastAsia="微软雅黑" w:hAnsi="微软雅黑" w:cs="宋体" w:hint="eastAsia"/>
          <w:szCs w:val="18"/>
        </w:rPr>
        <w:t>个以上，其中相当一部分是前代没有记载的。明朝初年的《大明混一图》</w:t>
      </w:r>
      <w:r w:rsidRPr="003F588C">
        <w:rPr>
          <w:rFonts w:ascii="Times New Roman" w:eastAsia="微软雅黑" w:hAnsi="微软雅黑" w:cs="宋体" w:hint="eastAsia"/>
          <w:szCs w:val="18"/>
        </w:rPr>
        <w:t>(1389</w:t>
      </w:r>
      <w:r w:rsidRPr="003F588C">
        <w:rPr>
          <w:rFonts w:ascii="Times New Roman" w:eastAsia="微软雅黑" w:hAnsi="微软雅黑" w:cs="宋体" w:hint="eastAsia"/>
          <w:szCs w:val="18"/>
        </w:rPr>
        <w:t>年</w:t>
      </w:r>
      <w:r w:rsidRPr="003F588C">
        <w:rPr>
          <w:rFonts w:ascii="Times New Roman" w:eastAsia="微软雅黑" w:hAnsi="微软雅黑" w:cs="宋体" w:hint="eastAsia"/>
          <w:szCs w:val="18"/>
        </w:rPr>
        <w:t>)</w:t>
      </w:r>
      <w:r w:rsidRPr="003F588C">
        <w:rPr>
          <w:rFonts w:ascii="Times New Roman" w:eastAsia="微软雅黑" w:hAnsi="微软雅黑" w:cs="宋体" w:hint="eastAsia"/>
          <w:szCs w:val="18"/>
        </w:rPr>
        <w:t>和朝鲜的《混一疆理历代国都之图》</w:t>
      </w:r>
      <w:r w:rsidRPr="003F588C">
        <w:rPr>
          <w:rFonts w:ascii="Times New Roman" w:eastAsia="微软雅黑" w:hAnsi="微软雅黑" w:cs="宋体" w:hint="eastAsia"/>
          <w:szCs w:val="18"/>
        </w:rPr>
        <w:t>(1402</w:t>
      </w:r>
      <w:r w:rsidRPr="003F588C">
        <w:rPr>
          <w:rFonts w:ascii="Times New Roman" w:eastAsia="微软雅黑" w:hAnsi="微软雅黑" w:cs="宋体" w:hint="eastAsia"/>
          <w:szCs w:val="18"/>
        </w:rPr>
        <w:t>年</w:t>
      </w:r>
      <w:r w:rsidRPr="003F588C">
        <w:rPr>
          <w:rFonts w:ascii="Times New Roman" w:eastAsia="微软雅黑" w:hAnsi="微软雅黑" w:cs="宋体" w:hint="eastAsia"/>
          <w:szCs w:val="18"/>
        </w:rPr>
        <w:t>)</w:t>
      </w:r>
      <w:r w:rsidRPr="003F588C">
        <w:rPr>
          <w:rFonts w:ascii="Times New Roman" w:eastAsia="微软雅黑" w:hAnsi="微软雅黑" w:cs="宋体" w:hint="eastAsia"/>
          <w:szCs w:val="18"/>
        </w:rPr>
        <w:t>，都出现了非洲南部的大三角，两图类似。朝鲜地图的作者明确说是据元人两种地图合绘而成。可见，元人对非洲地理形势已有所了解，海外地理知识的扩展反映了海外交通的进步。可以认为，元代的海外活动为</w:t>
      </w:r>
      <w:r w:rsidRPr="003F588C">
        <w:rPr>
          <w:rFonts w:ascii="Times New Roman" w:eastAsia="微软雅黑" w:hAnsi="微软雅黑" w:cs="宋体" w:hint="eastAsia"/>
          <w:szCs w:val="18"/>
        </w:rPr>
        <w:t>15</w:t>
      </w:r>
      <w:r w:rsidRPr="003F588C">
        <w:rPr>
          <w:rFonts w:ascii="Times New Roman" w:eastAsia="微软雅黑" w:hAnsi="微软雅黑" w:cs="宋体" w:hint="eastAsia"/>
          <w:szCs w:val="18"/>
        </w:rPr>
        <w:t>世纪郑和航海奠定了基础。</w:t>
      </w:r>
    </w:p>
    <w:p w:rsidR="003F588C" w14:paraId="3CE2E73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下列说法与原文相符的是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7CBF7E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、与元朝交往的海外诸国大大多于前朝</w:t>
      </w:r>
    </w:p>
    <w:p w:rsidR="003F588C" w14:paraId="16F3109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、元朝西征曾到达非洲并据此绘出地图</w:t>
      </w:r>
    </w:p>
    <w:p w:rsidR="003F588C" w14:paraId="05D16F3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、元朝是我国海上交通最为发达的时期</w:t>
      </w:r>
    </w:p>
    <w:p w:rsidR="003F588C" w14:paraId="4EA4677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、历史上我国海外贸易最繁荣的是元朝</w:t>
      </w:r>
    </w:p>
    <w:p w:rsidR="003F588C" w14:paraId="142171C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</w:p>
    <w:p w:rsidR="003F588C" w14:paraId="6216D8A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第一步，分析文段，将选项与原文一一对应。第二步，对比选项。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项对应原文第二句“与元朝有联系的国家和地区……相当一部分是前代没有记载的”，言下之</w:t>
      </w:r>
      <w:r w:rsidRPr="003F588C">
        <w:rPr>
          <w:rFonts w:ascii="Times New Roman" w:eastAsia="微软雅黑" w:hAnsi="微软雅黑" w:cs="宋体" w:hint="eastAsia"/>
          <w:szCs w:val="18"/>
        </w:rPr>
        <w:t>意就是有很多新的国家和地区。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项是该句的同义替换，符合文意。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项对应文中表述“朝鲜地图的作者明确说是据元人两种地图合绘而成”，但并未提到元朝曾西征到达非洲，并据此绘出地图之事，属于无中生有，排除。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项中“海上交通最为发达”和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项中“海外贸易最繁荣”都在文中没有提及，属于无中生有，均排除。故选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183489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微软中国分公司在招聘员工时，出了一道这样的考题：有</w:t>
      </w:r>
      <w:r w:rsidRPr="003F588C">
        <w:rPr>
          <w:rFonts w:ascii="Times New Roman" w:eastAsia="微软雅黑" w:hAnsi="微软雅黑" w:cs="宋体" w:hint="eastAsia"/>
          <w:szCs w:val="18"/>
        </w:rPr>
        <w:t>12</w:t>
      </w:r>
      <w:r w:rsidRPr="003F588C">
        <w:rPr>
          <w:rFonts w:ascii="Times New Roman" w:eastAsia="微软雅黑" w:hAnsi="微软雅黑" w:cs="宋体" w:hint="eastAsia"/>
          <w:szCs w:val="18"/>
        </w:rPr>
        <w:t>个小球，其中有一个质量与其他</w:t>
      </w:r>
      <w:r w:rsidRPr="003F588C">
        <w:rPr>
          <w:rFonts w:ascii="Times New Roman" w:eastAsia="微软雅黑" w:hAnsi="微软雅黑" w:cs="宋体" w:hint="eastAsia"/>
          <w:szCs w:val="18"/>
        </w:rPr>
        <w:t>11</w:t>
      </w:r>
      <w:r w:rsidRPr="003F588C">
        <w:rPr>
          <w:rFonts w:ascii="Times New Roman" w:eastAsia="微软雅黑" w:hAnsi="微软雅黑" w:cs="宋体" w:hint="eastAsia"/>
          <w:szCs w:val="18"/>
        </w:rPr>
        <w:t>个不同，如果只给你三次测试机会，在</w:t>
      </w:r>
      <w:r w:rsidRPr="003F588C">
        <w:rPr>
          <w:rFonts w:ascii="Times New Roman" w:eastAsia="微软雅黑" w:hAnsi="微软雅黑" w:cs="宋体" w:hint="eastAsia"/>
          <w:szCs w:val="18"/>
        </w:rPr>
        <w:t>30</w:t>
      </w:r>
      <w:r w:rsidRPr="003F588C">
        <w:rPr>
          <w:rFonts w:ascii="Times New Roman" w:eastAsia="微软雅黑" w:hAnsi="微软雅黑" w:cs="宋体" w:hint="eastAsia"/>
          <w:szCs w:val="18"/>
        </w:rPr>
        <w:t>分钟时间内，你怎样才能挑出这个球</w:t>
      </w:r>
      <w:r w:rsidRPr="003F588C">
        <w:rPr>
          <w:rFonts w:ascii="Times New Roman" w:eastAsia="微软雅黑" w:hAnsi="微软雅黑" w:cs="宋体" w:hint="eastAsia"/>
          <w:szCs w:val="18"/>
        </w:rPr>
        <w:t>?</w:t>
      </w:r>
      <w:r w:rsidRPr="003F588C">
        <w:rPr>
          <w:rFonts w:ascii="Times New Roman" w:eastAsia="微软雅黑" w:hAnsi="微软雅黑" w:cs="宋体" w:hint="eastAsia"/>
          <w:szCs w:val="18"/>
        </w:rPr>
        <w:t>绝大多数应聘者费尽了周折，在规定时间内也没琢磨出结果。之后，有一个青年依旧在考场里苦思冥想，几个钟头后，还在做着实验。教官发现后问，有结果了吗</w:t>
      </w:r>
      <w:r w:rsidRPr="003F588C">
        <w:rPr>
          <w:rFonts w:ascii="Times New Roman" w:eastAsia="微软雅黑" w:hAnsi="微软雅黑" w:cs="宋体" w:hint="eastAsia"/>
          <w:szCs w:val="18"/>
        </w:rPr>
        <w:t>?</w:t>
      </w:r>
      <w:r w:rsidRPr="003F588C">
        <w:rPr>
          <w:rFonts w:ascii="Times New Roman" w:eastAsia="微软雅黑" w:hAnsi="微软雅黑" w:cs="宋体" w:hint="eastAsia"/>
          <w:szCs w:val="18"/>
        </w:rPr>
        <w:t>青年摇头。最终，这青年被公司录用。理由是：他的智力和能力都不够出色，但毅力可嘉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一个成功的企业想可持续地发展，除了需要聪明才智外，不能缺少持之以恒的毅力，而此人身上体现的正是这种精神。</w:t>
      </w:r>
    </w:p>
    <w:p w:rsidR="003F588C" w14:paraId="4484268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最适合做本段文字标题的是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1CC74EA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、招聘难题</w:t>
      </w:r>
    </w:p>
    <w:p w:rsidR="003F588C" w14:paraId="25204FC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、智商测试</w:t>
      </w:r>
    </w:p>
    <w:p w:rsidR="003F588C" w14:paraId="63A2591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、微软招“笨人”</w:t>
      </w:r>
    </w:p>
    <w:p w:rsidR="003F588C" w14:paraId="6640BD9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、企业需要有恒心的青年</w:t>
      </w:r>
    </w:p>
    <w:p w:rsidR="003F588C" w14:paraId="5CB63BD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</w:p>
    <w:p w:rsidR="003F588C" w14:paraId="5621CBB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文段以招聘考题为切入点，重在介绍微软独特的用人理念，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两项显然没有抓住文段的核心观点，排除。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项虽然抓住了文段的主要意思，但作为标题，显然不如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项具有吸引力。故选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9902E6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美国“好奇号”火星车在火星表面着陆，这是人类迄今在其他星球登陆的最精密的移动科学实验室。“好奇号”将测量火星岩石和泥土中不同化学元素的丰度，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火星表面的辐射环境及其对未来登陆火星宇航员的危害，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火星是否具有适宜生命存在的环境，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行星变化的线索。</w:t>
      </w:r>
    </w:p>
    <w:p w:rsidR="003F588C" w14:paraId="5B51DF5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填入画横线部分最恰当的一项是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EF2F5D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、评价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找寻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跟踪</w:t>
      </w:r>
    </w:p>
    <w:p w:rsidR="003F588C" w14:paraId="79CDE0A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、判断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考察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挖掘</w:t>
      </w:r>
    </w:p>
    <w:p w:rsidR="003F588C" w14:paraId="6A30D65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、测算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探究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注意</w:t>
      </w:r>
    </w:p>
    <w:p w:rsidR="003F588C" w14:paraId="6E9C8A5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、评估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探索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寻找</w:t>
      </w:r>
    </w:p>
    <w:p w:rsidR="003F588C" w14:paraId="0673522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</w:p>
    <w:p w:rsidR="003F588C" w14:paraId="11230DB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第一空，“判断”“测算”均不能与“环境”搭配，排除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。第二空，与“找寻”相比，“探索”更符合科技说明文的语境。故选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08D1E8C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当中原的青铜文化如火如荼之时，面对铜料欠缺的窘境，务实的越人</w:t>
      </w:r>
      <w:r w:rsidRPr="003F588C">
        <w:rPr>
          <w:rFonts w:ascii="Times New Roman" w:eastAsia="微软雅黑" w:hAnsi="微软雅黑" w:cs="宋体" w:hint="eastAsia"/>
          <w:szCs w:val="18"/>
        </w:rPr>
        <w:t>________</w:t>
      </w:r>
      <w:r w:rsidRPr="003F588C">
        <w:rPr>
          <w:rFonts w:ascii="Times New Roman" w:eastAsia="微软雅黑" w:hAnsi="微软雅黑" w:cs="宋体" w:hint="eastAsia"/>
          <w:szCs w:val="18"/>
        </w:rPr>
        <w:t>，开创了瓷器生产的新纪元。秦汉时期是中国历史上大动荡大变革的时代，各行各业的面貌都</w:t>
      </w:r>
      <w:r w:rsidRPr="003F588C">
        <w:rPr>
          <w:rFonts w:ascii="Times New Roman" w:eastAsia="微软雅黑" w:hAnsi="微软雅黑" w:cs="宋体" w:hint="eastAsia"/>
          <w:szCs w:val="18"/>
        </w:rPr>
        <w:t>________</w:t>
      </w:r>
      <w:r w:rsidRPr="003F588C">
        <w:rPr>
          <w:rFonts w:ascii="Times New Roman" w:eastAsia="微软雅黑" w:hAnsi="微软雅黑" w:cs="宋体" w:hint="eastAsia"/>
          <w:szCs w:val="18"/>
        </w:rPr>
        <w:t>，古老越地的陶瓷业也是如此。进入东汉，过去的原始瓷</w:t>
      </w:r>
      <w:r w:rsidRPr="003F588C">
        <w:rPr>
          <w:rFonts w:ascii="Times New Roman" w:eastAsia="微软雅黑" w:hAnsi="微软雅黑" w:cs="宋体" w:hint="eastAsia"/>
          <w:szCs w:val="18"/>
        </w:rPr>
        <w:t>_____</w:t>
      </w:r>
      <w:r w:rsidRPr="003F588C">
        <w:rPr>
          <w:rFonts w:ascii="Times New Roman" w:eastAsia="微软雅黑" w:hAnsi="微软雅黑" w:cs="宋体" w:hint="eastAsia"/>
          <w:szCs w:val="18"/>
        </w:rPr>
        <w:t>退出历史的舞台，一种面貌全新的青瓷在上虞曹娥江中游地区的窑场随之诞生。依次填入划横线部分最恰当的一项是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https://d.book118.com/075301322143011042</w:t>
        </w:r>
      </w:hyperlink>
    </w:p>
    <w:p w:rsidR="003F588C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487" w:rsidP="00A66124" w14:paraId="48EEFFC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D2487" w14:paraId="1B17276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487" w:rsidP="00A66124" w14:paraId="13D72B52" w14:textId="38E075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2D2487" w14:paraId="0EBE1FD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487" w14:paraId="17D9375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487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D248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487" w:rsidP="00A66124" w14:textId="38E075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D248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487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487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D2487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487" w:rsidP="00A66124" w14:textId="38E075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2D2487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4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487" w14:paraId="724FAEB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487" w14:paraId="7B0D20F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487" w14:paraId="30E57C5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48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487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487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487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487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4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D2487"/>
    <w:rsid w:val="003F588C"/>
    <w:rsid w:val="00541498"/>
    <w:rsid w:val="007675BD"/>
    <w:rsid w:val="009C641C"/>
    <w:rsid w:val="00A66124"/>
    <w:rsid w:val="00A77B3E"/>
    <w:rsid w:val="00A95C3D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06B7A4F"/>
  <w15:docId w15:val="{41584DBE-8B03-4224-BBBD-38CD9BEC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0">
    <w:name w:val="正文_0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customStyle="1" w:styleId="00">
    <w:name w:val="普通(网站)_0"/>
    <w:basedOn w:val="0"/>
    <w:qFormat/>
    <w:rsid w:val="007675B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2D24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2D2487"/>
    <w:rPr>
      <w:sz w:val="18"/>
      <w:szCs w:val="18"/>
    </w:rPr>
  </w:style>
  <w:style w:type="paragraph" w:styleId="Footer">
    <w:name w:val="footer"/>
    <w:basedOn w:val="Normal"/>
    <w:link w:val="a0"/>
    <w:rsid w:val="002D24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2D2487"/>
    <w:rPr>
      <w:sz w:val="18"/>
      <w:szCs w:val="18"/>
    </w:rPr>
  </w:style>
  <w:style w:type="character" w:styleId="PageNumber">
    <w:name w:val="page number"/>
    <w:basedOn w:val="DefaultParagraphFont"/>
    <w:rsid w:val="002D2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075301322143011042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3910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2024-01-14T10:34:00Z</dcterms:created>
  <dcterms:modified xsi:type="dcterms:W3CDTF">2024-01-14T10:34:00Z</dcterms:modified>
</cp:coreProperties>
</file>