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D1359" w:rsidP="00FD1359">
      <w:pPr>
        <w:spacing w:before="48" w:beforeLines="20" w:after="360" w:afterLines="150" w:line="360" w:lineRule="auto"/>
        <w:jc w:val="center"/>
        <w:rPr>
          <w:rFonts w:ascii="华文中宋" w:eastAsia="华文中宋" w:hAnsi="华文中宋"/>
          <w:b/>
          <w:sz w:val="30"/>
        </w:rPr>
      </w:pPr>
      <w:r w:rsidRPr="00FD1359">
        <w:rPr>
          <w:rFonts w:ascii="华文中宋" w:eastAsia="华文中宋" w:hAnsi="华文中宋"/>
          <w:b/>
          <w:sz w:val="30"/>
        </w:rPr>
        <w:t>2023</w:t>
      </w:r>
      <w:r w:rsidRPr="00FD1359">
        <w:rPr>
          <w:rFonts w:ascii="华文中宋" w:eastAsia="华文中宋" w:hAnsi="华文中宋"/>
          <w:b/>
          <w:sz w:val="30"/>
        </w:rPr>
        <w:t>年广州铁路局人员招聘考试试题及答案解析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从一开始，网络的开拓者们就相信：如果互联网要变成一个全球化的体系，一个开放、合</w:t>
      </w:r>
      <w:r w:rsidRPr="00E0697D">
        <w:rPr>
          <w:rFonts w:ascii="Times New Roman" w:eastAsia="微软雅黑" w:hAnsi="微软雅黑" w:cs="宋体" w:hint="eastAsia"/>
          <w:szCs w:val="18"/>
        </w:rPr>
        <w:t>作和透明的管理模型是</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的。而这种模型基于自愿采纳原则，因为分享是它最大的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、必不可少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回报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、与生俱来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亮点</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、不可或缺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创新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、事半功倍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动力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第一空根据文意“如果互联网要变成一个全球化体系”，“开放、合作和透明的管理模式”是基础，或者强调其重要性，因此排除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。第二空“分享”是“这种模式”带来的好的结果，文中并未提到“创新”，因此排除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项“回报”符合文意。故选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哲学思维是一种高度抽象化和理性化的思维。哲学思维的这种特点并不表明哲学与生活无关，也不表明它所讨论的只能是一些纯粹思辨的、冷冰冰的问题。其实，哲学的抽象性主要是指论证方式，而非哲学问题。哲学中的问题来自生活和科学，都是确实且普遍存在的。当这些问题上升为哲学问题时，就抽象化了，因为哲学是以普遍性的概念和范畴形式来表述和论证这些问题的。如存在和意识的相互关系、必然性和偶然性的问题等，这些问题在没有上升为哲学问题前，都以具体问题的形式出现。可以说，所有哲学问题在生活和科学中都有类似的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、哲学思维的思辨性特点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、哲学与现实生活的关系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、哲学研究问题的普遍性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、哲学论证方式的抽象性</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哲学的特点，说明哲学不是与生活无关的，不是只讨论一些纯粹思辨的问题的。随后通过转折词“其实”指出，哲学问题并非是抽象性的，哲学的问题是来自生活和科学的，是普遍存在的。后文详细介绍哲学问题是普遍性的原因。尾句“可以说”总结前文，说明所有的哲学问题在生活和科学中都具有类似特点，即反映出普遍性特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许多种类的蝴蝶鱼在尾部前上方、与头部眼睛相对称位置有一黑色斑点，宛如鱼</w:t>
      </w:r>
      <w:r w:rsidRPr="00E0697D">
        <w:rPr>
          <w:rFonts w:ascii="Times New Roman" w:eastAsia="微软雅黑" w:hAnsi="微软雅黑" w:cs="宋体" w:hint="eastAsia"/>
          <w:szCs w:val="18"/>
        </w:rPr>
        <w:t>眼，而它的眼睛则</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在头部的黑斑中。平时，蝴蝶鱼在海中总是倒退游动。掠食者常受尾部黑斑的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，误把鱼尾作鱼头。当掠食者猛扑向它时，蝴蝶鱼则顺势向前飞速逃走。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、隐匿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引诱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、藏匿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、隐藏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迷惑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由第二空后面的“误把鱼尾作鱼头”可知，第二空选“迷惑”最恰当。故选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失去对自然声音感悟的人是最可悲的，当有人说“风景美得像一幅画”时，境界便低了，因为画是静的，自然的风景是活的、动的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而除了目视，自然还提供各种声音，这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种双重的组合才使自然超拔出人所能创造的境界。世上有无数艺术家，全是从自然中吸取灵感，但再好的艺术家，总无法完全捕捉自然的魂魄，因为自然是有声音有画面的，还是活的，时刻都在变化的。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、聆听自然才能创造出杰出的作品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、自然风景超出了人所能创造的境界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、欣赏自然需要视觉、听觉全方位的体验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、大自然为艺术家提供了取之不尽的材料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文首首先提出只目视风景不懂用声音感悟的人是可悲的观点，继而转折提出“双重组合才使得自然超出人所能创造的境界“</w:t>
      </w:r>
      <w:r w:rsidRPr="00E0697D">
        <w:rPr>
          <w:rFonts w:ascii="Times New Roman" w:eastAsia="微软雅黑" w:hAnsi="微软雅黑" w:cs="宋体" w:hint="eastAsia"/>
          <w:szCs w:val="18"/>
        </w:rPr>
        <w:t>的观点。而后文艺术家的例子再次印证：自然可以给人灵感，但自然永远无法捕捉，它很活，它多变。这个“活”和“多变”正是论证前文“自然超出人所能创造的境界”观点。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项“聆听自然”涵盖不全，“目视与聆听”都重要，且文段不是在强调如何创造作品，而是在强调大自然的超脱灵动。</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项为最大干扰项，但文段并非强调如何“欣赏自然”而是强调自然界的不凡非人能创造。</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项中的“艺术家”话题只是为了论证自然的“无法捕捉”，也即该项并非核心观点。故选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我国历来高度重视反假币工作，始终坚持“打防并举，标本兼治”，相关部门密</w:t>
      </w:r>
      <w:r w:rsidRPr="00E0697D">
        <w:rPr>
          <w:rFonts w:ascii="Times New Roman" w:eastAsia="微软雅黑" w:hAnsi="微软雅黑" w:cs="宋体" w:hint="eastAsia"/>
          <w:szCs w:val="18"/>
        </w:rPr>
        <w:t>切配合、通力协作，反假币工作逐步深入。公安机关加大打击力度，侦破了一批大案要案。人民银行联合相关部门，加大反假币宣传，特别是在农村偏远地区，通过各种形式，持续宣传货币防伪常识，社会公众识假辨假的意识和能力得到有效提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下列说法准确概括文意的是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、银行目前发现的假币越来越少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、社会公众识别假币能力提高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、我国反假币工作逐步得到深入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、公安机关打击假币力度加大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典型的总一分式文章结构。文段首句提到了核心的观点，即我国反假币工作逐步深入。接下来分别陈述了具体执行机构的做法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公安机关和人民银行，加强对首句核心观点的论述说明。由此可知概括文意最准确的一项是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项表述不妥，“越来越少”在文中并未提及，无从得出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项仅仅是“分”论点中的具体内容，并非核心观点。故选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1"/>
        <w:snapToGrid w:val="0"/>
        <w:spacing w:after="260" w:line="360" w:lineRule="auto"/>
        <w:rPr>
          <w:rFonts w:ascii="微软雅黑" w:eastAsia="微软雅黑" w:hAnsi="微软雅黑" w:cs="微软雅黑"/>
          <w:sz w:val="24"/>
          <w:szCs w:val="18"/>
        </w:rPr>
      </w:pPr>
      <w:r w:rsidRPr="00E0697D">
        <w:rPr>
          <w:rFonts w:ascii="Times New Roman" w:eastAsia="微软雅黑" w:hAnsi="微软雅黑" w:cs="宋体" w:hint="eastAsia"/>
          <w:color w:val="0000FF"/>
          <w:sz w:val="24"/>
          <w:szCs w:val="18"/>
        </w:rPr>
        <w:t>8</w:t>
      </w:r>
      <w:r w:rsidRPr="00E0697D">
        <w:rPr>
          <w:rFonts w:ascii="Times New Roman" w:eastAsia="微软雅黑" w:hAnsi="微软雅黑" w:cs="宋体" w:hint="eastAsia"/>
          <w:color w:val="0000FF"/>
          <w:sz w:val="24"/>
          <w:szCs w:val="18"/>
        </w:rPr>
        <w:t>．</w:t>
      </w:r>
      <w:r w:rsidRPr="00E0697D">
        <w:rPr>
          <w:rFonts w:ascii="Times New Roman" w:eastAsia="微软雅黑" w:hAnsi="微软雅黑" w:cs="宋体" w:hint="eastAsia"/>
          <w:sz w:val="24"/>
          <w:szCs w:val="18"/>
        </w:rPr>
        <w:t>在现实生活中，人们不仅相互感知，而且彼此之间通过相互交往，还会发生相互感染、相互影响，而形成一定态度。在这种态度的基础上，还会产生各种各样的情感，这种情感反过来又会对人际知觉发生重大影响。这段话</w:t>
      </w:r>
      <w:r w:rsidRPr="00E0697D">
        <w:rPr>
          <w:rFonts w:ascii="Times New Roman" w:eastAsia="微软雅黑" w:hAnsi="微软雅黑" w:cs="宋体" w:hint="eastAsia"/>
          <w:sz w:val="24"/>
          <w:szCs w:val="18"/>
        </w:rPr>
        <w:t>的主要意思是</w:t>
      </w:r>
      <w:r w:rsidRPr="00E0697D">
        <w:rPr>
          <w:rFonts w:ascii="Times New Roman" w:eastAsia="微软雅黑" w:hAnsi="微软雅黑" w:cs="宋体" w:hint="eastAsia"/>
          <w:sz w:val="24"/>
          <w:szCs w:val="18"/>
        </w:rPr>
        <w:t>()</w:t>
      </w:r>
      <w:r w:rsidRPr="00E0697D">
        <w:rPr>
          <w:rFonts w:ascii="Times New Roman" w:eastAsia="微软雅黑" w:hAnsi="微软雅黑" w:cs="宋体" w:hint="eastAsia"/>
          <w:sz w:val="24"/>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、人与人之间的交往是很重要的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、人际知觉过程中具有明显的情感因素参与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、人的情感是相互影响的</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、人际知觉就是人的情感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从片断可以得到这样一条循环链：人际知觉——态度——情感——人际知觉，从而可以推断出情感因素的参与是很明显的，也是很重要的。故选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从给出的几句话中选出有语病的一句</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现在，我们的城市到处可见摩天大楼，从远处看和国外的大都市没什么两样，但近看就差强人意了，在许多细节设计和创意上差距非常大</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细想历史，王充之后，惟李贽、鲁迅有此逆俗的风骨，然而红尘蔽世，智者的文字，仿佛是孤寂的文本，只在俗世里散着奇异的光</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庙会的研究也引发了他对更大问题的思考：在历史上，道德说教与民众实践之间到底有多大差距</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有些人本来很有造诣本事，但就是见不得人家超越自己，否则，就下暗绊使阴坏，干出嫉贤妒能的蠢事来</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本题考查病句辨析的能力。</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项中成语使用错误，</w:t>
      </w:r>
      <w:r w:rsidRPr="007675BD">
        <w:rPr>
          <w:rFonts w:ascii="Times New Roman" w:eastAsia="微软雅黑" w:cs="宋体"/>
          <w:szCs w:val="14"/>
        </w:rPr>
        <w:t>“</w:t>
      </w:r>
      <w:r w:rsidRPr="007675BD">
        <w:rPr>
          <w:rFonts w:ascii="Times New Roman" w:eastAsia="微软雅黑" w:cs="宋体"/>
          <w:szCs w:val="14"/>
        </w:rPr>
        <w:t>差强人意</w:t>
      </w:r>
      <w:r w:rsidRPr="007675BD">
        <w:rPr>
          <w:rFonts w:ascii="Times New Roman" w:eastAsia="微软雅黑" w:cs="宋体"/>
          <w:szCs w:val="14"/>
        </w:rPr>
        <w:t>”</w:t>
      </w:r>
      <w:r w:rsidRPr="007675BD">
        <w:rPr>
          <w:rFonts w:ascii="Times New Roman" w:eastAsia="微软雅黑" w:cs="宋体"/>
          <w:szCs w:val="14"/>
        </w:rPr>
        <w:t>指还算能振奋心意，比喻大致令人满意。用在此处，与文意相悖。其他三项语句表达通顺，句意明确，没有语病。</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原子钟在日常生活和科学研究中非常重要。它以原子内部的电子在两个能级间跳跃时辐射出来的电磁波为标准，去控制校准电子振荡器，实现精准的时间测量。与原子相比，高电荷离子的外层电子与原子核的结合更强，对外部场的波动更不敏感，狭义相对论和量子电动力学的效应也更显著。因此，高电荷离子是未来研发更精准原子钟的理想选择之一。然而，由于内部结构复杂，要在高电荷离子中识别</w:t>
      </w:r>
      <w:r w:rsidRPr="007675BD">
        <w:rPr>
          <w:rFonts w:ascii="Times New Roman" w:eastAsia="微软雅黑" w:cs="宋体"/>
          <w:szCs w:val="14"/>
        </w:rPr>
        <w:t>适合于原子钟的电子跃迁非常困难，常用的光谱法测量这种跃迁也不够精准。</w:t>
      </w:r>
      <w:r w:rsidRPr="007675BD">
        <w:rPr>
          <w:rFonts w:ascii="Times New Roman" w:eastAsia="微软雅黑" w:cs="宋体"/>
          <w:szCs w:val="14"/>
        </w:rPr>
        <w:t xml:space="preserve"> </w:t>
      </w:r>
      <w:r w:rsidRPr="007675BD">
        <w:rPr>
          <w:rFonts w:ascii="Times New Roman" w:eastAsia="微软雅黑" w:cs="宋体"/>
          <w:szCs w:val="14"/>
        </w:rPr>
        <w:t>根据这段文字，接下来最可能讲的是：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、高电荷离子的物理构造</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、测量电子跃迁的最新技术</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、高精度原子钟的意义和价值</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、光谱法在原子钟研发中的作用</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文段首先引出了</w:t>
      </w:r>
      <w:r w:rsidRPr="007675BD">
        <w:rPr>
          <w:rFonts w:ascii="Times New Roman" w:eastAsia="微软雅黑" w:cs="宋体"/>
          <w:szCs w:val="14"/>
        </w:rPr>
        <w:t>“</w:t>
      </w:r>
      <w:r w:rsidRPr="007675BD">
        <w:rPr>
          <w:rFonts w:ascii="Times New Roman" w:eastAsia="微软雅黑" w:cs="宋体"/>
          <w:szCs w:val="14"/>
        </w:rPr>
        <w:t>原子钟</w:t>
      </w:r>
      <w:r w:rsidRPr="007675BD">
        <w:rPr>
          <w:rFonts w:ascii="Times New Roman" w:eastAsia="微软雅黑" w:cs="宋体"/>
          <w:szCs w:val="14"/>
        </w:rPr>
        <w:t>”</w:t>
      </w:r>
      <w:r w:rsidRPr="007675BD">
        <w:rPr>
          <w:rFonts w:ascii="Times New Roman" w:eastAsia="微软雅黑" w:cs="宋体"/>
          <w:szCs w:val="14"/>
        </w:rPr>
        <w:t>的话题，介绍了其在生活和科研中的作用，并通过结论词</w:t>
      </w:r>
      <w:r w:rsidRPr="007675BD">
        <w:rPr>
          <w:rFonts w:ascii="Times New Roman" w:eastAsia="微软雅黑" w:cs="宋体"/>
          <w:szCs w:val="14"/>
        </w:rPr>
        <w:t>“</w:t>
      </w:r>
      <w:r w:rsidRPr="007675BD">
        <w:rPr>
          <w:rFonts w:ascii="Times New Roman" w:eastAsia="微软雅黑" w:cs="宋体"/>
          <w:szCs w:val="14"/>
        </w:rPr>
        <w:t>因此</w:t>
      </w:r>
      <w:r w:rsidRPr="007675BD">
        <w:rPr>
          <w:rFonts w:ascii="Times New Roman" w:eastAsia="微软雅黑" w:cs="宋体"/>
          <w:szCs w:val="14"/>
        </w:rPr>
        <w:t>”</w:t>
      </w:r>
      <w:r w:rsidRPr="007675BD">
        <w:rPr>
          <w:rFonts w:ascii="Times New Roman" w:eastAsia="微软雅黑" w:cs="宋体"/>
          <w:szCs w:val="14"/>
        </w:rPr>
        <w:t>总结前文，指出高电荷离子是未来研发更精准原子钟的理想选择之一。接着尾句通过转折词</w:t>
      </w:r>
      <w:r w:rsidRPr="007675BD">
        <w:rPr>
          <w:rFonts w:ascii="Times New Roman" w:eastAsia="微软雅黑" w:cs="宋体"/>
          <w:szCs w:val="14"/>
        </w:rPr>
        <w:t>“</w:t>
      </w:r>
      <w:r w:rsidRPr="007675BD">
        <w:rPr>
          <w:rFonts w:ascii="Times New Roman" w:eastAsia="微软雅黑" w:cs="宋体"/>
          <w:szCs w:val="14"/>
        </w:rPr>
        <w:t>然而</w:t>
      </w:r>
      <w:r w:rsidRPr="007675BD">
        <w:rPr>
          <w:rFonts w:ascii="Times New Roman" w:eastAsia="微软雅黑" w:cs="宋体"/>
          <w:szCs w:val="14"/>
        </w:rPr>
        <w:t>”</w:t>
      </w:r>
      <w:r w:rsidRPr="007675BD">
        <w:rPr>
          <w:rFonts w:ascii="Times New Roman" w:eastAsia="微软雅黑" w:cs="宋体"/>
          <w:szCs w:val="14"/>
        </w:rPr>
        <w:t>引出问题，指出在高电荷离子中识别适合原子钟的电子跃迁很困难，常用方法也不精准。结合全文及尾句内容，下文应</w:t>
      </w:r>
      <w:r w:rsidRPr="007675BD">
        <w:rPr>
          <w:rFonts w:ascii="Times New Roman" w:eastAsia="微软雅黑" w:cs="宋体"/>
          <w:szCs w:val="14"/>
        </w:rPr>
        <w:t>该围绕解决</w:t>
      </w:r>
      <w:r w:rsidRPr="007675BD">
        <w:rPr>
          <w:rFonts w:ascii="Times New Roman" w:eastAsia="微软雅黑" w:cs="宋体"/>
          <w:szCs w:val="14"/>
        </w:rPr>
        <w:t>“</w:t>
      </w:r>
      <w:r w:rsidRPr="007675BD">
        <w:rPr>
          <w:rFonts w:ascii="Times New Roman" w:eastAsia="微软雅黑" w:cs="宋体"/>
          <w:szCs w:val="14"/>
        </w:rPr>
        <w:t>电子跃迁</w:t>
      </w:r>
      <w:r w:rsidRPr="007675BD">
        <w:rPr>
          <w:rFonts w:ascii="Times New Roman" w:eastAsia="微软雅黑" w:cs="宋体"/>
          <w:szCs w:val="14"/>
        </w:rPr>
        <w:t>”</w:t>
      </w:r>
      <w:r w:rsidRPr="007675BD">
        <w:rPr>
          <w:rFonts w:ascii="Times New Roman" w:eastAsia="微软雅黑" w:cs="宋体"/>
          <w:szCs w:val="14"/>
        </w:rPr>
        <w:t>这一问题提出对策，对应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项，与文段尾句核心话题不一致，尾句着重论述的是</w:t>
      </w:r>
      <w:r w:rsidRPr="007675BD">
        <w:rPr>
          <w:rFonts w:ascii="Times New Roman" w:eastAsia="微软雅黑" w:cs="宋体"/>
          <w:szCs w:val="14"/>
        </w:rPr>
        <w:t>“</w:t>
      </w:r>
      <w:r w:rsidRPr="007675BD">
        <w:rPr>
          <w:rFonts w:ascii="Times New Roman" w:eastAsia="微软雅黑" w:cs="宋体"/>
          <w:szCs w:val="14"/>
        </w:rPr>
        <w:t>电子跃迁</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高精度原子钟</w:t>
      </w:r>
      <w:r w:rsidRPr="007675BD">
        <w:rPr>
          <w:rFonts w:ascii="Times New Roman" w:eastAsia="微软雅黑" w:cs="宋体"/>
          <w:szCs w:val="14"/>
        </w:rPr>
        <w:t>”</w:t>
      </w:r>
      <w:r w:rsidRPr="007675BD">
        <w:rPr>
          <w:rFonts w:ascii="Times New Roman" w:eastAsia="微软雅黑" w:cs="宋体"/>
          <w:szCs w:val="14"/>
        </w:rPr>
        <w:t>与文段尾句核心话题不一致，排除</w:t>
      </w:r>
      <w:r w:rsidRPr="007675BD">
        <w:rPr>
          <w:rFonts w:ascii="Times New Roman" w:eastAsia="微软雅黑" w:cs="宋体"/>
          <w:szCs w:val="14"/>
        </w:rPr>
        <w:t>; D</w:t>
      </w:r>
      <w:r w:rsidRPr="007675BD">
        <w:rPr>
          <w:rFonts w:ascii="Times New Roman" w:eastAsia="微软雅黑" w:cs="宋体"/>
          <w:szCs w:val="14"/>
        </w:rPr>
        <w:t>项，文段尾句已经提及</w:t>
      </w:r>
      <w:r w:rsidRPr="007675BD">
        <w:rPr>
          <w:rFonts w:ascii="Times New Roman" w:eastAsia="微软雅黑" w:cs="宋体"/>
          <w:szCs w:val="14"/>
        </w:rPr>
        <w:t>“</w:t>
      </w:r>
      <w:r w:rsidRPr="007675BD">
        <w:rPr>
          <w:rFonts w:ascii="Times New Roman" w:eastAsia="微软雅黑" w:cs="宋体"/>
          <w:szCs w:val="14"/>
        </w:rPr>
        <w:t>常用的光谱法测量这种跃迁也不够精准</w:t>
      </w:r>
      <w:r w:rsidRPr="007675BD">
        <w:rPr>
          <w:rFonts w:ascii="Times New Roman" w:eastAsia="微软雅黑" w:cs="宋体"/>
          <w:szCs w:val="14"/>
        </w:rPr>
        <w:t>”</w:t>
      </w:r>
      <w:r w:rsidRPr="007675BD">
        <w:rPr>
          <w:rFonts w:ascii="Times New Roman" w:eastAsia="微软雅黑" w:cs="宋体"/>
          <w:szCs w:val="14"/>
        </w:rPr>
        <w:t>，故文段接下来不会围绕光谱法的作用进行展开，排除。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凡论问题，皆要弄清文体的要素，人们习惯上把议论文分为三个要素，即论点、论据、论证。而任何议论首先要明确论辩的对象。叶圣陶先生在《文章例话》中说：</w:t>
      </w:r>
      <w:r w:rsidRPr="007675BD">
        <w:rPr>
          <w:rFonts w:ascii="Times New Roman" w:eastAsia="微软雅黑" w:cs="宋体"/>
          <w:szCs w:val="14"/>
        </w:rPr>
        <w:t>“</w:t>
      </w:r>
      <w:r w:rsidRPr="007675BD">
        <w:rPr>
          <w:rFonts w:ascii="Times New Roman" w:eastAsia="微软雅黑" w:cs="宋体"/>
          <w:szCs w:val="14"/>
        </w:rPr>
        <w:t>说明文以</w:t>
      </w:r>
      <w:r w:rsidRPr="007675BD">
        <w:rPr>
          <w:rFonts w:ascii="Times New Roman" w:eastAsia="微软雅黑" w:cs="宋体"/>
          <w:szCs w:val="14"/>
        </w:rPr>
        <w:t>‘</w:t>
      </w:r>
      <w:r w:rsidRPr="007675BD">
        <w:rPr>
          <w:rFonts w:ascii="Times New Roman" w:eastAsia="微软雅黑" w:cs="宋体"/>
          <w:szCs w:val="14"/>
        </w:rPr>
        <w:t>说明白了</w:t>
      </w:r>
      <w:r w:rsidRPr="007675BD">
        <w:rPr>
          <w:rFonts w:ascii="Times New Roman" w:eastAsia="微软雅黑" w:cs="宋体"/>
          <w:szCs w:val="14"/>
        </w:rPr>
        <w:t>’</w:t>
      </w:r>
      <w:r w:rsidRPr="007675BD">
        <w:rPr>
          <w:rFonts w:ascii="Times New Roman" w:eastAsia="微软雅黑" w:cs="宋体"/>
          <w:szCs w:val="14"/>
        </w:rPr>
        <w:t>为成功，而议论文却以</w:t>
      </w:r>
      <w:r w:rsidRPr="007675BD">
        <w:rPr>
          <w:rFonts w:ascii="Times New Roman" w:eastAsia="微软雅黑" w:cs="宋体"/>
          <w:szCs w:val="14"/>
        </w:rPr>
        <w:t>‘</w:t>
      </w:r>
      <w:r w:rsidRPr="007675BD">
        <w:rPr>
          <w:rFonts w:ascii="Times New Roman" w:eastAsia="微软雅黑" w:cs="宋体"/>
          <w:szCs w:val="14"/>
        </w:rPr>
        <w:t>说服他人</w:t>
      </w:r>
      <w:r w:rsidRPr="007675BD">
        <w:rPr>
          <w:rFonts w:ascii="Times New Roman" w:eastAsia="微软雅黑" w:cs="宋体"/>
          <w:szCs w:val="14"/>
        </w:rPr>
        <w:t>’</w:t>
      </w:r>
      <w:r w:rsidRPr="007675BD">
        <w:rPr>
          <w:rFonts w:ascii="Times New Roman" w:eastAsia="微软雅黑" w:cs="宋体"/>
          <w:szCs w:val="14"/>
        </w:rPr>
        <w:t>为成功。</w:t>
      </w:r>
      <w:r w:rsidRPr="007675BD">
        <w:rPr>
          <w:rFonts w:ascii="Times New Roman" w:eastAsia="微软雅黑" w:cs="宋体"/>
          <w:szCs w:val="14"/>
        </w:rPr>
        <w:t>”</w:t>
      </w:r>
      <w:r w:rsidRPr="007675BD">
        <w:rPr>
          <w:rFonts w:ascii="Times New Roman" w:eastAsia="微软雅黑" w:cs="宋体"/>
          <w:szCs w:val="14"/>
        </w:rPr>
        <w:t>叶先生讲作文深入浅出，没有花架子，遵循作文构思、写作规律，是务本的做法，不同于后来者的舍本逐末，把雕虫小技说成作文的规律，把百花齐放的议论文弄成了千篇一律。议论文既然要</w:t>
      </w:r>
      <w:r w:rsidRPr="007675BD">
        <w:rPr>
          <w:rFonts w:ascii="Times New Roman" w:eastAsia="微软雅黑" w:cs="宋体"/>
          <w:szCs w:val="14"/>
        </w:rPr>
        <w:t>“</w:t>
      </w:r>
      <w:r w:rsidRPr="007675BD">
        <w:rPr>
          <w:rFonts w:ascii="Times New Roman" w:eastAsia="微软雅黑" w:cs="宋体"/>
          <w:szCs w:val="14"/>
        </w:rPr>
        <w:t>说服他人</w:t>
      </w:r>
      <w:r w:rsidRPr="007675BD">
        <w:rPr>
          <w:rFonts w:ascii="Times New Roman" w:eastAsia="微软雅黑" w:cs="宋体"/>
          <w:szCs w:val="14"/>
        </w:rPr>
        <w:t>”</w:t>
      </w:r>
      <w:r w:rsidRPr="007675BD">
        <w:rPr>
          <w:rFonts w:ascii="Times New Roman" w:eastAsia="微软雅黑" w:cs="宋体"/>
          <w:szCs w:val="14"/>
        </w:rPr>
        <w:t>，那么写作者首先就要明确这个</w:t>
      </w:r>
      <w:r w:rsidRPr="007675BD">
        <w:rPr>
          <w:rFonts w:ascii="Times New Roman" w:eastAsia="微软雅黑" w:cs="宋体"/>
          <w:szCs w:val="14"/>
        </w:rPr>
        <w:t>“</w:t>
      </w:r>
      <w:r w:rsidRPr="007675BD">
        <w:rPr>
          <w:rFonts w:ascii="Times New Roman" w:eastAsia="微软雅黑" w:cs="宋体"/>
          <w:szCs w:val="14"/>
        </w:rPr>
        <w:t>他人</w:t>
      </w:r>
      <w:r w:rsidRPr="007675BD">
        <w:rPr>
          <w:rFonts w:ascii="Times New Roman" w:eastAsia="微软雅黑" w:cs="宋体"/>
          <w:szCs w:val="14"/>
        </w:rPr>
        <w:t>”</w:t>
      </w:r>
      <w:r w:rsidRPr="007675BD">
        <w:rPr>
          <w:rFonts w:ascii="Times New Roman" w:eastAsia="微软雅黑" w:cs="宋体"/>
          <w:szCs w:val="14"/>
        </w:rPr>
        <w:t>是谁，这一点，便可作为议论文写作的前奏。</w:t>
      </w:r>
      <w:r w:rsidRPr="007675BD">
        <w:rPr>
          <w:rFonts w:ascii="Times New Roman" w:eastAsia="微软雅黑" w:cs="宋体"/>
          <w:szCs w:val="14"/>
        </w:rPr>
        <w:t xml:space="preserve"> </w:t>
      </w:r>
      <w:r w:rsidRPr="007675BD">
        <w:rPr>
          <w:rFonts w:ascii="Times New Roman" w:eastAsia="微软雅黑" w:cs="宋体"/>
          <w:szCs w:val="14"/>
        </w:rPr>
        <w:t>这段文字主要讲述了：</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、叶圣陶先生对议论文写作的正本清源</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、论点、论据、论证并非议论文最重要的要素</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、写议论文时，首先要明确论辩对象，即</w:t>
      </w:r>
      <w:r w:rsidRPr="007675BD">
        <w:rPr>
          <w:rFonts w:ascii="Times New Roman" w:eastAsia="微软雅黑" w:cs="宋体"/>
          <w:szCs w:val="14"/>
        </w:rPr>
        <w:t>“</w:t>
      </w:r>
      <w:r w:rsidRPr="007675BD">
        <w:rPr>
          <w:rFonts w:ascii="Times New Roman" w:eastAsia="微软雅黑" w:cs="宋体"/>
          <w:szCs w:val="14"/>
        </w:rPr>
        <w:t>对谁说</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、说明文和议论文成功的关键分别是</w:t>
      </w:r>
      <w:r w:rsidRPr="007675BD">
        <w:rPr>
          <w:rFonts w:ascii="Times New Roman" w:eastAsia="微软雅黑" w:cs="宋体"/>
          <w:szCs w:val="14"/>
        </w:rPr>
        <w:t>“</w:t>
      </w:r>
      <w:r w:rsidRPr="007675BD">
        <w:rPr>
          <w:rFonts w:ascii="Times New Roman" w:eastAsia="微软雅黑" w:cs="宋体"/>
          <w:szCs w:val="14"/>
        </w:rPr>
        <w:t>说明白了</w:t>
      </w:r>
      <w:r w:rsidRPr="007675BD">
        <w:rPr>
          <w:rFonts w:ascii="Times New Roman" w:eastAsia="微软雅黑" w:cs="宋体"/>
          <w:szCs w:val="14"/>
        </w:rPr>
        <w:t>”“</w:t>
      </w:r>
      <w:r w:rsidRPr="007675BD">
        <w:rPr>
          <w:rFonts w:ascii="Times New Roman" w:eastAsia="微软雅黑" w:cs="宋体"/>
          <w:szCs w:val="14"/>
        </w:rPr>
        <w:t>说服他人</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文段首先提出论问题需要弄清文体的要素，接着通过程度词</w:t>
      </w:r>
      <w:r w:rsidRPr="007675BD">
        <w:rPr>
          <w:rFonts w:ascii="Times New Roman" w:eastAsia="微软雅黑" w:cs="宋体"/>
          <w:szCs w:val="14"/>
        </w:rPr>
        <w:t>“</w:t>
      </w:r>
      <w:r w:rsidRPr="007675BD">
        <w:rPr>
          <w:rFonts w:ascii="Times New Roman" w:eastAsia="微软雅黑" w:cs="宋体"/>
          <w:szCs w:val="14"/>
        </w:rPr>
        <w:t>首先</w:t>
      </w:r>
      <w:r w:rsidRPr="007675BD">
        <w:rPr>
          <w:rFonts w:ascii="Times New Roman" w:eastAsia="微软雅黑" w:cs="宋体"/>
          <w:szCs w:val="14"/>
        </w:rPr>
        <w:t>”</w:t>
      </w:r>
      <w:r w:rsidRPr="007675BD">
        <w:rPr>
          <w:rFonts w:ascii="Times New Roman" w:eastAsia="微软雅黑" w:cs="宋体"/>
          <w:szCs w:val="14"/>
        </w:rPr>
        <w:t>，强调任何议论首先要明确论辩对象。然后以叶圣陶先生《文章例话》为例证明此观点，尾句再次通过程度词</w:t>
      </w:r>
      <w:r w:rsidRPr="007675BD">
        <w:rPr>
          <w:rFonts w:ascii="Times New Roman" w:eastAsia="微软雅黑" w:cs="宋体"/>
          <w:szCs w:val="14"/>
        </w:rPr>
        <w:t>“</w:t>
      </w:r>
      <w:r w:rsidRPr="007675BD">
        <w:rPr>
          <w:rFonts w:ascii="Times New Roman" w:eastAsia="微软雅黑" w:cs="宋体"/>
          <w:szCs w:val="14"/>
        </w:rPr>
        <w:t>首先</w:t>
      </w:r>
      <w:r w:rsidRPr="007675BD">
        <w:rPr>
          <w:rFonts w:ascii="Times New Roman" w:eastAsia="微软雅黑" w:cs="宋体"/>
          <w:szCs w:val="14"/>
        </w:rPr>
        <w:t>”</w:t>
      </w:r>
      <w:r w:rsidRPr="007675BD">
        <w:rPr>
          <w:rFonts w:ascii="Times New Roman" w:eastAsia="微软雅黑" w:cs="宋体"/>
          <w:szCs w:val="14"/>
        </w:rPr>
        <w:t>及对策标志</w:t>
      </w:r>
      <w:r w:rsidRPr="007675BD">
        <w:rPr>
          <w:rFonts w:ascii="Times New Roman" w:eastAsia="微软雅黑" w:cs="宋体"/>
          <w:szCs w:val="14"/>
        </w:rPr>
        <w:t>“</w:t>
      </w:r>
      <w:r w:rsidRPr="007675BD">
        <w:rPr>
          <w:rFonts w:ascii="Times New Roman" w:eastAsia="微软雅黑" w:cs="宋体"/>
          <w:szCs w:val="14"/>
        </w:rPr>
        <w:t>要</w:t>
      </w:r>
      <w:r w:rsidRPr="007675BD">
        <w:rPr>
          <w:rFonts w:ascii="Times New Roman" w:eastAsia="微软雅黑" w:cs="宋体"/>
          <w:szCs w:val="14"/>
        </w:rPr>
        <w:t>”</w:t>
      </w:r>
      <w:r w:rsidRPr="007675BD">
        <w:rPr>
          <w:rFonts w:ascii="Times New Roman" w:eastAsia="微软雅黑" w:cs="宋体"/>
          <w:szCs w:val="14"/>
        </w:rPr>
        <w:t>强调</w:t>
      </w:r>
      <w:r w:rsidRPr="007675BD">
        <w:rPr>
          <w:rFonts w:ascii="Times New Roman" w:eastAsia="微软雅黑" w:cs="宋体"/>
          <w:szCs w:val="14"/>
        </w:rPr>
        <w:t>“</w:t>
      </w:r>
      <w:r w:rsidRPr="007675BD">
        <w:rPr>
          <w:rFonts w:ascii="Times New Roman" w:eastAsia="微软雅黑" w:cs="宋体"/>
          <w:szCs w:val="14"/>
        </w:rPr>
        <w:t>写作者首先要明确</w:t>
      </w:r>
      <w:r w:rsidRPr="007675BD">
        <w:rPr>
          <w:rFonts w:ascii="Times New Roman" w:eastAsia="微软雅黑" w:cs="宋体"/>
          <w:szCs w:val="14"/>
        </w:rPr>
        <w:t>‘</w:t>
      </w:r>
      <w:r w:rsidRPr="007675BD">
        <w:rPr>
          <w:rFonts w:ascii="Times New Roman" w:eastAsia="微软雅黑" w:cs="宋体"/>
          <w:szCs w:val="14"/>
        </w:rPr>
        <w:t>他人</w:t>
      </w:r>
      <w:r w:rsidRPr="007675BD">
        <w:rPr>
          <w:rFonts w:ascii="Times New Roman" w:eastAsia="微软雅黑" w:cs="宋体"/>
          <w:szCs w:val="14"/>
        </w:rPr>
        <w:t>’</w:t>
      </w:r>
      <w:r w:rsidRPr="007675BD">
        <w:rPr>
          <w:rFonts w:ascii="Times New Roman" w:eastAsia="微软雅黑" w:cs="宋体"/>
          <w:szCs w:val="14"/>
        </w:rPr>
        <w:t>是谁</w:t>
      </w:r>
      <w:r w:rsidRPr="007675BD">
        <w:rPr>
          <w:rFonts w:ascii="Times New Roman" w:eastAsia="微软雅黑" w:cs="宋体"/>
          <w:szCs w:val="14"/>
        </w:rPr>
        <w:t>”</w:t>
      </w:r>
      <w:r w:rsidRPr="007675BD">
        <w:rPr>
          <w:rFonts w:ascii="Times New Roman" w:eastAsia="微软雅黑" w:cs="宋体"/>
          <w:szCs w:val="14"/>
        </w:rPr>
        <w:t>，故文段意在强调议论文要明确论辩对象，对应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项，叶圣陶先生的观点为例证部分，目的在于证明观点，非文段重点，排除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并非最重要的要素</w:t>
      </w:r>
      <w:r w:rsidRPr="007675BD">
        <w:rPr>
          <w:rFonts w:ascii="Times New Roman" w:eastAsia="微软雅黑" w:cs="宋体"/>
          <w:szCs w:val="14"/>
        </w:rPr>
        <w:t>”</w:t>
      </w:r>
      <w:r w:rsidRPr="007675BD">
        <w:rPr>
          <w:rFonts w:ascii="Times New Roman" w:eastAsia="微软雅黑" w:cs="宋体"/>
          <w:szCs w:val="14"/>
        </w:rPr>
        <w:t>为无中生有，排除</w:t>
      </w:r>
      <w:r w:rsidRPr="007675BD">
        <w:rPr>
          <w:rFonts w:ascii="Times New Roman" w:eastAsia="微软雅黑" w:cs="宋体"/>
          <w:szCs w:val="14"/>
        </w:rPr>
        <w:t>; D</w:t>
      </w:r>
      <w:r w:rsidRPr="007675BD">
        <w:rPr>
          <w:rFonts w:ascii="Times New Roman" w:eastAsia="微软雅黑" w:cs="宋体"/>
          <w:szCs w:val="14"/>
        </w:rPr>
        <w:t>项，说明文的成功关键为例证部分，非文段重点，排除。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压缩空气储能属于一种物理方式的储能，即空气在整个过</w:t>
      </w:r>
      <w:r w:rsidRPr="007675BD">
        <w:rPr>
          <w:rFonts w:ascii="Times New Roman" w:eastAsia="微软雅黑" w:cs="宋体"/>
          <w:szCs w:val="14"/>
        </w:rPr>
        <w:t>程中只存在温度、压强等状态的变化，而不会发生化学方面的变化。储存了众多电力的压缩空气需要放在一间封闭性极好的</w:t>
      </w:r>
      <w:r w:rsidRPr="007675BD">
        <w:rPr>
          <w:rFonts w:ascii="Times New Roman" w:eastAsia="微软雅黑" w:cs="宋体"/>
          <w:szCs w:val="14"/>
        </w:rPr>
        <w:t>“</w:t>
      </w:r>
      <w:r w:rsidRPr="007675BD">
        <w:rPr>
          <w:rFonts w:ascii="Times New Roman" w:eastAsia="微软雅黑" w:cs="宋体"/>
          <w:szCs w:val="14"/>
        </w:rPr>
        <w:t>屋子</w:t>
      </w:r>
      <w:r w:rsidRPr="007675BD">
        <w:rPr>
          <w:rFonts w:ascii="Times New Roman" w:eastAsia="微软雅黑" w:cs="宋体"/>
          <w:szCs w:val="14"/>
        </w:rPr>
        <w:t>”</w:t>
      </w:r>
      <w:r w:rsidRPr="007675BD">
        <w:rPr>
          <w:rFonts w:ascii="Times New Roman" w:eastAsia="微软雅黑" w:cs="宋体"/>
          <w:szCs w:val="14"/>
        </w:rPr>
        <w:t>里，而这间</w:t>
      </w:r>
      <w:r w:rsidRPr="007675BD">
        <w:rPr>
          <w:rFonts w:ascii="Times New Roman" w:eastAsia="微软雅黑" w:cs="宋体"/>
          <w:szCs w:val="14"/>
        </w:rPr>
        <w:t>“</w:t>
      </w:r>
      <w:r w:rsidRPr="007675BD">
        <w:rPr>
          <w:rFonts w:ascii="Times New Roman" w:eastAsia="微软雅黑" w:cs="宋体"/>
          <w:szCs w:val="14"/>
        </w:rPr>
        <w:t>屋子</w:t>
      </w:r>
      <w:r w:rsidRPr="007675BD">
        <w:rPr>
          <w:rFonts w:ascii="Times New Roman" w:eastAsia="微软雅黑" w:cs="宋体"/>
          <w:szCs w:val="14"/>
        </w:rPr>
        <w:t>”</w:t>
      </w:r>
      <w:r w:rsidRPr="007675BD">
        <w:rPr>
          <w:rFonts w:ascii="Times New Roman" w:eastAsia="微软雅黑" w:cs="宋体"/>
          <w:szCs w:val="14"/>
        </w:rPr>
        <w:t>的</w:t>
      </w:r>
      <w:r w:rsidRPr="007675BD">
        <w:rPr>
          <w:rFonts w:ascii="Times New Roman" w:eastAsia="微软雅黑" w:cs="宋体"/>
          <w:szCs w:val="14"/>
        </w:rPr>
        <w:t>“</w:t>
      </w:r>
      <w:r w:rsidRPr="007675BD">
        <w:rPr>
          <w:rFonts w:ascii="Times New Roman" w:eastAsia="微软雅黑" w:cs="宋体"/>
          <w:szCs w:val="14"/>
        </w:rPr>
        <w:t>主人</w:t>
      </w:r>
      <w:r w:rsidRPr="007675BD">
        <w:rPr>
          <w:rFonts w:ascii="Times New Roman" w:eastAsia="微软雅黑" w:cs="宋体"/>
          <w:szCs w:val="14"/>
        </w:rPr>
        <w:t>”</w:t>
      </w:r>
      <w:r w:rsidRPr="007675BD">
        <w:rPr>
          <w:rFonts w:ascii="Times New Roman" w:eastAsia="微软雅黑" w:cs="宋体"/>
          <w:szCs w:val="14"/>
        </w:rPr>
        <w:t>就是盐。食盐开采后会自然留下一个场所，学名叫做</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是一种极其宝贵的不可再生资源，并且密封性能良好。然而，长期以来这种资源的利用系数很低。由于盐岩具有良好的蠕变特性、自愈合特性，渗透率极低，并且不会与空气中的氧气发生反应。因此，</w:t>
      </w:r>
      <w:r w:rsidRPr="007675BD">
        <w:rPr>
          <w:rFonts w:ascii="Times New Roman" w:eastAsia="微软雅黑" w:cs="宋体"/>
          <w:szCs w:val="14"/>
        </w:rPr>
        <w:t>________________</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填入划横线部分最恰当的一项是：</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、要依托盐穴资源的优势发展储能产业</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是储存高压</w:t>
      </w:r>
      <w:r w:rsidRPr="007675BD">
        <w:rPr>
          <w:rFonts w:ascii="Times New Roman" w:eastAsia="微软雅黑" w:cs="宋体"/>
          <w:szCs w:val="14"/>
        </w:rPr>
        <w:t>空气的理想场所</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、应当利用盐穴储能改善发电与用电</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、要大力开发盐岩提高能源利用效率</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横线出现在文段结尾，且横线前出现</w:t>
      </w:r>
      <w:r w:rsidRPr="007675BD">
        <w:rPr>
          <w:rFonts w:ascii="Times New Roman" w:eastAsia="微软雅黑" w:cs="宋体"/>
          <w:szCs w:val="14"/>
        </w:rPr>
        <w:t>“</w:t>
      </w:r>
      <w:r w:rsidRPr="007675BD">
        <w:rPr>
          <w:rFonts w:ascii="Times New Roman" w:eastAsia="微软雅黑" w:cs="宋体"/>
          <w:szCs w:val="14"/>
        </w:rPr>
        <w:t>因此</w:t>
      </w:r>
      <w:r w:rsidRPr="007675BD">
        <w:rPr>
          <w:rFonts w:ascii="Times New Roman" w:eastAsia="微软雅黑" w:cs="宋体"/>
          <w:szCs w:val="14"/>
        </w:rPr>
        <w:t>”</w:t>
      </w:r>
      <w:r w:rsidRPr="007675BD">
        <w:rPr>
          <w:rFonts w:ascii="Times New Roman" w:eastAsia="微软雅黑" w:cs="宋体"/>
          <w:szCs w:val="14"/>
        </w:rPr>
        <w:t>，故需要结合前文内容进行分析。前文说压缩空气储能属于一种物理方式的储能，它需要放在一间封闭性极好的</w:t>
      </w:r>
      <w:r w:rsidRPr="007675BD">
        <w:rPr>
          <w:rFonts w:ascii="Times New Roman" w:eastAsia="微软雅黑" w:cs="宋体"/>
          <w:szCs w:val="14"/>
        </w:rPr>
        <w:t>“</w:t>
      </w:r>
      <w:r w:rsidRPr="007675BD">
        <w:rPr>
          <w:rFonts w:ascii="Times New Roman" w:eastAsia="微软雅黑" w:cs="宋体"/>
          <w:szCs w:val="14"/>
        </w:rPr>
        <w:t>屋子</w:t>
      </w:r>
      <w:r w:rsidRPr="007675BD">
        <w:rPr>
          <w:rFonts w:ascii="Times New Roman" w:eastAsia="微软雅黑" w:cs="宋体"/>
          <w:szCs w:val="14"/>
        </w:rPr>
        <w:t>”</w:t>
      </w:r>
      <w:r w:rsidRPr="007675BD">
        <w:rPr>
          <w:rFonts w:ascii="Times New Roman" w:eastAsia="微软雅黑" w:cs="宋体"/>
          <w:szCs w:val="14"/>
        </w:rPr>
        <w:t>里，即</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。后文接着分析</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密封性能良好、有良好蠕变特性、自愈合特性，渗透率极低，不会与空气中的氧气发生反应等优点。</w:t>
      </w:r>
      <w:r w:rsidRPr="007675BD">
        <w:rPr>
          <w:rFonts w:ascii="Times New Roman" w:eastAsia="微软雅黑" w:cs="宋体"/>
          <w:szCs w:val="14"/>
        </w:rPr>
        <w:t>“</w:t>
      </w:r>
      <w:r w:rsidRPr="007675BD">
        <w:rPr>
          <w:rFonts w:ascii="Times New Roman" w:eastAsia="微软雅黑" w:cs="宋体"/>
          <w:szCs w:val="14"/>
        </w:rPr>
        <w:t>因此</w:t>
      </w:r>
      <w:r w:rsidRPr="007675BD">
        <w:rPr>
          <w:rFonts w:ascii="Times New Roman" w:eastAsia="微软雅黑" w:cs="宋体"/>
          <w:szCs w:val="14"/>
        </w:rPr>
        <w:t>”</w:t>
      </w:r>
      <w:r w:rsidRPr="007675BD">
        <w:rPr>
          <w:rFonts w:ascii="Times New Roman" w:eastAsia="微软雅黑" w:cs="宋体"/>
          <w:szCs w:val="14"/>
        </w:rPr>
        <w:t>应该承接前文进行总结，所以横线上的内容应该围绕</w:t>
      </w:r>
      <w:r w:rsidRPr="007675BD">
        <w:rPr>
          <w:rFonts w:ascii="Times New Roman" w:eastAsia="微软雅黑" w:cs="宋体"/>
          <w:szCs w:val="14"/>
        </w:rPr>
        <w:t>“</w:t>
      </w:r>
      <w:r w:rsidRPr="007675BD">
        <w:rPr>
          <w:rFonts w:ascii="Times New Roman" w:eastAsia="微软雅黑" w:cs="宋体"/>
          <w:szCs w:val="14"/>
        </w:rPr>
        <w:t>盐穴</w:t>
      </w:r>
      <w:r w:rsidRPr="007675BD">
        <w:rPr>
          <w:rFonts w:ascii="Times New Roman" w:eastAsia="微软雅黑" w:cs="宋体"/>
          <w:szCs w:val="14"/>
        </w:rPr>
        <w:t>”</w:t>
      </w:r>
      <w:r w:rsidRPr="007675BD">
        <w:rPr>
          <w:rFonts w:ascii="Times New Roman" w:eastAsia="微软雅黑" w:cs="宋体"/>
          <w:szCs w:val="14"/>
        </w:rPr>
        <w:t>封闭性好，可以被用来存储高压空气展开，对应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发展储能产业</w:t>
      </w:r>
      <w:r w:rsidRPr="007675BD">
        <w:rPr>
          <w:rFonts w:ascii="Times New Roman" w:eastAsia="微软雅黑" w:cs="宋体"/>
          <w:szCs w:val="14"/>
        </w:rPr>
        <w:t>”</w:t>
      </w:r>
      <w:r w:rsidRPr="007675BD">
        <w:rPr>
          <w:rFonts w:ascii="Times New Roman" w:eastAsia="微软雅黑" w:cs="宋体"/>
          <w:szCs w:val="14"/>
        </w:rPr>
        <w:t>在文</w:t>
      </w:r>
      <w:r w:rsidRPr="007675BD">
        <w:rPr>
          <w:rFonts w:ascii="Times New Roman" w:eastAsia="微软雅黑" w:cs="宋体"/>
          <w:szCs w:val="14"/>
        </w:rPr>
        <w:t>段没有体现，无中生有，排除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利用盐穴储能改善发电与用电</w:t>
      </w:r>
      <w:r w:rsidRPr="007675BD">
        <w:rPr>
          <w:rFonts w:ascii="Times New Roman" w:eastAsia="微软雅黑" w:cs="宋体"/>
          <w:szCs w:val="14"/>
        </w:rPr>
        <w:t>”</w:t>
      </w:r>
      <w:r w:rsidRPr="007675BD">
        <w:rPr>
          <w:rFonts w:ascii="Times New Roman" w:eastAsia="微软雅黑" w:cs="宋体"/>
          <w:szCs w:val="14"/>
        </w:rPr>
        <w:t>在文段没有体现，无中生有，排除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大力开发盐岩</w:t>
      </w:r>
      <w:r w:rsidRPr="007675BD">
        <w:rPr>
          <w:rFonts w:ascii="Times New Roman" w:eastAsia="微软雅黑" w:cs="宋体"/>
          <w:szCs w:val="14"/>
        </w:rPr>
        <w:t>”</w:t>
      </w:r>
      <w:r w:rsidRPr="007675BD">
        <w:rPr>
          <w:rFonts w:ascii="Times New Roman" w:eastAsia="微软雅黑" w:cs="宋体"/>
          <w:szCs w:val="14"/>
        </w:rPr>
        <w:t>在文段没有体现，无中生有，排除。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清凉的天气已经　了整整一周时间，气象部门提醒，由于春天是雷电和强降水多发季节，市民要及时做好　，减少因强对流天气造成的损失。</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持续</w:t>
      </w:r>
      <w:r w:rsidRPr="007675BD">
        <w:rPr>
          <w:rFonts w:ascii="Times New Roman" w:eastAsia="微软雅黑" w:cs="宋体"/>
          <w:szCs w:val="14"/>
        </w:rPr>
        <w:t xml:space="preserve"> </w:t>
      </w:r>
      <w:r w:rsidRPr="007675BD">
        <w:rPr>
          <w:rFonts w:ascii="Times New Roman" w:eastAsia="微软雅黑" w:cs="宋体"/>
          <w:szCs w:val="14"/>
        </w:rPr>
        <w:t>防御</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继续</w:t>
      </w:r>
      <w:r w:rsidRPr="007675BD">
        <w:rPr>
          <w:rFonts w:ascii="Times New Roman" w:eastAsia="微软雅黑" w:cs="宋体"/>
          <w:szCs w:val="14"/>
        </w:rPr>
        <w:t xml:space="preserve"> </w:t>
      </w:r>
      <w:r w:rsidRPr="007675BD">
        <w:rPr>
          <w:rFonts w:ascii="Times New Roman" w:eastAsia="微软雅黑" w:cs="宋体"/>
          <w:szCs w:val="14"/>
        </w:rPr>
        <w:t>抵御</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连续</w:t>
      </w:r>
      <w:r w:rsidRPr="007675BD">
        <w:rPr>
          <w:rFonts w:ascii="Times New Roman" w:eastAsia="微软雅黑" w:cs="宋体"/>
          <w:szCs w:val="14"/>
        </w:rPr>
        <w:t xml:space="preserve"> </w:t>
      </w:r>
      <w:r w:rsidRPr="007675BD">
        <w:rPr>
          <w:rFonts w:ascii="Times New Roman" w:eastAsia="微软雅黑" w:cs="宋体"/>
          <w:szCs w:val="14"/>
        </w:rPr>
        <w:t>预防</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维持</w:t>
      </w:r>
      <w:r w:rsidRPr="007675BD">
        <w:rPr>
          <w:rFonts w:ascii="Times New Roman" w:eastAsia="微软雅黑" w:cs="宋体"/>
          <w:szCs w:val="14"/>
        </w:rPr>
        <w:t xml:space="preserve"> </w:t>
      </w:r>
      <w:r w:rsidRPr="007675BD">
        <w:rPr>
          <w:rFonts w:ascii="Times New Roman" w:eastAsia="微软雅黑" w:cs="宋体"/>
          <w:szCs w:val="14"/>
        </w:rPr>
        <w:t>防范</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https://d.book118.com/076031111102010033</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13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13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135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135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D135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D135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135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135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D135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D135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35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D135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3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D1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9CA941"/>
  <w15:docId w15:val="{708B8140-2319-4E78-92F4-89F263DE2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FD13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D1359"/>
    <w:rPr>
      <w:sz w:val="18"/>
      <w:szCs w:val="18"/>
    </w:rPr>
  </w:style>
  <w:style w:type="paragraph" w:styleId="Footer">
    <w:name w:val="footer"/>
    <w:basedOn w:val="Normal"/>
    <w:link w:val="a0"/>
    <w:unhideWhenUsed/>
    <w:rsid w:val="00FD1359"/>
    <w:pPr>
      <w:tabs>
        <w:tab w:val="center" w:pos="4153"/>
        <w:tab w:val="right" w:pos="8306"/>
      </w:tabs>
      <w:snapToGrid w:val="0"/>
    </w:pPr>
    <w:rPr>
      <w:sz w:val="18"/>
      <w:szCs w:val="18"/>
    </w:rPr>
  </w:style>
  <w:style w:type="character" w:customStyle="1" w:styleId="a0">
    <w:name w:val="页脚 字符"/>
    <w:basedOn w:val="DefaultParagraphFont"/>
    <w:link w:val="Footer"/>
    <w:rsid w:val="00FD1359"/>
    <w:rPr>
      <w:sz w:val="18"/>
      <w:szCs w:val="18"/>
    </w:rPr>
  </w:style>
  <w:style w:type="character" w:styleId="PageNumber">
    <w:name w:val="page number"/>
    <w:basedOn w:val="DefaultParagraphFont"/>
    <w:semiHidden/>
    <w:unhideWhenUsed/>
    <w:rsid w:val="00FD1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76031111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4206</Words>
  <Characters>23979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