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2018-2023年天府新区信息职业学院高职单招（数学／语文／英语）历年常考试题库含答案解析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屠格涅夫《门槛》中，“门槛”象征着（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A.敌人设下的陷阱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B.囚禁革命者的监狱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C.革命者的秘密组织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D.革命征途的艰难险阻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王安石在《答司马谏议书》中，用“盘庚之迁”的典故，主要是为了驳斥司马光指责新法的（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A.侵官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B.拒谏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C.致怨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D.征利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在《李将军列传》中，司马迁用“中石没镞”来刻画李将军的独特个性，这种人物描写方法是（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B.细节描写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B.俄国散文随笔作家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C.俄国短篇小说之王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D.俄国政论家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《季氏将伐颛臾》所体现出的孔子的政治主张是（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A.治国以法、为政以德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B.无为而治、顺其自然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C.隆礼重法、为政以德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D.治国以礼、为政以德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《灯下漫笔》一文主要抨击的是（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A.复古主义思潮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B.帝国主义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C.资本主义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D.中国的奴隶制度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在《寡人之于国也》中，孟子认为达到“数口之家，可以无饥”这一目标的主要措施是（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A.五亩之宅，树之以桑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B.鸡豚狗彘之畜，无失其时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C.百亩之田，勿夺其时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D.谨庠序之教，申之以孝悌之义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A.而吾未尝以自多者。多：夸耀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B.举先王之政，以兴利除弊。举：列举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C.此所谓藉寇兵而赍盗粮者也。赍：借给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D.初守睢阳时，士卒仅万人。仅：只有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先秦诸子散文中最富于浪漫色彩的是（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D.革命者的献身精神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徐志摩以康桥为题写的诗作有（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B.《沙扬娜拉》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C.《雪花的快乐》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下列句子中，“乃”字可译为“才”的是（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924252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4252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https://d.book118.com/076114152230010052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076114152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