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2024年党政公务员考试-国家公务员历年考试高频考点试题附带答案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以一个矩形的任意两条边为直径画圆，将该矩形划分成的区域有几种不同的可能情况（）</w:t>
      </w:r>
    </w:p>
    <w:p>
      <w:pPr>
        <w:pStyle w:val="Normal0"/>
        <w:jc w:val="left"/>
        <w:rPr>
          <w:rFonts w:ascii="黑体" w:eastAsia="黑体" w:hAnsi="黑体" w:cs="黑体" w:hint="eastAsia"/>
          <w:sz w:val="24"/>
          <w:szCs w:val="28"/>
        </w:rPr>
      </w:pPr>
    </w:p>
    <w:p>
      <w:pPr>
        <w:pStyle w:val="Normal0"/>
        <w:jc w:val="left"/>
        <w:rPr>
          <w:rFonts w:ascii="黑体" w:eastAsia="黑体" w:hAnsi="黑体" w:cs="黑体" w:hint="eastAsia"/>
          <w:sz w:val="24"/>
          <w:szCs w:val="28"/>
        </w:rPr>
      </w:pPr>
      <w:r>
        <w:rPr>
          <w:rFonts w:ascii="黑体" w:eastAsia="黑体" w:hAnsi="黑体" w:cs="黑体" w:hint="eastAsia"/>
          <w:sz w:val="24"/>
          <w:szCs w:val="28"/>
        </w:rPr>
        <w:t>A、1</w:t>
      </w:r>
    </w:p>
    <w:p>
      <w:pPr>
        <w:pStyle w:val="Normal0"/>
        <w:jc w:val="left"/>
        <w:rPr>
          <w:rFonts w:ascii="黑体" w:eastAsia="黑体" w:hAnsi="黑体" w:cs="黑体" w:hint="eastAsia"/>
          <w:sz w:val="24"/>
          <w:szCs w:val="28"/>
        </w:rPr>
      </w:pPr>
      <w:r>
        <w:rPr>
          <w:rFonts w:ascii="黑体" w:eastAsia="黑体" w:hAnsi="黑体" w:cs="黑体" w:hint="eastAsia"/>
          <w:sz w:val="24"/>
          <w:szCs w:val="28"/>
        </w:rPr>
        <w:t>B、2</w:t>
      </w:r>
    </w:p>
    <w:p>
      <w:pPr>
        <w:pStyle w:val="Normal0"/>
        <w:jc w:val="left"/>
        <w:rPr>
          <w:rFonts w:ascii="黑体" w:eastAsia="黑体" w:hAnsi="黑体" w:cs="黑体" w:hint="eastAsia"/>
          <w:sz w:val="24"/>
          <w:szCs w:val="28"/>
        </w:rPr>
      </w:pPr>
      <w:r>
        <w:rPr>
          <w:rFonts w:ascii="黑体" w:eastAsia="黑体" w:hAnsi="黑体" w:cs="黑体" w:hint="eastAsia"/>
          <w:sz w:val="24"/>
          <w:szCs w:val="28"/>
        </w:rPr>
        <w:t>C、3</w:t>
      </w:r>
    </w:p>
    <w:p>
      <w:pPr>
        <w:pStyle w:val="Normal0"/>
        <w:jc w:val="left"/>
        <w:rPr>
          <w:rFonts w:ascii="黑体" w:eastAsia="黑体" w:hAnsi="黑体" w:cs="黑体" w:hint="eastAsia"/>
          <w:sz w:val="24"/>
          <w:szCs w:val="28"/>
        </w:rPr>
      </w:pPr>
      <w:r>
        <w:rPr>
          <w:rFonts w:ascii="黑体" w:eastAsia="黑体" w:hAnsi="黑体" w:cs="黑体" w:hint="eastAsia"/>
          <w:sz w:val="24"/>
          <w:szCs w:val="28"/>
        </w:rPr>
        <w:t>D、4</w:t>
      </w:r>
    </w:p>
    <w:p>
      <w:pPr>
        <w:pStyle w:val="Normal0"/>
        <w:jc w:val="left"/>
        <w:rPr>
          <w:rFonts w:ascii="黑体" w:eastAsia="黑体" w:hAnsi="黑体" w:cs="黑体" w:hint="eastAsia"/>
          <w:sz w:val="24"/>
          <w:szCs w:val="28"/>
        </w:rPr>
      </w:pPr>
    </w:p>
    <w:p>
      <w:pPr>
        <w:pStyle w:val="Normal1"/>
      </w:pPr>
      <w:r>
        <w:rPr>
          <w:rFonts w:ascii="黑体" w:eastAsia="黑体" w:hAnsi="黑体" w:cs="黑体" w:hint="eastAsia"/>
          <w:sz w:val="24"/>
          <w:szCs w:val="28"/>
        </w:rPr>
        <w:t>2.</w:t>
      </w:r>
      <w:r>
        <w:drawing>
          <wp:inline distT="0" distB="0" distL="0" distR="0">
            <wp:extent cx="1409848" cy="1286010"/>
            <wp:effectExtent l="0" t="0" r="0" b="0"/>
            <wp:docPr id="2" name="_x0000_i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_x0000_i0002"/>
                    <pic:cNvPicPr/>
                  </pic:nvPicPr>
                  <pic:blipFill>
                    <a:blip xmlns:r="http://schemas.openxmlformats.org/officeDocument/2006/relationships" r:embed="rId11"/>
                    <a:stretch>
                      <a:fillRect/>
                    </a:stretch>
                  </pic:blipFill>
                  <pic:spPr>
                    <a:xfrm>
                      <a:off x="0" y="0"/>
                      <a:ext cx="1409848" cy="1286010"/>
                    </a:xfrm>
                    <a:prstGeom prst="rect">
                      <a:avLst/>
                    </a:prstGeom>
                  </pic:spPr>
                </pic:pic>
              </a:graphicData>
            </a:graphic>
          </wp:inline>
        </w:drawing>
      </w:r>
      <w:r>
        <w:rPr>
          <w:rFonts w:ascii="黑体" w:eastAsia="黑体" w:hAnsi="黑体" w:cs="黑体" w:hint="eastAsia"/>
          <w:sz w:val="24"/>
          <w:szCs w:val="28"/>
        </w:rPr>
        <w:t>（）</w:t>
      </w:r>
    </w:p>
    <w:p>
      <w:pPr>
        <w:pStyle w:val="Normal1"/>
      </w:pPr>
      <w:r>
        <w:rPr>
          <w:rFonts w:ascii="黑体" w:eastAsia="黑体" w:hAnsi="黑体" w:cs="黑体" w:hint="eastAsia"/>
          <w:sz w:val="24"/>
          <w:szCs w:val="28"/>
        </w:rPr>
        <w:t>A、A</w:t>
      </w:r>
    </w:p>
    <w:p>
      <w:pPr>
        <w:pStyle w:val="Normal1"/>
      </w:pPr>
      <w:r>
        <w:rPr>
          <w:rFonts w:ascii="黑体" w:eastAsia="黑体" w:hAnsi="黑体" w:cs="黑体" w:hint="eastAsia"/>
          <w:sz w:val="24"/>
          <w:szCs w:val="28"/>
        </w:rPr>
        <w:t>B、B</w:t>
      </w:r>
    </w:p>
    <w:p>
      <w:pPr>
        <w:pStyle w:val="Normal1"/>
      </w:pPr>
      <w:r>
        <w:rPr>
          <w:rFonts w:ascii="黑体" w:eastAsia="黑体" w:hAnsi="黑体" w:cs="黑体" w:hint="eastAsia"/>
          <w:sz w:val="24"/>
          <w:szCs w:val="28"/>
        </w:rPr>
        <w:t>C、C</w:t>
      </w:r>
    </w:p>
    <w:p>
      <w:pPr>
        <w:pStyle w:val="Normal1"/>
      </w:pPr>
      <w:r>
        <w:rPr>
          <w:rFonts w:ascii="黑体" w:eastAsia="黑体" w:hAnsi="黑体" w:cs="黑体" w:hint="eastAsia"/>
          <w:sz w:val="24"/>
          <w:szCs w:val="28"/>
        </w:rPr>
        <w:t>D、D</w:t>
      </w:r>
    </w:p>
    <w:p>
      <w:pPr>
        <w:pStyle w:val="Normal1"/>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被称为“瓷都”的是我国哪一城市？</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假如你的朋友做手术住院，他没有亲戚朋友在这，需要你的照顾，但是这时领导给你一个紧急任务要你出差，你该怎么办?</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约翰•克里斯朵夫有几卷？</w:t>
      </w:r>
    </w:p>
    <w:p>
      <w:pPr>
        <w:pStyle w:val="Normal4"/>
        <w:jc w:val="left"/>
        <w:rPr>
          <w:rFonts w:ascii="黑体" w:eastAsia="黑体" w:hAnsi="黑体" w:cs="黑体" w:hint="eastAsia"/>
          <w:sz w:val="24"/>
          <w:szCs w:val="28"/>
        </w:rPr>
        <w:sectPr>
          <w:headerReference w:type="even" r:id="rId12"/>
          <w:headerReference w:type="default" r:id="rId13"/>
          <w:footerReference w:type="even" r:id="rId14"/>
          <w:headerReference w:type="first" r:id="rId15"/>
          <w:footerReference w:type="first" r:id="rId16"/>
          <w:type w:val="continuous"/>
          <w:pgSz w:w="11906" w:h="16838"/>
          <w:pgMar w:top="720" w:right="720" w:bottom="720" w:left="720" w:header="851" w:footer="992" w:gutter="0"/>
          <w:pgNumType w:start="2"/>
          <w:cols w:num="1" w:space="720"/>
          <w:docGrid w:type="lines" w:linePitch="312" w:charSpace="0"/>
        </w:sect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资料1.法国是一个很有创造力的国家，照相术、电影、热气球等许多发明都源自法国。其知识产权体系有两个层次的内容：一是直接的、有形的知识产权管理、组织和法律保护体系；二是间接的、无形的尊重知识和以知识为重心的社会价值观的建设。</w:t>
      </w:r>
    </w:p>
    <w:p>
      <w:pPr>
        <w:pStyle w:val="Normal5"/>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从知识产权的法律来说，法国属大陆法系，其知识产权保护法律与英美有两点基本不同。一是英美法律对“版权”的界定近似于商品属性，一旦买卖即转移原创作者的全部相关权利；但法国和欧洲大陆多个国家的法律却规定了“作品”除了相关“商品”属性的“版权”外，还有一个与该作品永远不可分割的“人格”属性，其完整个性只属于作者本人，只归创作者永远享有，甚至死后也不例外，即所谓“署名权”、“人格权”和要求保证作品完整性的权利。第二，在相关的版权管理上，英美法律相对要简单一些，作者无需登记便可自动享有版权保护，但大陆法系则规定了一系列的严格登记手续。如，无论版权转移与否，一张照片上的摄影师姓名在法国从法理上是永远不能抹掉的。相对而言，英美法律令作品易于传播，却不易保护，法国及大陆法系国家的版权法保护则更严谨。</w:t>
      </w:r>
    </w:p>
    <w:p>
      <w:pPr>
        <w:pStyle w:val="Normal5"/>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资料2.2005年1月1日，修改后的新加坡《版权法令》生效。其中一项主要的修正是，“使用侵犯版权的软件被视为刑事罪”。如果有人蓄意侵犯版权，即非法复制大量的盗版软件，包括从互联网下载盗版电影或歌曲，或利用盗版物品取得商业利益，将在刑事罪名下被控，面临最长六个月的监禁或者最高2万新元的罚款，或者两者兼施。</w:t>
      </w:r>
    </w:p>
    <w:p>
      <w:pPr>
        <w:pStyle w:val="Normal5"/>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2007年9月，新加坡警方展开行动，突袭了一家室内设计顾问公司的办公室，起获该公司使用的盗版软件。同年2月，新加坡两名青年因为在互联网上非法下载和传播大量歌曲，分别被判处入狱三个月和四个月。新加坡针对使用、下载、分发盗版软件的一系列行动，极大地震慑了侵犯知识产权的个人和组织。</w:t>
      </w:r>
    </w:p>
    <w:p>
      <w:pPr>
        <w:pStyle w:val="Normal5"/>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在保护知识产权方面，相关的行业协会和版权拥有者组织也发挥了积极的作用。例如，前面提到的非法下载音乐者被判入狱的案件，就是在新加坡唱片音像工业协会的举报下立案的。此外，商业软件联盟组织也积极在新加坡推广使用正版软件的理念。</w:t>
      </w:r>
    </w:p>
    <w:p>
      <w:pPr>
        <w:pStyle w:val="Normal5"/>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2005年，由于成功地遏制了盗版，新加坡软件盗版率下降了2个百分点，盗版所带来的损失也减少了1000万美元。目前，新加坡已进入全球盗版率最低的20个国家行列。</w:t>
      </w:r>
    </w:p>
    <w:p>
      <w:pPr>
        <w:pStyle w:val="Normal5"/>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资料3.国家政府对待知识产权保护的态度是知识产权的保护成功与否的重要因素。政府必须愿意将侵权列入严重犯罪的种类并进行严重的惩罚。同时，政府又必须注重立法的落实，做到有法必依，违法必究。这不仅仅是一个法律的执行问题，而且也反映了政府对知识产权保护的态度。美国正是有了良好的知识产权保护制度和落实措施，才为美国科技的发展提供了一个广阔的环境。对于出售盗版制品的商店，当事人最重可被处以5年监禁并被重罚，罚款额度足以使商店破产。</w:t>
      </w:r>
    </w:p>
    <w:p>
      <w:pPr>
        <w:pStyle w:val="Normal5"/>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在侵权调查中，FBI凭借其强大的信息收集系统和无所不在的调查网络，扮演了重要角色。除FBI之外，美国与知识产权保护、侵权调查有关的机构众多，如商务部专门设有负责知识产权的副部长；美国海关则是打击侵权的一道重要防线。</w:t>
      </w:r>
    </w:p>
    <w:p>
      <w:pPr>
        <w:pStyle w:val="Normal5"/>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除政府机构外，美国很多大企业都设有专门部门调查侵权问题，为避免孤军作战，很多行业还设立了知识产权保护联盟，如美国出版者协会、电影营销协会、计算机软件和服务工业协会、商业软件联盟、全国音乐出版者协会等。它们一般都聘请法律顾问，监督市场，积极参与有关知识产权保护的立法和执法活动，游说政府，一旦发现生产、销售盗版产品的情况，则立即报告主管机构，堪称企业利益的忠实代言人和平衡协调者。</w:t>
      </w:r>
    </w:p>
    <w:p>
      <w:pPr>
        <w:pStyle w:val="Normal5"/>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仔细阅读资料，分析各国保护知识产权的做法，并谈谈对我国知识产权保护工作的启示。</w:t>
      </w:r>
      <w:r>
        <w:rPr>
          <w:rFonts w:ascii="黑体" w:eastAsia="黑体" w:hAnsi="黑体" w:cs="黑体" w:hint="eastAsia"/>
          <w:sz w:val="24"/>
          <w:szCs w:val="28"/>
        </w:rPr>
        <w:tab/>
      </w:r>
      <w:r>
        <w:rPr>
          <w:rFonts w:ascii="黑体" w:eastAsia="黑体" w:hAnsi="黑体" w:cs="黑体" w:hint="eastAsia"/>
          <w:sz w:val="24"/>
          <w:szCs w:val="28"/>
        </w:rPr>
        <w:t>要求：概括全面，对策可行，不超过400字。</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梁山好汉林冲别号是什么？</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sectPr>
          <w:headerReference w:type="even" r:id="rId17"/>
          <w:headerReference w:type="default" r:id="rId18"/>
          <w:footerReference w:type="even" r:id="rId19"/>
          <w:headerReference w:type="first" r:id="rId20"/>
          <w:footerReference w:type="first" r:id="rId21"/>
          <w:type w:val="nextPage"/>
          <w:pgSz w:w="11906" w:h="16838"/>
          <w:pgMar w:top="720" w:right="720" w:bottom="720" w:left="720" w:header="851" w:footer="992" w:gutter="0"/>
          <w:pgNumType w:start="3"/>
          <w:cols w:num="1" w:space="720"/>
          <w:titlePg w:val="0"/>
          <w:docGrid w:type="lines" w:linePitch="312" w:charSpace="0"/>
        </w:sectPr>
      </w:pPr>
      <w:r>
        <w:rPr>
          <w:rFonts w:ascii="黑体" w:eastAsia="黑体" w:hAnsi="黑体" w:cs="黑体" w:hint="eastAsia"/>
          <w:sz w:val="24"/>
          <w:szCs w:val="28"/>
        </w:rPr>
        <w:t>8.</w:t>
      </w:r>
    </w:p>
    <w:p>
      <w:pPr>
        <w:pStyle w:val="Normal7"/>
        <w:jc w:val="left"/>
        <w:rPr>
          <w:rFonts w:ascii="黑体" w:eastAsia="黑体" w:hAnsi="黑体" w:cs="黑体" w:hint="eastAsia"/>
          <w:sz w:val="24"/>
          <w:szCs w:val="28"/>
        </w:rPr>
      </w:pPr>
      <w:r>
        <w:rPr>
          <w:rFonts w:ascii="黑体" w:eastAsia="黑体" w:hAnsi="黑体" w:cs="黑体" w:hint="eastAsia"/>
          <w:sz w:val="24"/>
          <w:szCs w:val="28"/>
        </w:rPr>
        <w:t>如图2-9所示，以大圆的一条直径上的七个点为圆心，画出七个圆的直径紧密相连的小圆。将大圆的周长与大网内部匕个小圆的周长之和相比较，结果是（）</w:t>
      </w:r>
      <w:r>
        <w:rPr>
          <w:rFonts w:ascii="黑体" w:eastAsia="黑体" w:hAnsi="黑体" w:cs="黑体" w:hint="eastAsia"/>
          <w:sz w:val="24"/>
          <w:szCs w:val="28"/>
        </w:rPr>
        <w:tab/>
      </w:r>
      <w:r>
        <w:drawing>
          <wp:inline distT="0" distB="0" distL="0" distR="0">
            <wp:extent cx="1381270" cy="1638472"/>
            <wp:effectExtent l="0" t="0" r="0" b="0"/>
            <wp:docPr id="3" name="_x0000_i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_x0000_i0003"/>
                    <pic:cNvPicPr/>
                  </pic:nvPicPr>
                  <pic:blipFill>
                    <a:blip xmlns:r="http://schemas.openxmlformats.org/officeDocument/2006/relationships" r:embed="rId22"/>
                    <a:stretch>
                      <a:fillRect/>
                    </a:stretch>
                  </pic:blipFill>
                  <pic:spPr>
                    <a:xfrm>
                      <a:off x="0" y="0"/>
                      <a:ext cx="1381270" cy="1638472"/>
                    </a:xfrm>
                    <a:prstGeom prst="rect">
                      <a:avLst/>
                    </a:prstGeom>
                  </pic:spPr>
                </pic:pic>
              </a:graphicData>
            </a:graphic>
          </wp:inline>
        </w:drawing>
      </w:r>
    </w:p>
    <w:p>
      <w:pPr>
        <w:pStyle w:val="Normal7"/>
        <w:jc w:val="left"/>
        <w:rPr>
          <w:rFonts w:ascii="黑体" w:eastAsia="黑体" w:hAnsi="黑体" w:cs="黑体" w:hint="eastAsia"/>
          <w:sz w:val="24"/>
          <w:szCs w:val="28"/>
        </w:rPr>
      </w:pPr>
      <w:r>
        <w:rPr>
          <w:rFonts w:ascii="黑体" w:eastAsia="黑体" w:hAnsi="黑体" w:cs="黑体" w:hint="eastAsia"/>
          <w:sz w:val="24"/>
          <w:szCs w:val="28"/>
        </w:rPr>
        <w:t>A、大圆的周长大于小网的周长之和</w:t>
      </w:r>
    </w:p>
    <w:p>
      <w:pPr>
        <w:pStyle w:val="Normal7"/>
        <w:jc w:val="left"/>
        <w:rPr>
          <w:rFonts w:ascii="黑体" w:eastAsia="黑体" w:hAnsi="黑体" w:cs="黑体" w:hint="eastAsia"/>
          <w:sz w:val="24"/>
          <w:szCs w:val="28"/>
        </w:rPr>
      </w:pPr>
      <w:r>
        <w:rPr>
          <w:rFonts w:ascii="黑体" w:eastAsia="黑体" w:hAnsi="黑体" w:cs="黑体" w:hint="eastAsia"/>
          <w:sz w:val="24"/>
          <w:szCs w:val="28"/>
        </w:rPr>
        <w:t>B、小圆的周长之和大于大圆的周长</w:t>
      </w:r>
    </w:p>
    <w:p>
      <w:pPr>
        <w:pStyle w:val="Normal7"/>
        <w:jc w:val="left"/>
        <w:rPr>
          <w:rFonts w:ascii="黑体" w:eastAsia="黑体" w:hAnsi="黑体" w:cs="黑体" w:hint="eastAsia"/>
          <w:sz w:val="24"/>
          <w:szCs w:val="28"/>
        </w:rPr>
      </w:pPr>
      <w:r>
        <w:rPr>
          <w:rFonts w:ascii="黑体" w:eastAsia="黑体" w:hAnsi="黑体" w:cs="黑体" w:hint="eastAsia"/>
          <w:sz w:val="24"/>
          <w:szCs w:val="28"/>
        </w:rPr>
        <w:t>C、一样长</w:t>
      </w:r>
    </w:p>
    <w:p>
      <w:pPr>
        <w:pStyle w:val="Normal7"/>
        <w:jc w:val="left"/>
        <w:rPr>
          <w:rFonts w:ascii="黑体" w:eastAsia="黑体" w:hAnsi="黑体" w:cs="黑体" w:hint="eastAsia"/>
          <w:sz w:val="24"/>
          <w:szCs w:val="28"/>
        </w:rPr>
      </w:pPr>
      <w:r>
        <w:rPr>
          <w:rFonts w:ascii="黑体" w:eastAsia="黑体" w:hAnsi="黑体" w:cs="黑体" w:hint="eastAsia"/>
          <w:sz w:val="24"/>
          <w:szCs w:val="28"/>
        </w:rPr>
        <w:t>D、无法判断</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什么高原被人民称为坝子，是我国的主要耕作地区？</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“空中课堂”最先是为谁开播的？</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我国哪一个省级行政单位毗临的省区最多？</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两支篮球队打一个系列赛，三场两胜制，第一场和第三场在甲队的主场，第二场在乙队的主场。已知甲队主场赢球概率为0.7，客场赢球概率为0.5。问甲队赢得这个系列赛的概率为多少（）</w:t>
      </w:r>
    </w:p>
    <w:p>
      <w:pPr>
        <w:pStyle w:val="Normal11"/>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A、0.3</w:t>
      </w:r>
    </w:p>
    <w:p>
      <w:pPr>
        <w:pStyle w:val="Normal11"/>
        <w:jc w:val="left"/>
        <w:rPr>
          <w:rFonts w:ascii="黑体" w:eastAsia="黑体" w:hAnsi="黑体" w:cs="黑体" w:hint="eastAsia"/>
          <w:sz w:val="24"/>
          <w:szCs w:val="28"/>
        </w:rPr>
      </w:pPr>
      <w:r>
        <w:rPr>
          <w:rFonts w:ascii="黑体" w:eastAsia="黑体" w:hAnsi="黑体" w:cs="黑体" w:hint="eastAsia"/>
          <w:sz w:val="24"/>
          <w:szCs w:val="28"/>
        </w:rPr>
        <w:t>B、0.595</w:t>
      </w:r>
    </w:p>
    <w:p>
      <w:pPr>
        <w:pStyle w:val="Normal11"/>
        <w:jc w:val="left"/>
        <w:rPr>
          <w:rFonts w:ascii="黑体" w:eastAsia="黑体" w:hAnsi="黑体" w:cs="黑体" w:hint="eastAsia"/>
          <w:sz w:val="24"/>
          <w:szCs w:val="28"/>
        </w:rPr>
      </w:pPr>
      <w:r>
        <w:rPr>
          <w:rFonts w:ascii="黑体" w:eastAsia="黑体" w:hAnsi="黑体" w:cs="黑体" w:hint="eastAsia"/>
          <w:sz w:val="24"/>
          <w:szCs w:val="28"/>
        </w:rPr>
        <w:t>C、0.7</w:t>
      </w:r>
    </w:p>
    <w:p>
      <w:pPr>
        <w:pStyle w:val="Normal11"/>
        <w:jc w:val="left"/>
        <w:rPr>
          <w:rFonts w:ascii="黑体" w:eastAsia="黑体" w:hAnsi="黑体" w:cs="黑体" w:hint="eastAsia"/>
          <w:sz w:val="24"/>
          <w:szCs w:val="28"/>
        </w:rPr>
      </w:pPr>
      <w:r>
        <w:rPr>
          <w:rFonts w:ascii="黑体" w:eastAsia="黑体" w:hAnsi="黑体" w:cs="黑体" w:hint="eastAsia"/>
          <w:sz w:val="24"/>
          <w:szCs w:val="28"/>
        </w:rPr>
        <w:t>D、0.795</w:t>
      </w:r>
    </w:p>
    <w:p>
      <w:pPr>
        <w:pStyle w:val="Normal11"/>
        <w:jc w:val="left"/>
        <w:rPr>
          <w:rFonts w:ascii="黑体" w:eastAsia="黑体" w:hAnsi="黑体" w:cs="黑体" w:hint="eastAsia"/>
          <w:sz w:val="24"/>
          <w:szCs w:val="28"/>
        </w:rPr>
      </w:pPr>
    </w:p>
    <w:p>
      <w:pPr>
        <w:pStyle w:val="Normal12"/>
      </w:pPr>
      <w:r>
        <w:rPr>
          <w:rFonts w:ascii="黑体" w:eastAsia="黑体" w:hAnsi="黑体" w:cs="黑体" w:hint="eastAsia"/>
          <w:sz w:val="24"/>
          <w:szCs w:val="28"/>
        </w:rPr>
        <w:t>13.</w:t>
      </w:r>
      <w:r>
        <w:drawing>
          <wp:inline distT="0" distB="0" distL="0" distR="0">
            <wp:extent cx="2410078" cy="1486056"/>
            <wp:effectExtent l="0" t="0" r="0" b="0"/>
            <wp:docPr id="4" name="_x0000_i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_x0000_i0004"/>
                    <pic:cNvPicPr/>
                  </pic:nvPicPr>
                  <pic:blipFill>
                    <a:blip xmlns:r="http://schemas.openxmlformats.org/officeDocument/2006/relationships" r:embed="rId23"/>
                    <a:stretch>
                      <a:fillRect/>
                    </a:stretch>
                  </pic:blipFill>
                  <pic:spPr>
                    <a:xfrm>
                      <a:off x="0" y="0"/>
                      <a:ext cx="2410078" cy="1486056"/>
                    </a:xfrm>
                    <a:prstGeom prst="rect">
                      <a:avLst/>
                    </a:prstGeom>
                  </pic:spPr>
                </pic:pic>
              </a:graphicData>
            </a:graphic>
          </wp:inline>
        </w:drawing>
      </w:r>
      <w:r>
        <w:rPr>
          <w:rFonts w:ascii="黑体" w:eastAsia="黑体" w:hAnsi="黑体" w:cs="黑体" w:hint="eastAsia"/>
          <w:sz w:val="24"/>
          <w:szCs w:val="28"/>
        </w:rPr>
        <w:t>（）</w:t>
      </w:r>
      <w:r>
        <w:rPr>
          <w:rFonts w:ascii="黑体" w:eastAsia="黑体" w:hAnsi="黑体" w:cs="黑体" w:hint="eastAsia"/>
          <w:sz w:val="24"/>
          <w:szCs w:val="28"/>
        </w:rPr>
        <w:tab/>
      </w:r>
      <w:r>
        <w:drawing>
          <wp:inline distT="0" distB="0" distL="0" distR="0">
            <wp:extent cx="3781822" cy="933548"/>
            <wp:effectExtent l="0" t="0" r="0" b="0"/>
            <wp:docPr id="5" name="_x0000_i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_x0000_i0005"/>
                    <pic:cNvPicPr/>
                  </pic:nvPicPr>
                  <pic:blipFill>
                    <a:blip xmlns:r="http://schemas.openxmlformats.org/officeDocument/2006/relationships" r:embed="rId24"/>
                    <a:stretch>
                      <a:fillRect/>
                    </a:stretch>
                  </pic:blipFill>
                  <pic:spPr>
                    <a:xfrm>
                      <a:off x="0" y="0"/>
                      <a:ext cx="3781822" cy="933548"/>
                    </a:xfrm>
                    <a:prstGeom prst="rect">
                      <a:avLst/>
                    </a:prstGeom>
                  </pic:spPr>
                </pic:pic>
              </a:graphicData>
            </a:graphic>
          </wp:inline>
        </w:drawing>
      </w:r>
    </w:p>
    <w:p>
      <w:pPr>
        <w:pStyle w:val="Normal12"/>
      </w:pPr>
      <w:r>
        <w:rPr>
          <w:rFonts w:ascii="黑体" w:eastAsia="黑体" w:hAnsi="黑体" w:cs="黑体" w:hint="eastAsia"/>
          <w:sz w:val="24"/>
          <w:szCs w:val="28"/>
        </w:rPr>
        <w:t>A、A</w:t>
      </w:r>
    </w:p>
    <w:p>
      <w:pPr>
        <w:pStyle w:val="Normal12"/>
      </w:pPr>
      <w:r>
        <w:rPr>
          <w:rFonts w:ascii="黑体" w:eastAsia="黑体" w:hAnsi="黑体" w:cs="黑体" w:hint="eastAsia"/>
          <w:sz w:val="24"/>
          <w:szCs w:val="28"/>
        </w:rPr>
        <w:t>B、B</w:t>
      </w:r>
    </w:p>
    <w:p>
      <w:pPr>
        <w:pStyle w:val="Normal12"/>
      </w:pPr>
      <w:r>
        <w:rPr>
          <w:rFonts w:ascii="黑体" w:eastAsia="黑体" w:hAnsi="黑体" w:cs="黑体" w:hint="eastAsia"/>
          <w:sz w:val="24"/>
          <w:szCs w:val="28"/>
        </w:rPr>
        <w:t>C、C</w:t>
      </w:r>
    </w:p>
    <w:p>
      <w:pPr>
        <w:pStyle w:val="Normal12"/>
      </w:pPr>
      <w:r>
        <w:rPr>
          <w:rFonts w:ascii="黑体" w:eastAsia="黑体" w:hAnsi="黑体" w:cs="黑体" w:hint="eastAsia"/>
          <w:sz w:val="24"/>
          <w:szCs w:val="28"/>
        </w:rPr>
        <w:t>D、D</w:t>
      </w:r>
    </w:p>
    <w:p>
      <w:pPr>
        <w:pStyle w:val="Normal12"/>
      </w:pPr>
    </w:p>
    <w:p>
      <w:pPr>
        <w:pStyle w:val="Normal13"/>
        <w:jc w:val="left"/>
        <w:rPr>
          <w:rFonts w:ascii="黑体" w:eastAsia="黑体" w:hAnsi="黑体" w:cs="黑体" w:hint="eastAsia"/>
          <w:sz w:val="24"/>
          <w:szCs w:val="28"/>
        </w:rPr>
        <w:sectPr>
          <w:headerReference w:type="even" r:id="rId25"/>
          <w:headerReference w:type="default" r:id="rId26"/>
          <w:footerReference w:type="even" r:id="rId27"/>
          <w:headerReference w:type="first" r:id="rId28"/>
          <w:footerReference w:type="first" r:id="rId29"/>
          <w:type w:val="nextPage"/>
          <w:pgSz w:w="11906" w:h="16838"/>
          <w:pgMar w:top="720" w:right="720" w:bottom="720" w:left="720" w:header="851" w:footer="992" w:gutter="0"/>
          <w:pgNumType w:start="4"/>
          <w:cols w:num="1" w:space="720"/>
          <w:titlePg w:val="0"/>
          <w:docGrid w:type="lines" w:linePitch="312" w:charSpace="0"/>
        </w:sectPr>
      </w:pPr>
      <w:r>
        <w:rPr>
          <w:rFonts w:ascii="黑体" w:eastAsia="黑体" w:hAnsi="黑体" w:cs="黑体" w:hint="eastAsia"/>
          <w:sz w:val="24"/>
          <w:szCs w:val="28"/>
        </w:rPr>
        <w:t>14.</w:t>
      </w:r>
      <w:r>
        <w:rPr>
          <w:rFonts w:ascii="黑体" w:eastAsia="黑体" w:hAnsi="黑体" w:cs="黑体" w:hint="eastAsia"/>
          <w:sz w:val="24"/>
          <w:szCs w:val="28"/>
        </w:rPr>
        <w:t>联系实际论述如何加强公务员诚信能力建设。</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某市营业厅的门口排了很长的队伍，旁边施工队不慎将营业厅的电线挖断，造成突然断电。你是窗口负责人，你将如何处理？</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汉平帝元始元年，是公元那一年？</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终年活动在同一区域的是什么鸟？</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资料：由平民草根一夜之间变为明星富翁是很多人的梦想，在二十世纪八九十年代，只要有勇气有魄力，这个梦想就不难实现。然而，在进入二十一世纪之后，知识经济、网络时代到来，“白手起家”的机会已经明显不如20世纪那样遍地都是，我们不得不为草根阶层担心：在当代社会阶层固化明显的前提之下，成功似乎会离平民草根越来越远。</w:t>
      </w:r>
    </w:p>
    <w:p>
      <w:pPr>
        <w:pStyle w:val="Normal1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近些年草根阶层成功的路径无外乎两类：一类是走寻常路线，靠着自己的辛苦努力完成资本原始积累，然后借助合适的市场时机创业，实现利润翻倍，这类人比较沉默，很难有巨大的社会影响力。创业者一直在践行着“天道酬勤”这句古训，他们思维活跃、善于创新、行动果断、百折不挠、能很快地接受新鲜事物，而且大多数人有着技术工作经验，例如百度总裁李彦宏，创业之前在技术岗位上就已作出重大贡献。</w:t>
      </w:r>
    </w:p>
    <w:p>
      <w:pPr>
        <w:pStyle w:val="Normal1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相比较于创业者，借助于网络一夜走红的草根明星其经历更为符合“传奇”的要义，也更体现了网络时代的特点。例如“旭日阳刚”、“奥巴马女郎”等网络名人，他们通过走红网络而名利双收。试想，在“旭日阳刚”组合走红之初，其演唱视频获得了几十万次的网络转载，大量的媒体记者进行跟踪报道，还有什么样的新闻能达到这样的传播效果？</w:t>
      </w:r>
    </w:p>
    <w:p>
      <w:pPr>
        <w:pStyle w:val="Normal1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毫无疑问，互联网技术的革新使得信息成本迅速下降，而平民草根作为理性人，面对极低的成本之下可能获得的极高收益，都会有“炒作”的激励与冲动。其实，类似炒作以期获取名利与成功的例子自古就有，并非今人首创。姜子牙直钩钓鱼，陈子昂闹市摔琴，唐代卢臧为求入朝为官而故意隐居终南山。古人为何这般？其中重要的原因就是在千里马和伯乐之间缺乏顺畅的沟通渠道。</w:t>
      </w:r>
    </w:p>
    <w:p>
      <w:pPr>
        <w:pStyle w:val="Normal1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从经济学的角度看，网络媒体的炒作放大了信息传递的增益效应。由于媒体与受众之间信息不对称，该种条件下的信息传递极易造成信息扭曲，这就导致很多网络草根红人昙花一现后迅速沉寂。对于部分有着真才实学、良好动机的平民草根来说，通过网络走向成功不失为一种捷径，这也为国人所易于接受，相信每个人都能感受到“西单女孩”的坚强与乐观。但是，作为草根平民的大部分，还是应该理性选择自己的成功之路，网络毕竟只能造就相对少数的成功者，何况当前民众对于网络的信息信任度正在下降。对于草根平民的更多人来说，需要的是脚踏实地地工作与坚韧不屈地创业。</w:t>
      </w:r>
    </w:p>
    <w:p>
      <w:pPr>
        <w:pStyle w:val="Normal1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诚然，社会学家所说的阶层固化，已经在现实中出现。或者说，中国社会的创富机会，已经向富裕阶层集中，具体表现为富者愈富，贫苦草根代际遗传。当代现实中的社会资本全能性，财富、权利、教育机会在很大程度上可以相互转化，过多优质资源被垄断，导致平民草根无法分享。创富的资本门槛、知识门槛很高，只有极少数人才有机会进入市场。阶级之间的互不流动，阶层内部的认同趋向明显，成功人士和平民草根之间存在着巨大的隔阂。</w:t>
      </w:r>
    </w:p>
    <w:p>
      <w:pPr>
        <w:pStyle w:val="Normal1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许多草根通过网络被公众熟知，于是有人认为“网络已经成为众多草根们走向成功一种捷径”。请结合上述资料谈谈你的看法。</w:t>
      </w:r>
      <w:r>
        <w:rPr>
          <w:rFonts w:ascii="黑体" w:eastAsia="黑体" w:hAnsi="黑体" w:cs="黑体" w:hint="eastAsia"/>
          <w:sz w:val="24"/>
          <w:szCs w:val="28"/>
        </w:rPr>
        <w:tab/>
      </w:r>
      <w:r>
        <w:rPr>
          <w:rFonts w:ascii="黑体" w:eastAsia="黑体" w:hAnsi="黑体" w:cs="黑体" w:hint="eastAsia"/>
          <w:sz w:val="24"/>
          <w:szCs w:val="28"/>
        </w:rPr>
        <w:t>要求：紧密结合实际，观点明确，分析恰当，条理清楚。不超过400字。</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某班有70%的学生喜欢打羽毛球，75%的学生喜欢打乒乓球，问喜欢打乒乓球的学生中至少有百分之几喜欢打羽毛球（）</w:t>
      </w:r>
    </w:p>
    <w:p>
      <w:pPr>
        <w:pStyle w:val="Normal18"/>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A、30%</w:t>
      </w:r>
    </w:p>
    <w:p>
      <w:pPr>
        <w:pStyle w:val="Normal18"/>
        <w:jc w:val="left"/>
        <w:rPr>
          <w:rFonts w:ascii="黑体" w:eastAsia="黑体" w:hAnsi="黑体" w:cs="黑体" w:hint="eastAsia"/>
          <w:sz w:val="24"/>
          <w:szCs w:val="28"/>
        </w:rPr>
      </w:pPr>
      <w:r>
        <w:rPr>
          <w:rFonts w:ascii="黑体" w:eastAsia="黑体" w:hAnsi="黑体" w:cs="黑体" w:hint="eastAsia"/>
          <w:sz w:val="24"/>
          <w:szCs w:val="28"/>
        </w:rPr>
        <w:t>B、45%</w:t>
      </w:r>
    </w:p>
    <w:p>
      <w:pPr>
        <w:pStyle w:val="Normal18"/>
        <w:jc w:val="left"/>
        <w:rPr>
          <w:rFonts w:ascii="黑体" w:eastAsia="黑体" w:hAnsi="黑体" w:cs="黑体" w:hint="eastAsia"/>
          <w:sz w:val="24"/>
          <w:szCs w:val="28"/>
        </w:rPr>
      </w:pPr>
      <w:r>
        <w:rPr>
          <w:rFonts w:ascii="黑体" w:eastAsia="黑体" w:hAnsi="黑体" w:cs="黑体" w:hint="eastAsia"/>
          <w:sz w:val="24"/>
          <w:szCs w:val="28"/>
        </w:rPr>
        <w:t>C、60%</w:t>
      </w:r>
    </w:p>
    <w:p>
      <w:pPr>
        <w:pStyle w:val="Normal18"/>
        <w:jc w:val="left"/>
        <w:rPr>
          <w:rFonts w:ascii="黑体" w:eastAsia="黑体" w:hAnsi="黑体" w:cs="黑体" w:hint="eastAsia"/>
          <w:sz w:val="24"/>
          <w:szCs w:val="28"/>
        </w:rPr>
        <w:sectPr>
          <w:headerReference w:type="even" r:id="rId30"/>
          <w:headerReference w:type="default" r:id="rId31"/>
          <w:footerReference w:type="even" r:id="rId32"/>
          <w:headerReference w:type="first" r:id="rId33"/>
          <w:footerReference w:type="first" r:id="rId34"/>
          <w:type w:val="nextPage"/>
          <w:pgSz w:w="11906" w:h="16838"/>
          <w:pgMar w:top="720" w:right="720" w:bottom="720" w:left="720" w:header="851" w:footer="992" w:gutter="0"/>
          <w:pgNumType w:start="5"/>
          <w:cols w:num="1" w:space="720"/>
          <w:titlePg w:val="0"/>
          <w:docGrid w:type="lines" w:linePitch="312" w:charSpace="0"/>
        </w:sectPr>
      </w:pPr>
      <w:r>
        <w:rPr>
          <w:rFonts w:ascii="黑体" w:eastAsia="黑体" w:hAnsi="黑体" w:cs="黑体" w:hint="eastAsia"/>
          <w:sz w:val="24"/>
          <w:szCs w:val="28"/>
        </w:rPr>
        <w:t>D、70%</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武昌起义时，孙中山在哪里？</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1，2，7，19，138，（）。</w:t>
      </w:r>
    </w:p>
    <w:p>
      <w:pPr>
        <w:pStyle w:val="Normal20"/>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A、2146</w:t>
      </w:r>
    </w:p>
    <w:p>
      <w:pPr>
        <w:pStyle w:val="Normal20"/>
        <w:jc w:val="left"/>
        <w:rPr>
          <w:rFonts w:ascii="黑体" w:eastAsia="黑体" w:hAnsi="黑体" w:cs="黑体" w:hint="eastAsia"/>
          <w:sz w:val="24"/>
          <w:szCs w:val="28"/>
        </w:rPr>
      </w:pPr>
      <w:r>
        <w:rPr>
          <w:rFonts w:ascii="黑体" w:eastAsia="黑体" w:hAnsi="黑体" w:cs="黑体" w:hint="eastAsia"/>
          <w:sz w:val="24"/>
          <w:szCs w:val="28"/>
        </w:rPr>
        <w:t>B、2627</w:t>
      </w:r>
    </w:p>
    <w:p>
      <w:pPr>
        <w:pStyle w:val="Normal20"/>
        <w:jc w:val="left"/>
        <w:rPr>
          <w:rFonts w:ascii="黑体" w:eastAsia="黑体" w:hAnsi="黑体" w:cs="黑体" w:hint="eastAsia"/>
          <w:sz w:val="24"/>
          <w:szCs w:val="28"/>
        </w:rPr>
      </w:pPr>
      <w:r>
        <w:rPr>
          <w:rFonts w:ascii="黑体" w:eastAsia="黑体" w:hAnsi="黑体" w:cs="黑体" w:hint="eastAsia"/>
          <w:sz w:val="24"/>
          <w:szCs w:val="28"/>
        </w:rPr>
        <w:t>C、3092</w:t>
      </w:r>
    </w:p>
    <w:p>
      <w:pPr>
        <w:pStyle w:val="Normal20"/>
        <w:jc w:val="left"/>
        <w:rPr>
          <w:rFonts w:ascii="黑体" w:eastAsia="黑体" w:hAnsi="黑体" w:cs="黑体" w:hint="eastAsia"/>
          <w:sz w:val="24"/>
          <w:szCs w:val="28"/>
        </w:rPr>
      </w:pPr>
      <w:r>
        <w:rPr>
          <w:rFonts w:ascii="黑体" w:eastAsia="黑体" w:hAnsi="黑体" w:cs="黑体" w:hint="eastAsia"/>
          <w:sz w:val="24"/>
          <w:szCs w:val="28"/>
        </w:rPr>
        <w:t>D、3865</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是谁发明了磅秤？</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你食品厂一直信誉很好，但最近公布的不合格食品名单中你厂的某一食品在列，影响了你厂其他食品的销售，厂长让你处理此事，你怎么做?</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下列选项中，符合所给图形的变化规律的是：（）</w:t>
      </w:r>
      <w:r>
        <w:rPr>
          <w:rFonts w:ascii="黑体" w:eastAsia="黑体" w:hAnsi="黑体" w:cs="黑体" w:hint="eastAsia"/>
          <w:sz w:val="24"/>
          <w:szCs w:val="28"/>
        </w:rPr>
        <w:tab/>
      </w:r>
      <w:r>
        <w:drawing>
          <wp:inline distT="0" distB="0" distL="0" distR="0">
            <wp:extent cx="1609894" cy="1562264"/>
            <wp:effectExtent l="0" t="0" r="0" b="0"/>
            <wp:docPr id="6" name="_x0000_i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_x0000_i0006"/>
                    <pic:cNvPicPr/>
                  </pic:nvPicPr>
                  <pic:blipFill>
                    <a:blip xmlns:r="http://schemas.openxmlformats.org/officeDocument/2006/relationships" r:embed="rId35"/>
                    <a:stretch>
                      <a:fillRect/>
                    </a:stretch>
                  </pic:blipFill>
                  <pic:spPr>
                    <a:xfrm>
                      <a:off x="0" y="0"/>
                      <a:ext cx="1609894" cy="1562264"/>
                    </a:xfrm>
                    <a:prstGeom prst="rect">
                      <a:avLst/>
                    </a:prstGeom>
                  </pic:spPr>
                </pic:pic>
              </a:graphicData>
            </a:graphic>
          </wp:inline>
        </w:drawing>
      </w:r>
    </w:p>
    <w:p>
      <w:pPr>
        <w:pStyle w:val="Normal23"/>
        <w:jc w:val="left"/>
        <w:rPr>
          <w:rFonts w:ascii="黑体" w:eastAsia="黑体" w:hAnsi="黑体" w:cs="黑体" w:hint="eastAsia"/>
          <w:sz w:val="24"/>
          <w:szCs w:val="28"/>
        </w:rPr>
      </w:pPr>
      <w:r>
        <w:rPr>
          <w:rFonts w:ascii="黑体" w:eastAsia="黑体" w:hAnsi="黑体" w:cs="黑体" w:hint="eastAsia"/>
          <w:sz w:val="24"/>
          <w:szCs w:val="28"/>
        </w:rPr>
        <w:t>A、</w:t>
      </w:r>
      <w:r>
        <w:drawing>
          <wp:inline distT="0" distB="0" distL="0" distR="0">
            <wp:extent cx="514404" cy="514404"/>
            <wp:effectExtent l="0" t="0" r="0" b="0"/>
            <wp:docPr id="7" name="_x0000_i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_x0000_i0007"/>
                    <pic:cNvPicPr/>
                  </pic:nvPicPr>
                  <pic:blipFill>
                    <a:blip xmlns:r="http://schemas.openxmlformats.org/officeDocument/2006/relationships" r:embed="rId36"/>
                    <a:stretch>
                      <a:fillRect/>
                    </a:stretch>
                  </pic:blipFill>
                  <pic:spPr>
                    <a:xfrm>
                      <a:off x="0" y="0"/>
                      <a:ext cx="514404" cy="514404"/>
                    </a:xfrm>
                    <a:prstGeom prst="rect">
                      <a:avLst/>
                    </a:prstGeom>
                  </pic:spPr>
                </pic:pic>
              </a:graphicData>
            </a:graphic>
          </wp:inline>
        </w:drawing>
      </w:r>
    </w:p>
    <w:p>
      <w:pPr>
        <w:pStyle w:val="Normal23"/>
        <w:jc w:val="left"/>
        <w:rPr>
          <w:rFonts w:ascii="黑体" w:eastAsia="黑体" w:hAnsi="黑体" w:cs="黑体" w:hint="eastAsia"/>
          <w:sz w:val="24"/>
          <w:szCs w:val="28"/>
        </w:rPr>
      </w:pPr>
      <w:r>
        <w:rPr>
          <w:rFonts w:ascii="黑体" w:eastAsia="黑体" w:hAnsi="黑体" w:cs="黑体" w:hint="eastAsia"/>
          <w:sz w:val="24"/>
          <w:szCs w:val="28"/>
        </w:rPr>
        <w:t>B、</w:t>
      </w:r>
      <w:r>
        <w:drawing>
          <wp:inline distT="0" distB="0" distL="0" distR="0">
            <wp:extent cx="523930" cy="514404"/>
            <wp:effectExtent l="0" t="0" r="0" b="0"/>
            <wp:docPr id="8" name="_x0000_i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_x0000_i0008"/>
                    <pic:cNvPicPr/>
                  </pic:nvPicPr>
                  <pic:blipFill>
                    <a:blip xmlns:r="http://schemas.openxmlformats.org/officeDocument/2006/relationships" r:embed="rId37"/>
                    <a:stretch>
                      <a:fillRect/>
                    </a:stretch>
                  </pic:blipFill>
                  <pic:spPr>
                    <a:xfrm>
                      <a:off x="0" y="0"/>
                      <a:ext cx="523930" cy="514404"/>
                    </a:xfrm>
                    <a:prstGeom prst="rect">
                      <a:avLst/>
                    </a:prstGeom>
                  </pic:spPr>
                </pic:pic>
              </a:graphicData>
            </a:graphic>
          </wp:inline>
        </w:drawing>
      </w:r>
    </w:p>
    <w:p>
      <w:pPr>
        <w:pStyle w:val="Normal23"/>
        <w:jc w:val="left"/>
        <w:rPr>
          <w:rFonts w:ascii="黑体" w:eastAsia="黑体" w:hAnsi="黑体" w:cs="黑体" w:hint="eastAsia"/>
          <w:sz w:val="24"/>
          <w:szCs w:val="28"/>
        </w:rPr>
      </w:pPr>
      <w:r>
        <w:rPr>
          <w:rFonts w:ascii="黑体" w:eastAsia="黑体" w:hAnsi="黑体" w:cs="黑体" w:hint="eastAsia"/>
          <w:sz w:val="24"/>
          <w:szCs w:val="28"/>
        </w:rPr>
        <w:t>C、</w:t>
      </w:r>
      <w:r>
        <w:drawing>
          <wp:inline distT="0" distB="0" distL="0" distR="0">
            <wp:extent cx="514404" cy="533456"/>
            <wp:effectExtent l="0" t="0" r="0" b="0"/>
            <wp:docPr id="9" name="_x0000_i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_x0000_i0009"/>
                    <pic:cNvPicPr/>
                  </pic:nvPicPr>
                  <pic:blipFill>
                    <a:blip xmlns:r="http://schemas.openxmlformats.org/officeDocument/2006/relationships" r:embed="rId38"/>
                    <a:stretch>
                      <a:fillRect/>
                    </a:stretch>
                  </pic:blipFill>
                  <pic:spPr>
                    <a:xfrm>
                      <a:off x="0" y="0"/>
                      <a:ext cx="514404" cy="533456"/>
                    </a:xfrm>
                    <a:prstGeom prst="rect">
                      <a:avLst/>
                    </a:prstGeom>
                  </pic:spPr>
                </pic:pic>
              </a:graphicData>
            </a:graphic>
          </wp:inline>
        </w:drawing>
      </w:r>
    </w:p>
    <w:p>
      <w:pPr>
        <w:pStyle w:val="Normal23"/>
        <w:jc w:val="left"/>
        <w:rPr>
          <w:rFonts w:ascii="黑体" w:eastAsia="黑体" w:hAnsi="黑体" w:cs="黑体" w:hint="eastAsia"/>
          <w:sz w:val="24"/>
          <w:szCs w:val="28"/>
        </w:rPr>
      </w:pPr>
      <w:r>
        <w:rPr>
          <w:rFonts w:ascii="黑体" w:eastAsia="黑体" w:hAnsi="黑体" w:cs="黑体" w:hint="eastAsia"/>
          <w:sz w:val="24"/>
          <w:szCs w:val="28"/>
        </w:rPr>
        <w:t>D、</w:t>
      </w:r>
      <w:r>
        <w:drawing>
          <wp:inline distT="0" distB="0" distL="0" distR="0">
            <wp:extent cx="514404" cy="514404"/>
            <wp:effectExtent l="0" t="0" r="0" b="0"/>
            <wp:docPr id="10" name="_x0000_i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_x0000_i0010"/>
                    <pic:cNvPicPr/>
                  </pic:nvPicPr>
                  <pic:blipFill>
                    <a:blip xmlns:r="http://schemas.openxmlformats.org/officeDocument/2006/relationships" r:embed="rId39"/>
                    <a:stretch>
                      <a:fillRect/>
                    </a:stretch>
                  </pic:blipFill>
                  <pic:spPr>
                    <a:xfrm>
                      <a:off x="0" y="0"/>
                      <a:ext cx="514404" cy="514404"/>
                    </a:xfrm>
                    <a:prstGeom prst="rect">
                      <a:avLst/>
                    </a:prstGeom>
                  </pic:spPr>
                </pic:pic>
              </a:graphicData>
            </a:graphic>
          </wp:inline>
        </w:drawing>
      </w:r>
    </w:p>
    <w:p>
      <w:pPr>
        <w:pStyle w:val="Normal23"/>
        <w:jc w:val="left"/>
        <w:rPr>
          <w:rFonts w:ascii="黑体" w:eastAsia="黑体" w:hAnsi="黑体" w:cs="黑体" w:hint="eastAsia"/>
          <w:sz w:val="24"/>
          <w:szCs w:val="28"/>
        </w:rPr>
      </w:pPr>
    </w:p>
    <w:p>
      <w:pPr>
        <w:pStyle w:val="Normal24"/>
      </w:pPr>
      <w:r>
        <w:rPr>
          <w:rFonts w:ascii="黑体" w:eastAsia="黑体" w:hAnsi="黑体" w:cs="黑体" w:hint="eastAsia"/>
          <w:sz w:val="24"/>
          <w:szCs w:val="28"/>
        </w:rPr>
        <w:t>25.</w:t>
      </w:r>
      <w:r>
        <w:drawing>
          <wp:inline distT="0" distB="0" distL="0" distR="0">
            <wp:extent cx="3076898" cy="495352"/>
            <wp:effectExtent l="0" t="0" r="0" b="0"/>
            <wp:docPr id="11" name="_x0000_i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_x0000_i0011"/>
                    <pic:cNvPicPr/>
                  </pic:nvPicPr>
                  <pic:blipFill>
                    <a:blip xmlns:r="http://schemas.openxmlformats.org/officeDocument/2006/relationships" r:embed="rId40"/>
                    <a:stretch>
                      <a:fillRect/>
                    </a:stretch>
                  </pic:blipFill>
                  <pic:spPr>
                    <a:xfrm>
                      <a:off x="0" y="0"/>
                      <a:ext cx="3076898" cy="495352"/>
                    </a:xfrm>
                    <a:prstGeom prst="rect">
                      <a:avLst/>
                    </a:prstGeom>
                  </pic:spPr>
                </pic:pic>
              </a:graphicData>
            </a:graphic>
          </wp:inline>
        </w:drawing>
      </w:r>
      <w:r>
        <w:rPr>
          <w:rFonts w:ascii="黑体" w:eastAsia="黑体" w:hAnsi="黑体" w:cs="黑体" w:hint="eastAsia"/>
          <w:sz w:val="24"/>
          <w:szCs w:val="28"/>
        </w:rPr>
        <w:t>（）</w:t>
      </w:r>
      <w:r>
        <w:rPr>
          <w:rFonts w:ascii="黑体" w:eastAsia="黑体" w:hAnsi="黑体" w:cs="黑体" w:hint="eastAsia"/>
          <w:sz w:val="24"/>
          <w:szCs w:val="28"/>
        </w:rPr>
        <w:tab/>
      </w:r>
      <w:r>
        <w:drawing>
          <wp:inline distT="0" distB="0" distL="0" distR="0">
            <wp:extent cx="2248136" cy="676346"/>
            <wp:effectExtent l="0" t="0" r="0" b="0"/>
            <wp:docPr id="12" name="_x0000_i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_x0000_i0012"/>
                    <pic:cNvPicPr/>
                  </pic:nvPicPr>
                  <pic:blipFill>
                    <a:blip xmlns:r="http://schemas.openxmlformats.org/officeDocument/2006/relationships" r:embed="rId41"/>
                    <a:stretch>
                      <a:fillRect/>
                    </a:stretch>
                  </pic:blipFill>
                  <pic:spPr>
                    <a:xfrm>
                      <a:off x="0" y="0"/>
                      <a:ext cx="2248136" cy="676346"/>
                    </a:xfrm>
                    <a:prstGeom prst="rect">
                      <a:avLst/>
                    </a:prstGeom>
                  </pic:spPr>
                </pic:pic>
              </a:graphicData>
            </a:graphic>
          </wp:inline>
        </w:drawing>
      </w:r>
    </w:p>
    <w:p>
      <w:pPr>
        <w:pStyle w:val="Normal24"/>
      </w:pPr>
      <w:r>
        <w:rPr>
          <w:rFonts w:ascii="黑体" w:eastAsia="黑体" w:hAnsi="黑体" w:cs="黑体" w:hint="eastAsia"/>
          <w:sz w:val="24"/>
          <w:szCs w:val="28"/>
        </w:rPr>
        <w:t>A、A</w:t>
      </w:r>
    </w:p>
    <w:p>
      <w:pPr>
        <w:pStyle w:val="Normal24"/>
      </w:pPr>
      <w:r>
        <w:rPr>
          <w:rFonts w:ascii="黑体" w:eastAsia="黑体" w:hAnsi="黑体" w:cs="黑体" w:hint="eastAsia"/>
          <w:sz w:val="24"/>
          <w:szCs w:val="28"/>
        </w:rPr>
        <w:t>B、B</w:t>
      </w:r>
    </w:p>
    <w:p>
      <w:pPr>
        <w:pStyle w:val="Normal24"/>
      </w:pPr>
      <w:r>
        <w:rPr>
          <w:rFonts w:ascii="黑体" w:eastAsia="黑体" w:hAnsi="黑体" w:cs="黑体" w:hint="eastAsia"/>
          <w:sz w:val="24"/>
          <w:szCs w:val="28"/>
        </w:rPr>
        <w:t>C、C</w:t>
      </w:r>
    </w:p>
    <w:p>
      <w:pPr>
        <w:pStyle w:val="Normal24"/>
      </w:pPr>
      <w:r>
        <w:rPr>
          <w:rFonts w:ascii="黑体" w:eastAsia="黑体" w:hAnsi="黑体" w:cs="黑体" w:hint="eastAsia"/>
          <w:sz w:val="24"/>
          <w:szCs w:val="28"/>
        </w:rPr>
        <w:t>D、D</w:t>
      </w:r>
    </w:p>
    <w:p>
      <w:pPr>
        <w:pStyle w:val="Normal24"/>
      </w:pPr>
    </w:p>
    <w:p>
      <w:pPr>
        <w:pStyle w:val="Normal24"/>
        <w:sectPr>
          <w:headerReference w:type="even" r:id="rId42"/>
          <w:headerReference w:type="default" r:id="rId43"/>
          <w:footerReference w:type="even" r:id="rId44"/>
          <w:headerReference w:type="first" r:id="rId45"/>
          <w:footerReference w:type="first" r:id="rId46"/>
          <w:type w:val="nextPage"/>
          <w:pgSz w:w="11906" w:h="16838"/>
          <w:pgMar w:top="720" w:right="720" w:bottom="720" w:left="720" w:header="851" w:footer="992" w:gutter="0"/>
          <w:pgNumType w:start="6"/>
          <w:cols w:num="1" w:space="720"/>
          <w:titlePg w:val="0"/>
          <w:docGrid w:type="lines" w:linePitch="312" w:charSpace="0"/>
        </w:sectPr>
      </w:pPr>
    </w:p>
    <w:p>
      <w:pPr>
        <w:pStyle w:val="Normal24"/>
        <w:jc w:val="center"/>
        <w:rPr>
          <w:rFonts w:ascii="宋体" w:hAnsi="宋体" w:cs="宋体"/>
          <w:b/>
          <w:color w:val="000000"/>
          <w:sz w:val="32"/>
        </w:rPr>
      </w:pPr>
      <w:r>
        <w:rPr>
          <w:rFonts w:ascii="宋体" w:eastAsia="宋体" w:hAnsi="宋体" w:cs="宋体"/>
          <w:b/>
          <w:color w:val="000000"/>
          <w:sz w:val="32"/>
        </w:rPr>
        <w:t>第2卷</w:t>
      </w:r>
    </w:p>
    <w:p>
      <w:pPr>
        <w:pStyle w:val="Normal24"/>
        <w:jc w:val="center"/>
        <w:rPr>
          <w:rFonts w:ascii="宋体" w:hAnsi="宋体" w:cs="宋体"/>
          <w:b/>
          <w:color w:val="000000"/>
          <w:sz w:val="32"/>
        </w:rPr>
      </w:pPr>
    </w:p>
    <w:p>
      <w:pPr>
        <w:pStyle w:val="Normal24"/>
        <w:jc w:val="center"/>
        <w:rPr>
          <w:rFonts w:ascii="宋体" w:hAnsi="宋体" w:cs="宋体"/>
          <w:b/>
          <w:color w:val="000000"/>
          <w:sz w:val="32"/>
        </w:rPr>
      </w:pPr>
    </w:p>
    <w:p>
      <w:pPr>
        <w:pStyle w:val="Normal24"/>
        <w:jc w:val="left"/>
        <w:rPr>
          <w:rFonts w:ascii="宋体" w:hAnsi="宋体" w:cs="宋体"/>
          <w:b/>
          <w:color w:val="000000"/>
          <w:sz w:val="28"/>
        </w:rPr>
      </w:pPr>
      <w:r>
        <w:rPr>
          <w:rFonts w:ascii="宋体" w:eastAsia="宋体" w:hAnsi="宋体" w:cs="宋体"/>
          <w:b/>
          <w:color w:val="000000"/>
          <w:sz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人在自己说话时是通过什么传到听觉处的？</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资料：无疑，法律是安全生产的有力保障，但现代的职业安全观念早已不仅仅局限于直接的政府法规调节。通过保险体系实施的经济调节也已成为一种重要的调节手段，贯穿于整个安全生产的过程中。</w:t>
      </w:r>
    </w:p>
    <w:p>
      <w:pPr>
        <w:pStyle w:val="Normal2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保险金是这一经济杠杆的支点。与普通的财产险不同，安全生产的保金与企业工作环境息息相关。保金的费率不是统一的，而是根据企业风险的大小灵活制定。因此建筑业的保金必然高于银行业的保金。即使在同一个行业，企业本身工作环境的不同也会导致保金的不同。两家公司建造同一座大厦，生产环境差的企业所支付的保金可能大大超过有着良好安全制度的另一家公司。</w:t>
      </w:r>
    </w:p>
    <w:p>
      <w:pPr>
        <w:pStyle w:val="Normal2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保金也不是固定的，其费率随企业风险的变化而变化。一个企业在最初投保时由于安全措施不力而不得不支付高昂的保金。但一旦企业采取措施使生产环境发生巨大改观，保险公司就会相应调低它的保金费率从而减少其经济支出。</w:t>
      </w:r>
    </w:p>
    <w:p>
      <w:pPr>
        <w:pStyle w:val="Normal2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因此，对投保企业而言，工作环境不安全的代价就是支付昂贵的保险费用，而安全的工作条件将大大减少这笔支出。由于经济上的差异相当可观，而且安全状况的改善也降低了由事故引起的巨额赔偿和经济损失，这种风险和保金密切联系的机制在促进企业安全生产方面起到了重要的作用。</w:t>
      </w:r>
    </w:p>
    <w:p>
      <w:pPr>
        <w:pStyle w:val="Normal2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于是，企业开始改善自己的生产环境。但是应该怎样做呢？这时，保险公司又发挥了另一个作用——风险评估和管理咨询。由于这些保险公司大多是随着安全生产制度的成长而成长的，积累了丰富的经验，因此可以帮助企业有效地建立安全制度。以世界第二大财产险和意外险互助保险公司——B集团为例，1912年B集团就成立了事故预防部，即现在的防损部，帮助签署合同的雇佣方控制工作场所发生的事故。如今，B集团已成为全球最大的职业安全和卫生咨询机构。它采用经验等级评定体系帮助企业确定工作场所的安全性及风险程度，同时给予合同企业相应的安全方案，帮助他们解决在生产中的安全问题。</w:t>
      </w:r>
    </w:p>
    <w:p>
      <w:pPr>
        <w:pStyle w:val="Normal2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一项研究显示，通过B集团的安全方案，投保企业的事故发生率在最初三年降低了30%。此外，由于安全咨询不仅有效地减少了保险公司的赔款，而且还为其开拓了新的业务，它也促使保险公司不断投资，进行安全生产的研究。目前B集团是全球唯一提供有关职业安全与卫生的非商业化学术研究的多种经营金融服务公司，其研究中心在职业风险控制方面有多项研究成果和解决方案问世，其中最著名的有汽车安全带应用的研究，正是B集团的研究和测试促使汽车安全带首次投入实际应用。这一措施有效地降低了汽车事故所造成的伤亡数字。</w:t>
      </w:r>
    </w:p>
    <w:p>
      <w:pPr>
        <w:pStyle w:val="Normal2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根据上述资料，谈谈保险体系与安全生产的关系。</w:t>
      </w:r>
      <w:r>
        <w:rPr>
          <w:rFonts w:ascii="黑体" w:eastAsia="黑体" w:hAnsi="黑体" w:cs="黑体" w:hint="eastAsia"/>
          <w:sz w:val="24"/>
          <w:szCs w:val="28"/>
        </w:rPr>
        <w:tab/>
      </w:r>
      <w:r>
        <w:rPr>
          <w:rFonts w:ascii="黑体" w:eastAsia="黑体" w:hAnsi="黑体" w:cs="黑体" w:hint="eastAsia"/>
          <w:sz w:val="24"/>
          <w:szCs w:val="28"/>
        </w:rPr>
        <w:t>要求：理解准确，条理清晰，语言简练。不超过200字。</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《八墓村》是哪国作家的作品？</w:t>
      </w:r>
    </w:p>
    <w:p>
      <w:pPr>
        <w:pStyle w:val="Normal27"/>
        <w:jc w:val="left"/>
        <w:rPr>
          <w:rFonts w:ascii="黑体" w:eastAsia="黑体" w:hAnsi="黑体" w:cs="黑体" w:hint="eastAsia"/>
          <w:sz w:val="24"/>
          <w:szCs w:val="28"/>
        </w:rPr>
      </w:pPr>
    </w:p>
    <w:p>
      <w:pPr>
        <w:pStyle w:val="Normal28"/>
        <w:sectPr>
          <w:headerReference w:type="even" r:id="rId47"/>
          <w:headerReference w:type="default" r:id="rId48"/>
          <w:footerReference w:type="even" r:id="rId49"/>
          <w:headerReference w:type="first" r:id="rId50"/>
          <w:footerReference w:type="first" r:id="rId51"/>
          <w:type w:val="nextPage"/>
          <w:pgSz w:w="11906" w:h="16838"/>
          <w:pgMar w:top="720" w:right="720" w:bottom="720" w:left="720" w:header="851" w:footer="992" w:gutter="0"/>
          <w:pgNumType w:start="7"/>
          <w:cols w:num="1" w:space="720"/>
          <w:titlePg w:val="0"/>
          <w:docGrid w:type="lines" w:linePitch="312" w:charSpace="0"/>
        </w:sectPr>
      </w:pPr>
      <w:r>
        <w:rPr>
          <w:rFonts w:ascii="黑体" w:eastAsia="黑体" w:hAnsi="黑体" w:cs="黑体" w:hint="eastAsia"/>
          <w:sz w:val="24"/>
          <w:szCs w:val="28"/>
        </w:rPr>
        <w:t>4.</w:t>
      </w:r>
      <w:r>
        <w:drawing>
          <wp:inline distT="0" distB="0" distL="0" distR="0">
            <wp:extent cx="3734192" cy="723976"/>
            <wp:effectExtent l="0" t="0" r="0" b="0"/>
            <wp:docPr id="13" name="_x0000_i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_x0000_i0013"/>
                    <pic:cNvPicPr/>
                  </pic:nvPicPr>
                  <pic:blipFill>
                    <a:blip xmlns:r="http://schemas.openxmlformats.org/officeDocument/2006/relationships" r:embed="rId52"/>
                    <a:stretch>
                      <a:fillRect/>
                    </a:stretch>
                  </pic:blipFill>
                  <pic:spPr>
                    <a:xfrm>
                      <a:off x="0" y="0"/>
                      <a:ext cx="3734192" cy="723976"/>
                    </a:xfrm>
                    <a:prstGeom prst="rect">
                      <a:avLst/>
                    </a:prstGeom>
                  </pic:spPr>
                </pic:pic>
              </a:graphicData>
            </a:graphic>
          </wp:inline>
        </w:drawing>
      </w:r>
      <w:r>
        <w:rPr>
          <w:rFonts w:ascii="黑体" w:eastAsia="黑体" w:hAnsi="黑体" w:cs="黑体" w:hint="eastAsia"/>
          <w:sz w:val="24"/>
          <w:szCs w:val="28"/>
        </w:rPr>
        <w:t>（）</w:t>
      </w:r>
    </w:p>
    <w:p>
      <w:pPr>
        <w:pStyle w:val="Normal28"/>
      </w:pPr>
      <w:r>
        <w:rPr>
          <w:rFonts w:ascii="黑体" w:eastAsia="黑体" w:hAnsi="黑体" w:cs="黑体" w:hint="eastAsia"/>
          <w:sz w:val="24"/>
          <w:szCs w:val="28"/>
        </w:rPr>
        <w:tab/>
      </w:r>
      <w:r>
        <w:drawing>
          <wp:inline distT="0" distB="0" distL="0" distR="0">
            <wp:extent cx="2829222" cy="904970"/>
            <wp:effectExtent l="0" t="0" r="0" b="0"/>
            <wp:docPr id="14" name="_x0000_i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_x0000_i0014"/>
                    <pic:cNvPicPr/>
                  </pic:nvPicPr>
                  <pic:blipFill>
                    <a:blip xmlns:r="http://schemas.openxmlformats.org/officeDocument/2006/relationships" r:embed="rId53"/>
                    <a:stretch>
                      <a:fillRect/>
                    </a:stretch>
                  </pic:blipFill>
                  <pic:spPr>
                    <a:xfrm>
                      <a:off x="0" y="0"/>
                      <a:ext cx="2829222" cy="904970"/>
                    </a:xfrm>
                    <a:prstGeom prst="rect">
                      <a:avLst/>
                    </a:prstGeom>
                  </pic:spPr>
                </pic:pic>
              </a:graphicData>
            </a:graphic>
          </wp:inline>
        </w:drawing>
      </w:r>
    </w:p>
    <w:p>
      <w:pPr>
        <w:pStyle w:val="Normal28"/>
      </w:pPr>
      <w:r>
        <w:rPr>
          <w:rFonts w:ascii="黑体" w:eastAsia="黑体" w:hAnsi="黑体" w:cs="黑体" w:hint="eastAsia"/>
          <w:sz w:val="24"/>
          <w:szCs w:val="28"/>
        </w:rPr>
        <w:t>A、A</w:t>
      </w:r>
    </w:p>
    <w:p>
      <w:pPr>
        <w:pStyle w:val="Normal28"/>
      </w:pPr>
      <w:r>
        <w:rPr>
          <w:rFonts w:ascii="黑体" w:eastAsia="黑体" w:hAnsi="黑体" w:cs="黑体" w:hint="eastAsia"/>
          <w:sz w:val="24"/>
          <w:szCs w:val="28"/>
        </w:rPr>
        <w:t>B、B</w:t>
      </w:r>
    </w:p>
    <w:p>
      <w:pPr>
        <w:pStyle w:val="Normal28"/>
      </w:pPr>
      <w:r>
        <w:rPr>
          <w:rFonts w:ascii="黑体" w:eastAsia="黑体" w:hAnsi="黑体" w:cs="黑体" w:hint="eastAsia"/>
          <w:sz w:val="24"/>
          <w:szCs w:val="28"/>
        </w:rPr>
        <w:t>C、C</w:t>
      </w:r>
    </w:p>
    <w:p>
      <w:pPr>
        <w:pStyle w:val="Normal28"/>
      </w:pPr>
      <w:r>
        <w:rPr>
          <w:rFonts w:ascii="黑体" w:eastAsia="黑体" w:hAnsi="黑体" w:cs="黑体" w:hint="eastAsia"/>
          <w:sz w:val="24"/>
          <w:szCs w:val="28"/>
        </w:rPr>
        <w:t>D、D</w:t>
      </w:r>
    </w:p>
    <w:p>
      <w:pPr>
        <w:pStyle w:val="Normal28"/>
      </w:pPr>
    </w:p>
    <w:p>
      <w:pPr>
        <w:pStyle w:val="Normal29"/>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资料1：台儿庄是第二次世界大战遗存最多的城区。2006年山东省枣庄市台儿庄区准备沿古运河一带招商开发房地产，一个投资近6亿元的项目已经谈成。但经过多次现场调研，枣庄市政府果断叫停了房地产开发项目，集中精力开发古运河文化、台儿庄遗址旅游，使得台儿庄古城不到两年就成为山东省旅游“新地标”，将一座煤炭资源枯竭的城市转型为新兴旅游城市。</w:t>
      </w:r>
    </w:p>
    <w:p>
      <w:pPr>
        <w:pStyle w:val="Normal29"/>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为吸引各地非物质文化遗产项目，台儿庄古城建设委员会对进驻项目第一年仅收1元租金，通过优惠政策留住传统文化的“根”。如今，除原有的非物质文化遗产外，台儿庄古城还引入了运河大鼓、鲁南皮影、曹县面人等30多个非物质文化遗产项目，从而把古城重建和文化重建融为一体。</w:t>
      </w:r>
    </w:p>
    <w:p>
      <w:pPr>
        <w:pStyle w:val="Normal29"/>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台儿庄古城重建之前，枣庄没有一辆旅游大巴、一个地接导游，现在全市有100多辆旅游大巴、1400多名地接导游，新增宾馆78家，古城净资产一年多翻了40倍。</w:t>
      </w:r>
    </w:p>
    <w:p>
      <w:pPr>
        <w:pStyle w:val="Normal29"/>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与枣庄相比，一些地方屡屡发生的因房地产开发而损毁文化古迹事件令人痛惜，暴露出当地政府对于文化在城市建设发展中重要价值认识的欠缺。</w:t>
      </w:r>
    </w:p>
    <w:p>
      <w:pPr>
        <w:pStyle w:val="Normal29"/>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资料2：在业内人士看来，国内水平最高的龙舟赛事落户南海，是一种必然。2012年11月，亚洲龙舟联合会总部落户佛山，在当日举办的国际龙舟文化研讨会上，国家体育总局社会体育指导中心主任、国际龙舟联合会秘书长胡建国提出：“世界龙舟看中国，中国龙舟看广东，广东龙舟看佛山。”</w:t>
      </w:r>
    </w:p>
    <w:p>
      <w:pPr>
        <w:pStyle w:val="Normal29"/>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据了解，佛山市南海区共有龙舟训练基地6个，大大小小的龙舟超过1000条。悠久的历史，深厚的群众基础，便利的交通和优美的环境，以及社会的广泛支持，国内水平最高的龙舟赛事落户南海自然变得水到渠成。</w:t>
      </w:r>
    </w:p>
    <w:p>
      <w:pPr>
        <w:pStyle w:val="Normal29"/>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尽管有着天时地利人和，但南海龙舟文化这个潜力巨大的无形资产，一直停留在民间自娱自乐，或者地方各自开发的分散局面，至今尚未形成统一开发。</w:t>
      </w:r>
    </w:p>
    <w:p>
      <w:pPr>
        <w:pStyle w:val="Normal29"/>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南海虽然多次举办高级别、大规模的龙舟赛事，但到目前为止，仍没有固定的标准龙舟训练航道供运动员训练，没有固定的龙舟竞赛场地。现有龙舟队都是在附近的河涌进行日常训练，不利于在全区范围内安排各行业人群进行龙舟的体验、培训和比赛活动。</w:t>
      </w:r>
    </w:p>
    <w:p>
      <w:pPr>
        <w:pStyle w:val="Normal29"/>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在业内人士看来，南海龙舟文化尽管群众基础深厚，市场潜力巨大，但相比部分省外城市对于龙舟运动的开发力度，南海的专业化程度不高，特别是龙舟赛事资源市场化程度低、开发与整合能力弱、开发覆盖面窄。</w:t>
      </w:r>
    </w:p>
    <w:p>
      <w:pPr>
        <w:pStyle w:val="Normal29"/>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如何破除龙舟文化这项民间习俗的自发性和随意性，将其打造成为一座城市的文化旅游品牌？借助高端平台，整合资源，打造出具有地方特色的品牌赛事，将民俗与竞赛融合，自然是最好选择。</w:t>
      </w:r>
    </w:p>
    <w:p>
      <w:pPr>
        <w:pStyle w:val="Normal29"/>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南海全力推进“文翰樵山”岭南文化高地的打造，借助举办全国性的龙舟大赛，实现文化和旅游的结合，“以文兴业”，带动旅游产业的发展，助推产业转型升级。</w:t>
      </w:r>
    </w:p>
    <w:p>
      <w:pPr>
        <w:pStyle w:val="Normal29"/>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目前，南海已经成立西樵山风景名胜区管委会，统筹发展西部旅游文化资源。未来丹灶镇将与九江镇共同建设首个集比赛、训练、观赏、旅游于一体的国家级龙舟竞赛基地，引入国内外高级别龙舟赛事，形成龙舟竞赛的品牌项目。丹灶镇已规划在龙舟竞赛基地配套建设高档次的星级酒店及休闲度假会所、餐饮商业区及水上运动项目设施场所等。</w:t>
      </w:r>
    </w:p>
    <w:p>
      <w:pPr>
        <w:pStyle w:val="Normal29"/>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资料3：以重庆为中心的古巴渝地区是巴渝文化的发祥地。历史为重庆留下了古钓鱼城、大足石刻等古代遗迹资源，以及红岩村、周公馆、黄山抗战遗迹博物馆、林园抗战遗迹群、史迪威纪念馆等抗战遗迹资源，还拥有长江、嘉陵江环抱，歌乐山、南山依偎，山中有城、城中有山等独特的山水风光。</w:t>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https://d.book118.com/076233032130010040</w:t>
        </w:r>
      </w:hyperlink>
    </w:p>
    <w:p>
      <w:pPr>
        <w:pStyle w:val="Normal29"/>
        <w:jc w:val="left"/>
        <w:rPr>
          <w:rFonts w:ascii="黑体" w:eastAsia="黑体" w:hAnsi="黑体" w:cs="黑体" w:hint="eastAsia"/>
          <w:sz w:val="24"/>
          <w:szCs w:val="28"/>
        </w:rPr>
      </w:pPr>
    </w:p>
    <w:sectPr>
      <w:headerReference w:type="even" r:id="rId55"/>
      <w:headerReference w:type="default" r:id="rId56"/>
      <w:footerReference w:type="even" r:id="rId57"/>
      <w:headerReference w:type="first" r:id="rId58"/>
      <w:footerReference w:type="first" r:id="rId59"/>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1.jpeg"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3.xml" /><Relationship Id="rId15" Type="http://schemas.openxmlformats.org/officeDocument/2006/relationships/header" Target="header6.xml" /><Relationship Id="rId16" Type="http://schemas.openxmlformats.org/officeDocument/2006/relationships/footer" Target="footer4.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6.xml" /><Relationship Id="rId22" Type="http://schemas.openxmlformats.org/officeDocument/2006/relationships/image" Target="media/image2.jpeg" /><Relationship Id="rId23" Type="http://schemas.openxmlformats.org/officeDocument/2006/relationships/image" Target="media/image3.jpeg" /><Relationship Id="rId24" Type="http://schemas.openxmlformats.org/officeDocument/2006/relationships/image" Target="media/image4.jpeg" /><Relationship Id="rId25" Type="http://schemas.openxmlformats.org/officeDocument/2006/relationships/header" Target="header10.xml" /><Relationship Id="rId26" Type="http://schemas.openxmlformats.org/officeDocument/2006/relationships/header" Target="header11.xml" /><Relationship Id="rId27" Type="http://schemas.openxmlformats.org/officeDocument/2006/relationships/footer" Target="footer7.xml" /><Relationship Id="rId28" Type="http://schemas.openxmlformats.org/officeDocument/2006/relationships/header" Target="header12.xml" /><Relationship Id="rId29" Type="http://schemas.openxmlformats.org/officeDocument/2006/relationships/footer" Target="footer8.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header" Target="header14.xml" /><Relationship Id="rId32" Type="http://schemas.openxmlformats.org/officeDocument/2006/relationships/footer" Target="footer9.xml" /><Relationship Id="rId33" Type="http://schemas.openxmlformats.org/officeDocument/2006/relationships/header" Target="header15.xml" /><Relationship Id="rId34" Type="http://schemas.openxmlformats.org/officeDocument/2006/relationships/footer" Target="footer10.xml" /><Relationship Id="rId35" Type="http://schemas.openxmlformats.org/officeDocument/2006/relationships/image" Target="media/image5.jpeg" /><Relationship Id="rId36" Type="http://schemas.openxmlformats.org/officeDocument/2006/relationships/image" Target="media/image6.jpeg" /><Relationship Id="rId37" Type="http://schemas.openxmlformats.org/officeDocument/2006/relationships/image" Target="media/image7.jpeg" /><Relationship Id="rId38" Type="http://schemas.openxmlformats.org/officeDocument/2006/relationships/image" Target="media/image8.jpeg" /><Relationship Id="rId39" Type="http://schemas.openxmlformats.org/officeDocument/2006/relationships/image" Target="media/image9.jpeg" /><Relationship Id="rId4" Type="http://schemas.openxmlformats.org/officeDocument/2006/relationships/customXml" Target="../customXml/item1.xml" /><Relationship Id="rId40" Type="http://schemas.openxmlformats.org/officeDocument/2006/relationships/image" Target="media/image10.jpeg" /><Relationship Id="rId41" Type="http://schemas.openxmlformats.org/officeDocument/2006/relationships/image" Target="media/image11.jpeg" /><Relationship Id="rId42" Type="http://schemas.openxmlformats.org/officeDocument/2006/relationships/header" Target="header16.xml" /><Relationship Id="rId43" Type="http://schemas.openxmlformats.org/officeDocument/2006/relationships/header" Target="header17.xml" /><Relationship Id="rId44" Type="http://schemas.openxmlformats.org/officeDocument/2006/relationships/footer" Target="footer11.xml" /><Relationship Id="rId45" Type="http://schemas.openxmlformats.org/officeDocument/2006/relationships/header" Target="header18.xml" /><Relationship Id="rId46" Type="http://schemas.openxmlformats.org/officeDocument/2006/relationships/footer" Target="footer12.xml" /><Relationship Id="rId47" Type="http://schemas.openxmlformats.org/officeDocument/2006/relationships/header" Target="header19.xml" /><Relationship Id="rId48" Type="http://schemas.openxmlformats.org/officeDocument/2006/relationships/header" Target="header20.xml" /><Relationship Id="rId49" Type="http://schemas.openxmlformats.org/officeDocument/2006/relationships/footer" Target="footer13.xml" /><Relationship Id="rId5" Type="http://schemas.openxmlformats.org/officeDocument/2006/relationships/customXml" Target="../customXml/item2.xml" /><Relationship Id="rId50" Type="http://schemas.openxmlformats.org/officeDocument/2006/relationships/header" Target="header21.xml" /><Relationship Id="rId51" Type="http://schemas.openxmlformats.org/officeDocument/2006/relationships/footer" Target="footer14.xml" /><Relationship Id="rId52" Type="http://schemas.openxmlformats.org/officeDocument/2006/relationships/image" Target="media/image12.jpeg" /><Relationship Id="rId53" Type="http://schemas.openxmlformats.org/officeDocument/2006/relationships/image" Target="media/image13.jpeg" /><Relationship Id="rId54" Type="http://schemas.openxmlformats.org/officeDocument/2006/relationships/hyperlink" Target="https://d.book118.com/076233032130010040" TargetMode="External" /><Relationship Id="rId55" Type="http://schemas.openxmlformats.org/officeDocument/2006/relationships/header" Target="header22.xml" /><Relationship Id="rId56" Type="http://schemas.openxmlformats.org/officeDocument/2006/relationships/header" Target="header23.xml" /><Relationship Id="rId57" Type="http://schemas.openxmlformats.org/officeDocument/2006/relationships/footer" Target="footer15.xml" /><Relationship Id="rId58" Type="http://schemas.openxmlformats.org/officeDocument/2006/relationships/header" Target="header24.xml" /><Relationship Id="rId59" Type="http://schemas.openxmlformats.org/officeDocument/2006/relationships/footer" Target="footer16.xml" /><Relationship Id="rId6" Type="http://schemas.openxmlformats.org/officeDocument/2006/relationships/header" Target="header1.xml" /><Relationship Id="rId60" Type="http://schemas.openxmlformats.org/officeDocument/2006/relationships/theme" Target="theme/theme1.xml" /><Relationship Id="rId61"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8</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