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88" w:lineRule="auto"/>
        <w:jc w:val="center"/>
        <w:rPr>
          <w:b/>
          <w:bCs/>
          <w:color w:val="auto"/>
          <w:sz w:val="32"/>
          <w:szCs w:val="32"/>
        </w:rPr>
      </w:pPr>
      <w:r>
        <w:rPr>
          <w:rFonts w:ascii="Times New Roman" w:hAnsi="Times New Roman" w:hint="eastAsia"/>
          <w:b/>
          <w:bCs/>
          <w:color w:val="auto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11468100</wp:posOffset>
            </wp:positionH>
            <wp:positionV relativeFrom="topMargin">
              <wp:posOffset>12306300</wp:posOffset>
            </wp:positionV>
            <wp:extent cx="368300" cy="330200"/>
            <wp:effectExtent l="0" t="0" r="12700" b="12700"/>
            <wp:wrapNone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hint="eastAsia"/>
          <w:b/>
          <w:bCs/>
          <w:color w:val="auto"/>
          <w:sz w:val="32"/>
          <w:szCs w:val="32"/>
        </w:rPr>
        <w:t>2023年云学名校联盟高一年级12月联考</w:t>
      </w:r>
    </w:p>
    <w:p>
      <w:pPr>
        <w:spacing w:line="288" w:lineRule="auto"/>
        <w:jc w:val="center"/>
        <w:rPr>
          <w:rFonts w:hint="default"/>
          <w:color w:val="auto"/>
        </w:rPr>
      </w:pP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化学答案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1．【答案】C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【详解】A．生石灰吸水，不能防止氧化，A错误；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B．焰色试验为物理变化，B错误；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C．“丁达尔效应”利用的是胶体粒子对光的散射，“卤水点豆腐”与胶体的聚沉有关，“血液透析”利用的是胶体的渗析，C正确；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D．</w:t>
      </w:r>
      <w:r>
        <w:rPr>
          <w:rFonts w:ascii="Times New Roman" w:hAnsi="Times New Roman" w:hint="eastAsia"/>
          <w:color w:val="auto"/>
          <w:position w:val="-12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8pt" o:oleicon="f" o:ole="" coordsize="21600,21600" o:preferrelative="t" filled="f" stroked="f">
            <v:stroke joinstyle="miter"/>
            <v:imagedata r:id="rId5" o:title="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Times New Roman" w:hAnsi="Times New Roman" w:hint="eastAsia"/>
          <w:color w:val="auto"/>
        </w:rPr>
        <w:t>不是</w:t>
      </w:r>
      <w:r>
        <w:rPr>
          <w:rFonts w:ascii="Times New Roman" w:hAnsi="Times New Roman" w:hint="eastAsia"/>
          <w:color w:val="auto"/>
          <w:position w:val="-12"/>
        </w:rPr>
        <w:object>
          <v:shape id="_x0000_i1026" type="#_x0000_t75" style="width:18.75pt;height:18pt" o:oleicon="f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Times New Roman" w:hAnsi="Times New Roman" w:hint="eastAsia"/>
          <w:color w:val="auto"/>
        </w:rPr>
        <w:t>的同素异形体，D错误。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2．【答案】C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【详解】人类发展经历了从石器时代到青铜器时代，再到铁器时代，C错误。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A、B、D均正确。详细内容可参见教材。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3．【答案】B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【详解】A．稀盐酸是氯化氢溶于水形成的混合物，A错误；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B．胆矾是五水硫酸铜，是纯净物，碘酒是碘的酒精溶液是混合物，硫酸钡是盐类，是电解质，氨气是非电解质，B正确；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C．氯水为氯气的水溶液，是混合物，空气为混合物，氯化铜属于盐，是电解质，蔗糖为有机物，是非电解质，故C错误；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D．磁性氧化铁是四氧化三铁的俗名，是纯净物，石墨是单质，不是电解质，D错误。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4．【答案】A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【详解】A．向氢氧化钡溶液中逐滴加入稀硫酸，反应为</w:t>
      </w:r>
      <w:r>
        <w:rPr>
          <w:rFonts w:ascii="Times New Roman" w:hAnsi="Times New Roman" w:hint="eastAsia"/>
          <w:color w:val="auto"/>
          <w:position w:val="-14"/>
        </w:rPr>
        <w:object>
          <v:shape id="_x0000_i1027" type="#_x0000_t75" style="width:201pt;height:20.25pt" o:oleicon="f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Times New Roman" w:hAnsi="Times New Roman" w:hint="eastAsia"/>
          <w:color w:val="auto"/>
        </w:rPr>
        <w:t>，该过程混合溶液导电能力逐渐降低，恰好完全中和时，降到接近0，硫酸溶液过量后，电导率又升高，故A正确；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B．阴影部分的反应为四种基本反应类型之外的氧化还原反应，B项错误；</w:t>
      </w:r>
    </w:p>
    <w:p>
      <w:pPr>
        <w:spacing w:line="288" w:lineRule="auto"/>
        <w:jc w:val="left"/>
        <w:rPr>
          <w:color w:val="auto"/>
        </w:r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 w:hint="eastAsia"/>
          <w:color w:val="auto"/>
        </w:rPr>
        <w:t>C．光照过程次氯酸分解，氯水pH减小，C项错误；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D．此图为熔融的</w:t>
      </w:r>
      <w:r>
        <w:rPr>
          <w:rFonts w:ascii="Times New Roman" w:hAnsi="Times New Roman" w:hint="eastAsia"/>
          <w:color w:val="auto"/>
          <w:position w:val="-6"/>
        </w:rPr>
        <w:object>
          <v:shape id="_x0000_i1028" type="#_x0000_t75" style="width:29.25pt;height:14.25pt" o:oleicon="f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028" DrawAspect="Content" ObjectID="_1468075728" r:id="rId18"/>
        </w:object>
      </w:r>
      <w:r>
        <w:rPr>
          <w:rFonts w:ascii="Times New Roman" w:hAnsi="Times New Roman" w:hint="eastAsia"/>
          <w:color w:val="auto"/>
        </w:rPr>
        <w:t>能够导电的示意图，D错误。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5．【答案】D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【详解】A．</w:t>
      </w:r>
      <w:r>
        <w:rPr>
          <w:rFonts w:ascii="Times New Roman" w:hAnsi="Times New Roman" w:hint="eastAsia"/>
          <w:color w:val="auto"/>
          <w:position w:val="-12"/>
        </w:rPr>
        <w:object>
          <v:shape id="_x0000_i1029" type="#_x0000_t75" style="width:33.75pt;height:18.75pt" o:oleicon="f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  <w:r>
        <w:rPr>
          <w:rFonts w:ascii="Times New Roman" w:hAnsi="Times New Roman" w:hint="eastAsia"/>
          <w:color w:val="auto"/>
        </w:rPr>
        <w:t>为紫红色，错误；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B．</w:t>
      </w:r>
      <w:r>
        <w:rPr>
          <w:rFonts w:ascii="Times New Roman" w:hAnsi="Times New Roman" w:hint="eastAsia"/>
          <w:color w:val="auto"/>
          <w:position w:val="-6"/>
        </w:rPr>
        <w:object>
          <v:shape id="_x0000_i1030" type="#_x0000_t75" style="width:30.75pt;height:15.75pt" o:oleicon="f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  <w:r>
        <w:rPr>
          <w:rFonts w:ascii="Times New Roman" w:hAnsi="Times New Roman" w:hint="eastAsia"/>
          <w:color w:val="auto"/>
        </w:rPr>
        <w:t>和</w:t>
      </w:r>
      <w:r>
        <w:rPr>
          <w:rFonts w:ascii="Times New Roman" w:hAnsi="Times New Roman" w:hint="eastAsia"/>
          <w:color w:val="auto"/>
          <w:position w:val="-6"/>
        </w:rPr>
        <w:object>
          <v:shape id="_x0000_i1031" type="#_x0000_t75" style="width:24pt;height:15.75pt" o:oleicon="f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  <w:r>
        <w:rPr>
          <w:rFonts w:ascii="Times New Roman" w:hAnsi="Times New Roman" w:hint="eastAsia"/>
          <w:color w:val="auto"/>
        </w:rPr>
        <w:t>会结合，错误。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C．溶液要求这些离子在酸性和碱性条件下都不能大量共存，</w:t>
      </w:r>
      <w:r>
        <w:rPr>
          <w:rFonts w:ascii="Times New Roman" w:hAnsi="Times New Roman" w:hint="eastAsia"/>
          <w:color w:val="auto"/>
          <w:position w:val="-10"/>
        </w:rPr>
        <w:object>
          <v:shape id="_x0000_i1032" type="#_x0000_t75" style="width:29.25pt;height:18pt" o:oleicon="f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  <w:r>
        <w:rPr>
          <w:rFonts w:ascii="Times New Roman" w:hAnsi="Times New Roman" w:hint="eastAsia"/>
          <w:color w:val="auto"/>
        </w:rPr>
        <w:t>、</w:t>
      </w:r>
      <w:r>
        <w:rPr>
          <w:rFonts w:ascii="Times New Roman" w:hAnsi="Times New Roman" w:hint="eastAsia"/>
          <w:color w:val="auto"/>
          <w:position w:val="-12"/>
        </w:rPr>
        <w:object>
          <v:shape id="_x0000_i1033" type="#_x0000_t75" style="width:26.25pt;height:18.75pt" o:oleicon="f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3" DrawAspect="Content" ObjectID="_1468075733" r:id="rId28"/>
        </w:object>
      </w:r>
      <w:r>
        <w:rPr>
          <w:rFonts w:ascii="Times New Roman" w:hAnsi="Times New Roman" w:hint="eastAsia"/>
          <w:color w:val="auto"/>
        </w:rPr>
        <w:t>在碱性条件下不能大量存在，错误。D正确。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6．【答案】C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【详解】C．所用试剂为石灰乳，</w:t>
      </w:r>
      <w:r>
        <w:rPr>
          <w:rFonts w:ascii="Times New Roman" w:hAnsi="Times New Roman" w:hint="eastAsia"/>
          <w:color w:val="auto"/>
          <w:position w:val="-14"/>
        </w:rPr>
        <w:object>
          <v:shape id="_x0000_i1034" type="#_x0000_t75" style="width:50.25pt;height:20.25pt" o:oleicon="f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4" DrawAspect="Content" ObjectID="_1468075734" r:id="rId30"/>
        </w:object>
      </w:r>
      <w:r>
        <w:rPr>
          <w:rFonts w:ascii="Times New Roman" w:hAnsi="Times New Roman" w:hint="eastAsia"/>
          <w:color w:val="auto"/>
        </w:rPr>
        <w:t>不能拆成离子，C错误；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7．【答案】A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【解析】A．</w:t>
      </w:r>
      <w:r>
        <w:rPr>
          <w:rFonts w:ascii="Times New Roman" w:hAnsi="Times New Roman" w:hint="eastAsia"/>
          <w:color w:val="auto"/>
          <w:position w:val="-6"/>
        </w:rPr>
        <w:object>
          <v:shape id="_x0000_i1035" type="#_x0000_t75" style="width:41.25pt;height:14.25pt" o:oleicon="f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5" DrawAspect="Content" ObjectID="_1468075735" r:id="rId32"/>
        </w:object>
      </w:r>
      <w:r>
        <w:rPr>
          <w:rFonts w:ascii="Times New Roman" w:hAnsi="Times New Roman" w:hint="eastAsia"/>
          <w:color w:val="auto"/>
        </w:rPr>
        <w:t>反应完全，转移电子数为</w:t>
      </w:r>
      <w:r>
        <w:rPr>
          <w:rFonts w:ascii="Times New Roman" w:hAnsi="Times New Roman" w:hint="eastAsia"/>
          <w:color w:val="auto"/>
          <w:position w:val="-12"/>
        </w:rPr>
        <w:object>
          <v:shape id="_x0000_i1036" type="#_x0000_t75" style="width:24pt;height:18pt" o:oleicon="f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6" DrawAspect="Content" ObjectID="_1468075736" r:id="rId34"/>
        </w:object>
      </w:r>
      <w:r>
        <w:rPr>
          <w:rFonts w:ascii="Times New Roman" w:hAnsi="Times New Roman" w:hint="eastAsia"/>
          <w:color w:val="auto"/>
        </w:rPr>
        <w:t>，A正确。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B．氯气与水的反应是可逆反应，转移的电子数目小于</w:t>
      </w:r>
      <w:r>
        <w:rPr>
          <w:rFonts w:ascii="Times New Roman" w:hAnsi="Times New Roman" w:hint="eastAsia"/>
          <w:color w:val="auto"/>
          <w:position w:val="-12"/>
        </w:rPr>
        <w:object>
          <v:shape id="_x0000_i1037" type="#_x0000_t75" style="width:32.25pt;height:18pt" o:oleicon="f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37" DrawAspect="Content" ObjectID="_1468075737" r:id="rId36"/>
        </w:object>
      </w:r>
      <w:r>
        <w:rPr>
          <w:rFonts w:ascii="Times New Roman" w:hAnsi="Times New Roman" w:hint="eastAsia"/>
          <w:color w:val="auto"/>
        </w:rPr>
        <w:t>，错误。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C选项中未给体积，错误。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D选项中为非标准状况，故电子数目不等于</w:t>
      </w:r>
      <w:r>
        <w:rPr>
          <w:rFonts w:ascii="Times New Roman" w:hAnsi="Times New Roman" w:hint="eastAsia"/>
          <w:color w:val="auto"/>
          <w:position w:val="-12"/>
        </w:rPr>
        <w:object>
          <v:shape id="_x0000_i1038" type="#_x0000_t75" style="width:29.25pt;height:18pt" o:oleicon="f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38" DrawAspect="Content" ObjectID="_1468075738" r:id="rId38"/>
        </w:object>
      </w:r>
      <w:r>
        <w:rPr>
          <w:rFonts w:ascii="Times New Roman" w:hAnsi="Times New Roman" w:hint="eastAsia"/>
          <w:color w:val="auto"/>
        </w:rPr>
        <w:t>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8．【答案】D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【详解】A．两种气体密度和体积相等，故质量相等。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B．常温常压下，</w:t>
      </w:r>
      <w:r>
        <w:rPr>
          <w:rFonts w:ascii="Times New Roman" w:hAnsi="Times New Roman" w:hint="eastAsia"/>
          <w:color w:val="auto"/>
          <w:position w:val="-12"/>
        </w:rPr>
        <w:object>
          <v:shape id="_x0000_i1039" type="#_x0000_t75" style="width:26.25pt;height:18pt" o:oleicon="f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39" DrawAspect="Content" ObjectID="_1468075739" r:id="rId40"/>
        </w:object>
      </w:r>
      <w:r>
        <w:rPr>
          <w:rFonts w:ascii="Times New Roman" w:hAnsi="Times New Roman" w:hint="eastAsia"/>
          <w:color w:val="auto"/>
        </w:rPr>
        <w:t>液体，</w:t>
      </w:r>
      <w:r>
        <w:rPr>
          <w:rFonts w:ascii="Times New Roman" w:hAnsi="Times New Roman" w:hint="eastAsia"/>
          <w:color w:val="auto"/>
          <w:position w:val="-12"/>
        </w:rPr>
        <w:object>
          <v:shape id="_x0000_i1040" type="#_x0000_t75" style="width:15.75pt;height:18pt" o:oleicon="f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40" DrawAspect="Content" ObjectID="_1468075740" r:id="rId42"/>
        </w:object>
      </w:r>
      <w:r>
        <w:rPr>
          <w:rFonts w:ascii="Times New Roman" w:hAnsi="Times New Roman" w:hint="eastAsia"/>
          <w:color w:val="auto"/>
        </w:rPr>
        <w:t>为气体，B错误；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C．同温同压条件下，含H原子数相等的</w:t>
      </w:r>
      <w:r>
        <w:rPr>
          <w:rFonts w:ascii="Times New Roman" w:hAnsi="Times New Roman" w:hint="eastAsia"/>
          <w:color w:val="auto"/>
          <w:position w:val="-12"/>
        </w:rPr>
        <w:object>
          <v:shape id="_x0000_i1041" type="#_x0000_t75" style="width:17.25pt;height:18pt" o:oleicon="f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1" DrawAspect="Content" ObjectID="_1468075741" r:id="rId44"/>
        </w:object>
      </w:r>
      <w:r>
        <w:rPr>
          <w:rFonts w:ascii="Times New Roman" w:hAnsi="Times New Roman" w:hint="eastAsia"/>
          <w:color w:val="auto"/>
        </w:rPr>
        <w:t>、</w:t>
      </w:r>
      <w:r>
        <w:rPr>
          <w:rFonts w:ascii="Times New Roman" w:hAnsi="Times New Roman" w:hint="eastAsia"/>
          <w:color w:val="auto"/>
          <w:position w:val="-12"/>
        </w:rPr>
        <w:object>
          <v:shape id="_x0000_i1042" type="#_x0000_t75" style="width:24.75pt;height:18pt" o:oleicon="f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042" DrawAspect="Content" ObjectID="_1468075742" r:id="rId46"/>
        </w:object>
      </w:r>
      <w:r>
        <w:rPr>
          <w:rFonts w:ascii="Times New Roman" w:hAnsi="Times New Roman" w:hint="eastAsia"/>
          <w:color w:val="auto"/>
        </w:rPr>
        <w:t>、</w:t>
      </w:r>
      <w:r>
        <w:rPr>
          <w:rFonts w:ascii="Times New Roman" w:hAnsi="Times New Roman" w:hint="eastAsia"/>
          <w:color w:val="auto"/>
          <w:position w:val="-12"/>
        </w:rPr>
        <w:object>
          <v:shape id="_x0000_i1043" type="#_x0000_t75" style="width:24.75pt;height:18pt" o:oleicon="f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43" DrawAspect="Content" ObjectID="_1468075743" r:id="rId48"/>
        </w:object>
      </w:r>
      <w:r>
        <w:rPr>
          <w:rFonts w:ascii="Times New Roman" w:hAnsi="Times New Roman" w:hint="eastAsia"/>
          <w:color w:val="auto"/>
        </w:rPr>
        <w:t>分子数比为</w:t>
      </w:r>
      <w:r>
        <w:rPr>
          <w:rFonts w:ascii="Times New Roman" w:hAnsi="Times New Roman" w:hint="eastAsia"/>
          <w:color w:val="auto"/>
          <w:position w:val="-24"/>
        </w:rPr>
        <w:object>
          <v:shape id="_x0000_i1044" type="#_x0000_t75" style="width:39.75pt;height:30.75pt" o:oleicon="f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rPr>
          <w:rFonts w:ascii="Times New Roman" w:hAnsi="Times New Roman" w:hint="eastAsia"/>
          <w:color w:val="auto"/>
        </w:rPr>
        <w:t>，体积比为</w:t>
      </w:r>
      <w:r>
        <w:rPr>
          <w:rFonts w:ascii="Times New Roman" w:hAnsi="Times New Roman" w:hint="eastAsia"/>
          <w:color w:val="auto"/>
          <w:position w:val="-6"/>
        </w:rPr>
        <w:object>
          <v:shape id="_x0000_i1045" type="#_x0000_t75" style="width:35.25pt;height:14.25pt" o:oleicon="f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5" DrawAspect="Content" ObjectID="_1468075745" r:id="rId52"/>
        </w:object>
      </w:r>
      <w:r>
        <w:rPr>
          <w:rFonts w:ascii="Times New Roman" w:hAnsi="Times New Roman" w:hint="eastAsia"/>
          <w:color w:val="auto"/>
        </w:rPr>
        <w:t>，C错误；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D．</w:t>
      </w:r>
      <w:r>
        <w:rPr>
          <w:rFonts w:ascii="Times New Roman" w:hAnsi="Times New Roman" w:hint="eastAsia"/>
          <w:color w:val="auto"/>
          <w:position w:val="-6"/>
        </w:rPr>
        <w:object>
          <v:shape id="_x0000_i1046" type="#_x0000_t75" style="width:48pt;height:14.25pt" o:oleicon="f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046" DrawAspect="Content" ObjectID="_1468075746" r:id="rId54"/>
        </w:object>
      </w:r>
      <w:r>
        <w:rPr>
          <w:rFonts w:ascii="Times New Roman" w:hAnsi="Times New Roman" w:hint="eastAsia"/>
          <w:color w:val="auto"/>
        </w:rPr>
        <w:t>和</w:t>
      </w:r>
      <w:r>
        <w:rPr>
          <w:rFonts w:ascii="Times New Roman" w:hAnsi="Times New Roman" w:hint="eastAsia"/>
          <w:color w:val="auto"/>
          <w:position w:val="-12"/>
        </w:rPr>
        <w:object>
          <v:shape id="_x0000_i1047" type="#_x0000_t75" style="width:44.25pt;height:18pt" o:oleicon="f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DSMT4" ShapeID="_x0000_i1047" DrawAspect="Content" ObjectID="_1468075747" r:id="rId56"/>
        </w:object>
      </w:r>
      <w:r>
        <w:rPr>
          <w:rFonts w:ascii="Times New Roman" w:hAnsi="Times New Roman" w:hint="eastAsia"/>
          <w:color w:val="auto"/>
        </w:rPr>
        <w:t>充分反应后，由原子守恒，C和O数目之比为</w:t>
      </w:r>
      <w:r>
        <w:rPr>
          <w:rFonts w:ascii="Times New Roman" w:hAnsi="Times New Roman" w:hint="eastAsia"/>
          <w:color w:val="auto"/>
          <w:position w:val="-14"/>
        </w:rPr>
        <w:object>
          <v:shape id="_x0000_i1048" type="#_x0000_t75" style="width:56.25pt;height:20.25pt" o:oleicon="f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rFonts w:ascii="Times New Roman" w:hAnsi="Times New Roman" w:hint="eastAsia"/>
          <w:color w:val="auto"/>
        </w:rPr>
        <w:t>，D错误。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9．【答案】D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【详解】A．托盘天平精确度为</w:t>
      </w:r>
      <w:r>
        <w:rPr>
          <w:rFonts w:ascii="Times New Roman" w:hAnsi="Times New Roman" w:hint="eastAsia"/>
          <w:color w:val="auto"/>
          <w:position w:val="-10"/>
        </w:rPr>
        <w:object>
          <v:shape id="_x0000_i1049" type="#_x0000_t75" style="width:24pt;height:15.75pt" o:oleicon="f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049" DrawAspect="Content" ObjectID="_1468075749" r:id="rId60"/>
        </w:object>
      </w:r>
      <w:r>
        <w:rPr>
          <w:rFonts w:ascii="Times New Roman" w:hAnsi="Times New Roman" w:hint="eastAsia"/>
          <w:color w:val="auto"/>
        </w:rPr>
        <w:t>，需要10.0固体，A错误；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B．定容时，俯视容量瓶的刻度线，则溶液的体积偏小，由于溶质的物质的量不变，最终使配得的</w:t>
      </w:r>
      <w:r>
        <w:rPr>
          <w:rFonts w:ascii="Times New Roman" w:hAnsi="Times New Roman" w:hint="eastAsia"/>
          <w:color w:val="auto"/>
          <w:position w:val="-6"/>
        </w:rPr>
        <w:object>
          <v:shape id="_x0000_i1050" type="#_x0000_t75" style="width:36pt;height:14.25pt" o:oleicon="f" o:ole="" coordsize="21600,21600" o:preferrelative="t" filled="f" stroked="f">
            <v:stroke joinstyle="miter"/>
            <v:imagedata r:id="rId61" o:title=""/>
            <o:lock v:ext="edit" aspectratio="t"/>
            <w10:anchorlock/>
          </v:shape>
          <o:OLEObject Type="Embed" ProgID="Equation.DSMT4" ShapeID="_x0000_i1050" DrawAspect="Content" ObjectID="_1468075750" r:id="rId62"/>
        </w:object>
      </w:r>
      <w:r>
        <w:rPr>
          <w:rFonts w:ascii="Times New Roman" w:hAnsi="Times New Roman" w:hint="eastAsia"/>
          <w:color w:val="auto"/>
        </w:rPr>
        <w:t>溶液浓度偏高，B错误；</w:t>
      </w:r>
    </w:p>
    <w:p>
      <w:pPr>
        <w:spacing w:line="288" w:lineRule="auto"/>
        <w:jc w:val="left"/>
        <w:rPr>
          <w:color w:val="auto"/>
        </w:rPr>
      </w:pPr>
      <w:r>
        <w:rPr>
          <w:rFonts w:ascii="Times New Roman" w:hAnsi="Times New Roman" w:hint="eastAsia"/>
          <w:color w:val="auto"/>
        </w:rPr>
        <w:t>C．氢氧化钠溶解后，应冷去至室温后方可转移至容量瓶，C错误。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https://d.book118.com/076234141125010050</w:t>
        </w:r>
      </w:hyperlink>
    </w:p>
    <w:p>
      <w:pPr>
        <w:spacing w:line="288" w:lineRule="auto"/>
        <w:jc w:val="left"/>
        <w:rPr>
          <w:color w:val="auto"/>
        </w:rPr>
      </w:pPr>
    </w:p>
    <w:sectPr>
      <w:headerReference w:type="even" r:id="rId64"/>
      <w:headerReference w:type="default" r:id="rId65"/>
      <w:footerReference w:type="even" r:id="rId66"/>
      <w:footerReference w:type="default" r:id="rId67"/>
      <w:headerReference w:type="first" r:id="rId68"/>
      <w:footerReference w:type="first" r:id="rId69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szCs w:val="18"/>
      <w:lang w:eastAsia="zh-CN"/>
    </w:rPr>
  </w:style>
  <w:style w:type="paragraph" w:styleId="Footer">
    <w:name w:val="footer"/>
    <w:basedOn w:val="Normal"/>
    <w:qFormat/>
    <w:pPr>
      <w:widowControl w:val="0"/>
      <w:tabs>
        <w:tab w:val="center" w:pos="4153"/>
        <w:tab w:val="right" w:pos="8306"/>
      </w:tabs>
      <w:snapToGrid w:val="0"/>
    </w:pPr>
    <w:rPr>
      <w:rFonts w:eastAsia="宋体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qFormat/>
  </w:style>
  <w:style w:type="table" w:styleId="TableGrid">
    <w:name w:val="Table Grid"/>
    <w:basedOn w:val="TableNormal"/>
    <w:qFormat/>
    <w:pPr>
      <w:widowControl w:val="0"/>
      <w:jc w:val="both"/>
    </w:pPr>
    <w:rPr>
      <w:rFonts w:ascii="Calibri" w:eastAsia="宋体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5.wmf" /><Relationship Id="rId18" Type="http://schemas.openxmlformats.org/officeDocument/2006/relationships/oleObject" Target="embeddings/oleObject4.bin" /><Relationship Id="rId19" Type="http://schemas.openxmlformats.org/officeDocument/2006/relationships/image" Target="media/image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7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8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9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0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2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3.wmf" /><Relationship Id="rId34" Type="http://schemas.openxmlformats.org/officeDocument/2006/relationships/oleObject" Target="embeddings/oleObject12.bin" /><Relationship Id="rId35" Type="http://schemas.openxmlformats.org/officeDocument/2006/relationships/image" Target="media/image14.wmf" /><Relationship Id="rId36" Type="http://schemas.openxmlformats.org/officeDocument/2006/relationships/oleObject" Target="embeddings/oleObject13.bin" /><Relationship Id="rId37" Type="http://schemas.openxmlformats.org/officeDocument/2006/relationships/image" Target="media/image15.wmf" /><Relationship Id="rId38" Type="http://schemas.openxmlformats.org/officeDocument/2006/relationships/oleObject" Target="embeddings/oleObject14.bin" /><Relationship Id="rId39" Type="http://schemas.openxmlformats.org/officeDocument/2006/relationships/image" Target="media/image16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5.bin" /><Relationship Id="rId41" Type="http://schemas.openxmlformats.org/officeDocument/2006/relationships/image" Target="media/image17.wmf" /><Relationship Id="rId42" Type="http://schemas.openxmlformats.org/officeDocument/2006/relationships/oleObject" Target="embeddings/oleObject16.bin" /><Relationship Id="rId43" Type="http://schemas.openxmlformats.org/officeDocument/2006/relationships/image" Target="media/image18.wmf" /><Relationship Id="rId44" Type="http://schemas.openxmlformats.org/officeDocument/2006/relationships/oleObject" Target="embeddings/oleObject17.bin" /><Relationship Id="rId45" Type="http://schemas.openxmlformats.org/officeDocument/2006/relationships/image" Target="media/image19.wmf" /><Relationship Id="rId46" Type="http://schemas.openxmlformats.org/officeDocument/2006/relationships/oleObject" Target="embeddings/oleObject18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1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0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22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3.bin" /><Relationship Id="rId57" Type="http://schemas.openxmlformats.org/officeDocument/2006/relationships/image" Target="media/image25.wmf" /><Relationship Id="rId58" Type="http://schemas.openxmlformats.org/officeDocument/2006/relationships/oleObject" Target="embeddings/oleObject24.bin" /><Relationship Id="rId59" Type="http://schemas.openxmlformats.org/officeDocument/2006/relationships/image" Target="media/image26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5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26.bin" /><Relationship Id="rId63" Type="http://schemas.openxmlformats.org/officeDocument/2006/relationships/hyperlink" Target="https://d.book118.com/076234141125010050" TargetMode="External" /><Relationship Id="rId64" Type="http://schemas.openxmlformats.org/officeDocument/2006/relationships/header" Target="header4.xml" /><Relationship Id="rId65" Type="http://schemas.openxmlformats.org/officeDocument/2006/relationships/header" Target="header5.xml" /><Relationship Id="rId66" Type="http://schemas.openxmlformats.org/officeDocument/2006/relationships/footer" Target="footer4.xml" /><Relationship Id="rId67" Type="http://schemas.openxmlformats.org/officeDocument/2006/relationships/footer" Target="footer5.xml" /><Relationship Id="rId68" Type="http://schemas.openxmlformats.org/officeDocument/2006/relationships/header" Target="header6.xml" /><Relationship Id="rId69" Type="http://schemas.openxmlformats.org/officeDocument/2006/relationships/footer" Target="footer6.xml" /><Relationship Id="rId7" Type="http://schemas.openxmlformats.org/officeDocument/2006/relationships/image" Target="media/image3.wmf" /><Relationship Id="rId70" Type="http://schemas.openxmlformats.org/officeDocument/2006/relationships/theme" Target="theme/theme1.xml" /><Relationship Id="rId71" Type="http://schemas.openxmlformats.org/officeDocument/2006/relationships/styles" Target="styles.xml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